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745CF31">
      <w:pPr>
        <w:spacing w:before="31" w:beforeLines="10" w:line="360" w:lineRule="auto"/>
        <w:rPr>
          <w:rFonts w:ascii="Times New Roman" w:hAnsi="Times New Roman"/>
          <w:bCs/>
          <w:sz w:val="24"/>
        </w:rPr>
      </w:pPr>
      <w:r>
        <w:rPr>
          <w:rFonts w:ascii="Times New Roman" w:hAnsi="Times New Roman"/>
          <w:bCs/>
          <w:sz w:val="24"/>
        </w:rPr>
        <w:t>证券简称</w:t>
      </w:r>
      <w:r>
        <w:rPr>
          <w:rFonts w:hint="eastAsia" w:ascii="Times New Roman" w:hAnsi="Times New Roman"/>
          <w:bCs/>
          <w:sz w:val="24"/>
        </w:rPr>
        <w:t>：</w:t>
      </w:r>
      <w:r>
        <w:rPr>
          <w:rFonts w:ascii="Times New Roman" w:hAnsi="Times New Roman"/>
          <w:bCs/>
          <w:sz w:val="24"/>
        </w:rPr>
        <w:t>兴通股份                                        证券代码：603209</w:t>
      </w:r>
    </w:p>
    <w:p w14:paraId="737B8EE6">
      <w:pPr>
        <w:spacing w:before="31" w:beforeLines="10" w:line="360" w:lineRule="auto"/>
        <w:jc w:val="center"/>
        <w:rPr>
          <w:rFonts w:ascii="Times New Roman" w:hAnsi="Times New Roman"/>
          <w:b/>
          <w:w w:val="95"/>
          <w:sz w:val="32"/>
          <w:szCs w:val="32"/>
        </w:rPr>
      </w:pPr>
    </w:p>
    <w:p w14:paraId="0FFDF0BE">
      <w:pPr>
        <w:spacing w:before="31" w:beforeLines="10" w:line="360" w:lineRule="auto"/>
        <w:jc w:val="center"/>
        <w:rPr>
          <w:rFonts w:ascii="Times New Roman" w:hAnsi="Times New Roman"/>
          <w:b/>
          <w:sz w:val="36"/>
          <w:szCs w:val="36"/>
        </w:rPr>
      </w:pPr>
      <w:r>
        <w:rPr>
          <w:rFonts w:ascii="Times New Roman" w:hAnsi="Times New Roman"/>
          <w:b/>
          <w:sz w:val="36"/>
          <w:szCs w:val="36"/>
        </w:rPr>
        <w:t>兴通海运股份有限公司</w:t>
      </w:r>
    </w:p>
    <w:p w14:paraId="334B950C">
      <w:pPr>
        <w:spacing w:line="360" w:lineRule="auto"/>
        <w:jc w:val="center"/>
        <w:rPr>
          <w:rFonts w:ascii="Times New Roman" w:hAnsi="Times New Roman"/>
          <w:b/>
          <w:kern w:val="0"/>
          <w:sz w:val="36"/>
          <w:szCs w:val="36"/>
        </w:rPr>
      </w:pPr>
      <w:bookmarkStart w:id="0" w:name="OLE_LINK1"/>
      <w:r>
        <w:rPr>
          <w:rFonts w:ascii="Times New Roman" w:hAnsi="Times New Roman"/>
          <w:b/>
          <w:kern w:val="0"/>
          <w:sz w:val="36"/>
          <w:szCs w:val="36"/>
        </w:rPr>
        <w:t>投资者关系活动记录表</w:t>
      </w:r>
    </w:p>
    <w:bookmarkEnd w:id="0"/>
    <w:p w14:paraId="48975354">
      <w:pPr>
        <w:tabs>
          <w:tab w:val="left" w:pos="6106"/>
        </w:tabs>
        <w:spacing w:before="156" w:beforeLines="50" w:after="156" w:afterLines="50"/>
        <w:ind w:firstLine="240" w:firstLineChars="100"/>
        <w:jc w:val="right"/>
        <w:rPr>
          <w:rFonts w:hint="eastAsia" w:ascii="Times New Roman" w:hAnsi="Times New Roman" w:eastAsia="宋体"/>
          <w:sz w:val="24"/>
          <w:lang w:eastAsia="zh-CN"/>
        </w:rPr>
      </w:pPr>
      <w:r>
        <w:rPr>
          <w:rFonts w:ascii="Times New Roman" w:hAnsi="Times New Roman"/>
          <w:sz w:val="24"/>
        </w:rPr>
        <w:t>编号：</w:t>
      </w:r>
      <w:r>
        <w:rPr>
          <w:rFonts w:hint="eastAsia" w:ascii="Times New Roman" w:hAnsi="Times New Roman"/>
          <w:sz w:val="24"/>
        </w:rPr>
        <w:t>2026-00</w:t>
      </w:r>
      <w:r>
        <w:rPr>
          <w:rFonts w:hint="eastAsia" w:ascii="Times New Roman" w:hAnsi="Times New Roman"/>
          <w:sz w:val="24"/>
          <w:lang w:val="en-US" w:eastAsia="zh-CN"/>
        </w:rPr>
        <w:t>2</w:t>
      </w:r>
    </w:p>
    <w:tbl>
      <w:tblPr>
        <w:tblStyle w:val="7"/>
        <w:tblW w:w="0" w:type="auto"/>
        <w:jc w:val="center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17"/>
        <w:gridCol w:w="6855"/>
      </w:tblGrid>
      <w:tr w14:paraId="2CC63196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617" w:type="dxa"/>
            <w:tcBorders>
              <w:top w:val="single" w:color="auto" w:sz="12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DE6EE01">
            <w:pPr>
              <w:spacing w:before="156" w:beforeLines="50" w:after="156" w:afterLines="50"/>
              <w:jc w:val="center"/>
              <w:rPr>
                <w:rFonts w:ascii="Times New Roman" w:hAnsi="Times New Roman"/>
                <w:bCs/>
                <w:sz w:val="24"/>
              </w:rPr>
            </w:pPr>
            <w:r>
              <w:rPr>
                <w:rFonts w:ascii="Times New Roman" w:hAnsi="Times New Roman"/>
                <w:b/>
                <w:bCs/>
                <w:sz w:val="24"/>
              </w:rPr>
              <w:t>投资者关系活动类别</w:t>
            </w:r>
          </w:p>
        </w:tc>
        <w:tc>
          <w:tcPr>
            <w:tcW w:w="6855" w:type="dxa"/>
            <w:tcBorders>
              <w:top w:val="single" w:color="auto" w:sz="12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vAlign w:val="center"/>
          </w:tcPr>
          <w:p w14:paraId="5DBE8A1F">
            <w:pPr>
              <w:widowControl/>
              <w:tabs>
                <w:tab w:val="left" w:pos="3480"/>
              </w:tabs>
              <w:spacing w:before="156" w:beforeLines="50" w:after="156" w:afterLines="50"/>
              <w:rPr>
                <w:rFonts w:ascii="Times New Roman" w:hAnsi="Times New Roman"/>
                <w:bCs/>
                <w:sz w:val="24"/>
              </w:rPr>
            </w:pPr>
            <w:r>
              <w:rPr>
                <w:rFonts w:hint="eastAsia" w:ascii="Times New Roman" w:hAnsi="Times New Roman"/>
                <w:bCs/>
                <w:sz w:val="24"/>
                <w:lang w:eastAsia="zh-CN"/>
              </w:rPr>
              <w:t>☑</w:t>
            </w:r>
            <w:r>
              <w:rPr>
                <w:rFonts w:ascii="Times New Roman" w:hAnsi="Times New Roman"/>
                <w:bCs/>
                <w:sz w:val="24"/>
              </w:rPr>
              <w:t>特定对象调研   □分析师会议      □媒体采访</w:t>
            </w:r>
          </w:p>
          <w:p w14:paraId="084B8793">
            <w:pPr>
              <w:widowControl/>
              <w:tabs>
                <w:tab w:val="left" w:pos="2040"/>
                <w:tab w:val="left" w:pos="3480"/>
              </w:tabs>
              <w:spacing w:before="156" w:beforeLines="50" w:after="156" w:afterLines="50"/>
              <w:rPr>
                <w:rFonts w:ascii="Times New Roman" w:hAnsi="Times New Roman"/>
                <w:bCs/>
                <w:sz w:val="24"/>
              </w:rPr>
            </w:pPr>
            <w:r>
              <w:rPr>
                <w:rFonts w:hint="eastAsia" w:ascii="Times New Roman" w:hAnsi="Times New Roman"/>
                <w:bCs/>
                <w:sz w:val="24"/>
                <w:lang w:eastAsia="zh-CN"/>
              </w:rPr>
              <w:t>□</w:t>
            </w:r>
            <w:r>
              <w:rPr>
                <w:rFonts w:ascii="Times New Roman" w:hAnsi="Times New Roman"/>
                <w:bCs/>
                <w:sz w:val="24"/>
              </w:rPr>
              <w:t xml:space="preserve">业绩说明会     □新闻发布会      </w:t>
            </w:r>
            <w:r>
              <w:rPr>
                <w:rFonts w:hint="eastAsia" w:ascii="Times New Roman" w:hAnsi="Times New Roman"/>
                <w:bCs/>
                <w:sz w:val="24"/>
              </w:rPr>
              <w:t>□</w:t>
            </w:r>
            <w:r>
              <w:rPr>
                <w:rFonts w:ascii="Times New Roman" w:hAnsi="Times New Roman"/>
                <w:bCs/>
                <w:sz w:val="24"/>
              </w:rPr>
              <w:t>路演活动</w:t>
            </w:r>
          </w:p>
          <w:p w14:paraId="7C76FED2">
            <w:pPr>
              <w:spacing w:before="156" w:beforeLines="50" w:after="156" w:afterLines="50"/>
              <w:rPr>
                <w:rFonts w:ascii="Times New Roman" w:hAnsi="Times New Roman"/>
                <w:bCs/>
                <w:sz w:val="24"/>
              </w:rPr>
            </w:pPr>
            <w:r>
              <w:rPr>
                <w:rFonts w:hint="eastAsia" w:ascii="Times New Roman" w:hAnsi="Times New Roman"/>
                <w:bCs/>
                <w:sz w:val="24"/>
              </w:rPr>
              <w:t>□</w:t>
            </w:r>
            <w:r>
              <w:rPr>
                <w:rFonts w:ascii="Times New Roman" w:hAnsi="Times New Roman"/>
                <w:bCs/>
                <w:sz w:val="24"/>
              </w:rPr>
              <w:t xml:space="preserve">现场参观       </w:t>
            </w:r>
            <w:r>
              <w:rPr>
                <w:rFonts w:hint="eastAsia" w:ascii="Times New Roman" w:hAnsi="Times New Roman"/>
                <w:bCs/>
                <w:sz w:val="24"/>
                <w:lang w:eastAsia="zh-CN"/>
              </w:rPr>
              <w:t>☑</w:t>
            </w:r>
            <w:r>
              <w:rPr>
                <w:rFonts w:ascii="Times New Roman" w:hAnsi="Times New Roman"/>
                <w:bCs/>
                <w:sz w:val="24"/>
              </w:rPr>
              <w:t xml:space="preserve">一对一沟通      </w:t>
            </w:r>
            <w:r>
              <w:rPr>
                <w:rFonts w:hint="eastAsia" w:ascii="Times New Roman" w:hAnsi="Times New Roman"/>
                <w:bCs/>
                <w:sz w:val="24"/>
              </w:rPr>
              <w:t>□</w:t>
            </w:r>
            <w:r>
              <w:rPr>
                <w:rFonts w:ascii="Times New Roman" w:hAnsi="Times New Roman"/>
                <w:bCs/>
                <w:sz w:val="24"/>
              </w:rPr>
              <w:t>其他（电话会议）</w:t>
            </w:r>
          </w:p>
        </w:tc>
      </w:tr>
      <w:tr w14:paraId="63354AEB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1617" w:type="dxa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9227E75">
            <w:pPr>
              <w:spacing w:before="156" w:beforeLines="50" w:after="156" w:afterLines="50"/>
              <w:jc w:val="center"/>
              <w:rPr>
                <w:rFonts w:ascii="Times New Roman" w:hAnsi="Times New Roman"/>
                <w:b/>
                <w:bCs/>
                <w:sz w:val="24"/>
              </w:rPr>
            </w:pPr>
            <w:r>
              <w:rPr>
                <w:rFonts w:ascii="Times New Roman" w:hAnsi="Times New Roman"/>
                <w:b/>
                <w:bCs/>
                <w:sz w:val="24"/>
              </w:rPr>
              <w:t>参与单位及人员名称</w:t>
            </w:r>
          </w:p>
        </w:tc>
        <w:tc>
          <w:tcPr>
            <w:tcW w:w="68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vAlign w:val="center"/>
          </w:tcPr>
          <w:p w14:paraId="4C16BD39">
            <w:pPr>
              <w:spacing w:before="156" w:beforeLines="50" w:after="156" w:afterLines="50" w:line="360" w:lineRule="auto"/>
              <w:rPr>
                <w:rFonts w:ascii="Times New Roman" w:hAnsi="Times New Roman"/>
                <w:sz w:val="24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24"/>
                <w:highlight w:val="none"/>
              </w:rPr>
              <w:t>华源证券、长江证券、申万宏源、财通证券、广发证券、中金公司、中信证券、国海证券、兴业证券、东兴证券、浙商证券、国金证券、国联民生证券、国泰海通证券、西南证券、国盛证券、开源证券、光大证券、世纪证券、天弘基金、中银基金、华安基金、华宝基金、申万菱信基金、银河基金、泰信基金、创金合信基金、招商基金、</w:t>
            </w:r>
            <w:r>
              <w:rPr>
                <w:rFonts w:hint="eastAsia" w:ascii="Times New Roman" w:hAnsi="Times New Roman" w:eastAsia="宋体" w:cs="Times New Roman"/>
                <w:color w:val="auto"/>
                <w:sz w:val="24"/>
                <w:highlight w:val="none"/>
                <w:lang w:val="en-US" w:eastAsia="zh-CN"/>
              </w:rPr>
              <w:t>大成基金、</w:t>
            </w:r>
            <w:r>
              <w:rPr>
                <w:rFonts w:hint="eastAsia" w:ascii="Times New Roman" w:hAnsi="Times New Roman" w:eastAsia="宋体" w:cs="Times New Roman"/>
                <w:color w:val="auto"/>
                <w:sz w:val="24"/>
                <w:highlight w:val="none"/>
              </w:rPr>
              <w:t>国投证券资管、仁桥资产、厦门国贸、上海呈瑞投资、乐盈私募、上海尚雅投资、上海明河投资、途灵资产、上海原泽私募、上海指南行远私募、宁波宝隽资产、华能贵诚信托、深圳尚诚资产、钛动科技、Baring Asset、Centerline</w:t>
            </w:r>
          </w:p>
        </w:tc>
      </w:tr>
      <w:tr w14:paraId="6755D115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1617" w:type="dxa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909D8CC">
            <w:pPr>
              <w:spacing w:before="156" w:beforeLines="50" w:after="156" w:afterLines="50"/>
              <w:jc w:val="center"/>
              <w:rPr>
                <w:rFonts w:ascii="Times New Roman" w:hAnsi="Times New Roman"/>
                <w:b/>
                <w:bCs/>
                <w:sz w:val="24"/>
              </w:rPr>
            </w:pPr>
            <w:r>
              <w:rPr>
                <w:rFonts w:ascii="Times New Roman" w:hAnsi="Times New Roman"/>
                <w:b/>
                <w:bCs/>
                <w:sz w:val="24"/>
              </w:rPr>
              <w:t>时间</w:t>
            </w:r>
          </w:p>
        </w:tc>
        <w:tc>
          <w:tcPr>
            <w:tcW w:w="68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vAlign w:val="center"/>
          </w:tcPr>
          <w:p w14:paraId="5E1E51C9">
            <w:pPr>
              <w:spacing w:before="156" w:beforeLines="50" w:after="156" w:afterLines="50" w:line="360" w:lineRule="auto"/>
              <w:rPr>
                <w:rFonts w:ascii="Times New Roman" w:hAnsi="Times New Roman"/>
                <w:sz w:val="24"/>
              </w:rPr>
            </w:pPr>
            <w:r>
              <w:rPr>
                <w:rFonts w:hint="eastAsia" w:ascii="Times New Roman" w:hAnsi="Times New Roman"/>
                <w:sz w:val="24"/>
              </w:rPr>
              <w:t>2026年</w:t>
            </w:r>
            <w:r>
              <w:rPr>
                <w:rFonts w:hint="eastAsia" w:ascii="Times New Roman" w:hAnsi="Times New Roman" w:eastAsia="宋体" w:cs="Times New Roman"/>
                <w:sz w:val="24"/>
                <w:lang w:val="en-US" w:eastAsia="zh-CN"/>
              </w:rPr>
              <w:t>8</w:t>
            </w:r>
            <w:r>
              <w:rPr>
                <w:rFonts w:hint="eastAsia" w:ascii="Times New Roman" w:hAnsi="Times New Roman" w:eastAsia="宋体" w:cs="Times New Roman"/>
                <w:sz w:val="24"/>
              </w:rPr>
              <w:t>月</w:t>
            </w:r>
            <w:r>
              <w:rPr>
                <w:rFonts w:hint="eastAsia" w:ascii="Times New Roman" w:hAnsi="Times New Roman" w:eastAsia="宋体" w:cs="Times New Roman"/>
                <w:sz w:val="24"/>
                <w:lang w:val="en-US" w:eastAsia="zh-CN"/>
              </w:rPr>
              <w:t>19</w:t>
            </w:r>
            <w:r>
              <w:rPr>
                <w:rFonts w:hint="eastAsia" w:ascii="Times New Roman" w:hAnsi="Times New Roman" w:eastAsia="宋体" w:cs="Times New Roman"/>
                <w:sz w:val="24"/>
              </w:rPr>
              <w:t>日</w:t>
            </w:r>
            <w:r>
              <w:rPr>
                <w:rFonts w:hint="eastAsia" w:ascii="Times New Roman" w:hAnsi="Times New Roman" w:eastAsia="宋体" w:cs="Times New Roman"/>
                <w:sz w:val="24"/>
                <w:lang w:val="en-US" w:eastAsia="zh-CN"/>
              </w:rPr>
              <w:t>至8月20日</w:t>
            </w:r>
          </w:p>
        </w:tc>
      </w:tr>
      <w:tr w14:paraId="0BE63F92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1617" w:type="dxa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3C009A8">
            <w:pPr>
              <w:spacing w:before="156" w:beforeLines="50" w:after="156" w:afterLines="50"/>
              <w:jc w:val="center"/>
              <w:rPr>
                <w:rFonts w:ascii="Times New Roman" w:hAnsi="Times New Roman"/>
                <w:b/>
                <w:bCs/>
                <w:sz w:val="24"/>
              </w:rPr>
            </w:pPr>
            <w:r>
              <w:rPr>
                <w:rFonts w:ascii="Times New Roman" w:hAnsi="Times New Roman"/>
                <w:b/>
                <w:bCs/>
                <w:sz w:val="24"/>
              </w:rPr>
              <w:t>地点</w:t>
            </w:r>
          </w:p>
        </w:tc>
        <w:tc>
          <w:tcPr>
            <w:tcW w:w="68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vAlign w:val="center"/>
          </w:tcPr>
          <w:p w14:paraId="29DC1D8A">
            <w:pPr>
              <w:spacing w:before="156" w:beforeLines="50" w:after="156" w:afterLines="50" w:line="360" w:lineRule="auto"/>
              <w:rPr>
                <w:rFonts w:hint="default" w:ascii="Times New Roman" w:hAnsi="Times New Roman" w:eastAsia="宋体"/>
                <w:sz w:val="24"/>
                <w:lang w:val="en-US" w:eastAsia="zh-CN"/>
              </w:rPr>
            </w:pPr>
            <w:r>
              <w:rPr>
                <w:rFonts w:hint="eastAsia" w:ascii="Times New Roman" w:hAnsi="Times New Roman"/>
                <w:sz w:val="24"/>
                <w:lang w:val="en-US" w:eastAsia="zh-CN"/>
              </w:rPr>
              <w:t>进门财经</w:t>
            </w:r>
            <w:r>
              <w:rPr>
                <w:rFonts w:hint="eastAsia" w:ascii="Times New Roman" w:hAnsi="Times New Roman"/>
                <w:sz w:val="24"/>
              </w:rPr>
              <w:t>路演平台</w:t>
            </w:r>
            <w:r>
              <w:rPr>
                <w:rFonts w:hint="eastAsia" w:ascii="Times New Roman" w:hAnsi="Times New Roman"/>
                <w:sz w:val="24"/>
                <w:lang w:eastAsia="zh-CN"/>
              </w:rPr>
              <w:t>、</w:t>
            </w:r>
            <w:r>
              <w:rPr>
                <w:rFonts w:hint="eastAsia" w:ascii="Times New Roman" w:hAnsi="Times New Roman"/>
                <w:sz w:val="24"/>
                <w:lang w:val="en-US" w:eastAsia="zh-CN"/>
              </w:rPr>
              <w:t>腾讯会议</w:t>
            </w:r>
          </w:p>
        </w:tc>
      </w:tr>
      <w:tr w14:paraId="00BA22FE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25" w:hRule="atLeast"/>
          <w:jc w:val="center"/>
        </w:trPr>
        <w:tc>
          <w:tcPr>
            <w:tcW w:w="1617" w:type="dxa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845FC8E">
            <w:pPr>
              <w:spacing w:before="156" w:beforeLines="50" w:after="156" w:afterLines="50"/>
              <w:jc w:val="center"/>
              <w:rPr>
                <w:rFonts w:ascii="Times New Roman" w:hAnsi="Times New Roman"/>
                <w:b/>
                <w:bCs/>
                <w:sz w:val="24"/>
              </w:rPr>
            </w:pPr>
            <w:r>
              <w:rPr>
                <w:rFonts w:ascii="Times New Roman" w:hAnsi="Times New Roman"/>
                <w:b/>
                <w:bCs/>
                <w:sz w:val="24"/>
              </w:rPr>
              <w:t>公司接待人员姓名</w:t>
            </w:r>
          </w:p>
        </w:tc>
        <w:tc>
          <w:tcPr>
            <w:tcW w:w="68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vAlign w:val="center"/>
          </w:tcPr>
          <w:p w14:paraId="1BA12F92">
            <w:pPr>
              <w:spacing w:before="156" w:beforeLines="50" w:after="156" w:afterLines="50" w:line="360" w:lineRule="auto"/>
              <w:rPr>
                <w:rFonts w:hint="eastAsia" w:ascii="Times New Roman" w:hAnsi="Times New Roman"/>
                <w:sz w:val="24"/>
              </w:rPr>
            </w:pPr>
            <w:r>
              <w:rPr>
                <w:rFonts w:hint="eastAsia" w:ascii="Times New Roman" w:hAnsi="Times New Roman"/>
                <w:sz w:val="24"/>
              </w:rPr>
              <w:t>董事会秘书 柳思颖女士</w:t>
            </w:r>
          </w:p>
          <w:p w14:paraId="2A8BC92B">
            <w:pPr>
              <w:spacing w:before="156" w:beforeLines="50" w:after="156" w:afterLines="50" w:line="360" w:lineRule="auto"/>
              <w:rPr>
                <w:rFonts w:hint="eastAsia" w:ascii="Times New Roman" w:hAnsi="Times New Roman"/>
                <w:sz w:val="24"/>
              </w:rPr>
            </w:pPr>
            <w:r>
              <w:rPr>
                <w:rFonts w:hint="eastAsia" w:ascii="Times New Roman" w:hAnsi="Times New Roman" w:eastAsia="宋体" w:cs="Times New Roman"/>
                <w:sz w:val="24"/>
                <w:lang w:val="en-US" w:eastAsia="zh-CN"/>
              </w:rPr>
              <w:t>投资者关系经理 祁忠慧先生</w:t>
            </w:r>
          </w:p>
        </w:tc>
      </w:tr>
      <w:tr w14:paraId="18E25C2C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67" w:hRule="atLeast"/>
          <w:jc w:val="center"/>
        </w:trPr>
        <w:tc>
          <w:tcPr>
            <w:tcW w:w="1617" w:type="dxa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C5B6A30">
            <w:pPr>
              <w:spacing w:before="156" w:beforeLines="50" w:after="156" w:afterLines="50"/>
              <w:jc w:val="center"/>
              <w:rPr>
                <w:rFonts w:ascii="Times New Roman" w:hAnsi="Times New Roman"/>
                <w:b/>
                <w:bCs/>
                <w:sz w:val="24"/>
              </w:rPr>
            </w:pPr>
            <w:r>
              <w:rPr>
                <w:rFonts w:ascii="Times New Roman" w:hAnsi="Times New Roman"/>
                <w:b/>
                <w:bCs/>
                <w:sz w:val="24"/>
              </w:rPr>
              <w:t>投资者关系活动主要内容介绍</w:t>
            </w:r>
          </w:p>
        </w:tc>
        <w:tc>
          <w:tcPr>
            <w:tcW w:w="68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vAlign w:val="center"/>
          </w:tcPr>
          <w:p w14:paraId="09564C9A">
            <w:pPr>
              <w:keepNext w:val="0"/>
              <w:keepLines w:val="0"/>
              <w:pageBreakBefore w:val="0"/>
              <w:widowControl/>
              <w:numPr>
                <w:ilvl w:val="-1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56" w:beforeLines="50" w:after="156" w:afterLines="50" w:line="360" w:lineRule="auto"/>
              <w:ind w:left="0" w:leftChars="0" w:firstLine="482" w:firstLineChars="200"/>
              <w:jc w:val="left"/>
              <w:textAlignment w:val="auto"/>
              <w:rPr>
                <w:rFonts w:hint="default" w:ascii="Times New Roman" w:hAnsi="Times New Roman" w:eastAsia="宋体" w:cs="Times New Roman"/>
                <w:b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b/>
                <w:bCs/>
                <w:sz w:val="24"/>
                <w:szCs w:val="24"/>
                <w:lang w:val="en-US" w:eastAsia="zh-CN"/>
              </w:rPr>
              <w:t>一、</w:t>
            </w:r>
            <w:r>
              <w:rPr>
                <w:rFonts w:hint="default" w:ascii="Times New Roman" w:hAnsi="Times New Roman" w:eastAsia="宋体" w:cs="Times New Roman"/>
                <w:b/>
                <w:bCs/>
                <w:sz w:val="24"/>
                <w:szCs w:val="24"/>
                <w:lang w:val="en-US" w:eastAsia="zh-CN"/>
              </w:rPr>
              <w:t>公司2026年上半年经营情况</w:t>
            </w:r>
          </w:p>
          <w:p w14:paraId="5C3E43C8">
            <w:pPr>
              <w:numPr>
                <w:ilvl w:val="-1"/>
                <w:numId w:val="0"/>
              </w:numPr>
              <w:spacing w:before="156" w:beforeLines="50" w:after="156" w:afterLines="50" w:line="360" w:lineRule="auto"/>
              <w:ind w:firstLine="482" w:firstLineChars="200"/>
              <w:rPr>
                <w:rFonts w:ascii="Times New Roman" w:hAnsi="Times New Roman" w:eastAsia="宋体" w:cs="Times New Roman"/>
                <w:b/>
                <w:bCs/>
                <w:sz w:val="24"/>
              </w:rPr>
            </w:pPr>
            <w:r>
              <w:rPr>
                <w:rFonts w:hint="eastAsia" w:ascii="Times New Roman" w:hAnsi="Times New Roman" w:eastAsia="宋体" w:cs="Times New Roman"/>
                <w:b/>
                <w:bCs/>
                <w:sz w:val="24"/>
              </w:rPr>
              <w:t>1、运力规模</w:t>
            </w:r>
          </w:p>
          <w:p w14:paraId="76637153">
            <w:pPr>
              <w:numPr>
                <w:ilvl w:val="-1"/>
                <w:numId w:val="0"/>
              </w:numPr>
              <w:spacing w:before="156" w:beforeLines="50" w:after="156" w:afterLines="50" w:line="360" w:lineRule="auto"/>
              <w:ind w:firstLine="480" w:firstLineChars="200"/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ascii="Times New Roman" w:hAnsi="Times New Roman" w:eastAsia="宋体" w:cs="Times New Roman"/>
                <w:sz w:val="24"/>
              </w:rPr>
              <w:t>截</w:t>
            </w:r>
            <w:r>
              <w:rPr>
                <w:rFonts w:hint="eastAsia" w:ascii="Times New Roman" w:hAnsi="Times New Roman" w:eastAsia="宋体" w:cs="Times New Roman"/>
                <w:sz w:val="24"/>
              </w:rPr>
              <w:t>至</w:t>
            </w:r>
            <w:r>
              <w:rPr>
                <w:rFonts w:ascii="Times New Roman" w:hAnsi="Times New Roman" w:eastAsia="宋体" w:cs="Times New Roman"/>
                <w:sz w:val="24"/>
              </w:rPr>
              <w:t>202</w:t>
            </w:r>
            <w:r>
              <w:rPr>
                <w:rFonts w:hint="eastAsia" w:ascii="Times New Roman" w:hAnsi="Times New Roman" w:eastAsia="宋体" w:cs="Times New Roman"/>
                <w:sz w:val="24"/>
              </w:rPr>
              <w:t>6</w:t>
            </w:r>
            <w:r>
              <w:rPr>
                <w:rFonts w:ascii="Times New Roman" w:hAnsi="Times New Roman" w:eastAsia="宋体" w:cs="Times New Roman"/>
                <w:sz w:val="24"/>
              </w:rPr>
              <w:t>年</w:t>
            </w:r>
            <w:r>
              <w:rPr>
                <w:rFonts w:hint="eastAsia" w:ascii="Times New Roman" w:hAnsi="Times New Roman" w:eastAsia="宋体" w:cs="Times New Roman"/>
                <w:sz w:val="24"/>
              </w:rPr>
              <w:t>6</w:t>
            </w:r>
            <w:r>
              <w:rPr>
                <w:rFonts w:ascii="Times New Roman" w:hAnsi="Times New Roman" w:eastAsia="宋体" w:cs="Times New Roman"/>
                <w:sz w:val="24"/>
              </w:rPr>
              <w:t>月</w:t>
            </w:r>
            <w:r>
              <w:rPr>
                <w:rFonts w:hint="eastAsia" w:ascii="Times New Roman" w:hAnsi="Times New Roman" w:eastAsia="宋体" w:cs="Times New Roman"/>
                <w:sz w:val="24"/>
              </w:rPr>
              <w:t>30</w:t>
            </w:r>
            <w:r>
              <w:rPr>
                <w:rFonts w:ascii="Times New Roman" w:hAnsi="Times New Roman" w:eastAsia="宋体" w:cs="Times New Roman"/>
                <w:sz w:val="24"/>
              </w:rPr>
              <w:t>日，公司在营</w:t>
            </w:r>
            <w:r>
              <w:rPr>
                <w:rFonts w:hint="eastAsia" w:ascii="Times New Roman" w:hAnsi="Times New Roman" w:eastAsia="宋体" w:cs="Times New Roman"/>
                <w:sz w:val="24"/>
              </w:rPr>
              <w:t>船舶共40艘，运力规模合计50.68万载重吨。其中，</w:t>
            </w:r>
            <w:r>
              <w:rPr>
                <w:rFonts w:ascii="Times New Roman" w:hAnsi="Times New Roman" w:eastAsia="宋体" w:cs="Times New Roman"/>
                <w:sz w:val="24"/>
              </w:rPr>
              <w:t>化学品船舶</w:t>
            </w:r>
            <w:r>
              <w:rPr>
                <w:rFonts w:hint="eastAsia" w:ascii="Times New Roman" w:hAnsi="Times New Roman" w:eastAsia="宋体" w:cs="Times New Roman"/>
                <w:sz w:val="24"/>
              </w:rPr>
              <w:t>34</w:t>
            </w:r>
            <w:r>
              <w:rPr>
                <w:rFonts w:ascii="Times New Roman" w:hAnsi="Times New Roman" w:eastAsia="宋体" w:cs="Times New Roman"/>
                <w:sz w:val="24"/>
              </w:rPr>
              <w:t>艘，运力规模为</w:t>
            </w:r>
            <w:r>
              <w:rPr>
                <w:rFonts w:hint="eastAsia" w:ascii="Times New Roman" w:hAnsi="Times New Roman" w:eastAsia="宋体" w:cs="Times New Roman"/>
                <w:sz w:val="24"/>
              </w:rPr>
              <w:t>43.66</w:t>
            </w:r>
            <w:r>
              <w:rPr>
                <w:rFonts w:ascii="Times New Roman" w:hAnsi="Times New Roman" w:eastAsia="宋体" w:cs="Times New Roman"/>
                <w:sz w:val="24"/>
              </w:rPr>
              <w:t>万载重吨</w:t>
            </w:r>
            <w:r>
              <w:rPr>
                <w:rFonts w:hint="eastAsia" w:ascii="Times New Roman" w:hAnsi="Times New Roman" w:eastAsia="宋体" w:cs="Times New Roman"/>
                <w:sz w:val="24"/>
              </w:rPr>
              <w:t>；</w:t>
            </w:r>
            <w:r>
              <w:rPr>
                <w:rFonts w:ascii="Times New Roman" w:hAnsi="Times New Roman" w:eastAsia="宋体" w:cs="Times New Roman"/>
                <w:sz w:val="24"/>
              </w:rPr>
              <w:t>LPG船3艘，运力规模为1.15万载重吨</w:t>
            </w:r>
            <w:r>
              <w:rPr>
                <w:rFonts w:hint="eastAsia" w:ascii="Times New Roman" w:hAnsi="Times New Roman" w:eastAsia="宋体" w:cs="Times New Roman"/>
                <w:sz w:val="24"/>
              </w:rPr>
              <w:t>；</w:t>
            </w:r>
            <w:r>
              <w:rPr>
                <w:rFonts w:ascii="Times New Roman" w:hAnsi="Times New Roman" w:eastAsia="宋体" w:cs="Times New Roman"/>
                <w:sz w:val="24"/>
              </w:rPr>
              <w:t>成品油船3艘，运力规模为5.87万载重吨。</w:t>
            </w:r>
            <w:r>
              <w:rPr>
                <w:rFonts w:hint="eastAsia" w:ascii="Times New Roman" w:hAnsi="Times New Roman" w:eastAsia="宋体" w:cs="Times New Roman"/>
                <w:sz w:val="24"/>
              </w:rPr>
              <w:t>除此之外，</w:t>
            </w:r>
            <w:r>
              <w:rPr>
                <w:rFonts w:ascii="Times New Roman" w:hAnsi="Times New Roman" w:eastAsia="宋体" w:cs="Times New Roman"/>
                <w:sz w:val="24"/>
              </w:rPr>
              <w:t>公司共有</w:t>
            </w:r>
            <w:r>
              <w:rPr>
                <w:rFonts w:hint="eastAsia" w:ascii="Times New Roman" w:hAnsi="Times New Roman" w:eastAsia="宋体" w:cs="Times New Roman"/>
                <w:sz w:val="24"/>
              </w:rPr>
              <w:t>13</w:t>
            </w:r>
            <w:r>
              <w:rPr>
                <w:rFonts w:ascii="Times New Roman" w:hAnsi="Times New Roman" w:eastAsia="宋体" w:cs="Times New Roman"/>
                <w:sz w:val="24"/>
              </w:rPr>
              <w:t>艘</w:t>
            </w:r>
            <w:r>
              <w:rPr>
                <w:rFonts w:hint="eastAsia" w:ascii="Times New Roman" w:hAnsi="Times New Roman" w:eastAsia="宋体" w:cs="Times New Roman"/>
                <w:sz w:val="24"/>
              </w:rPr>
              <w:t>在建船舶</w:t>
            </w:r>
            <w:r>
              <w:rPr>
                <w:rFonts w:ascii="Times New Roman" w:hAnsi="Times New Roman" w:eastAsia="宋体" w:cs="Times New Roman"/>
                <w:sz w:val="24"/>
              </w:rPr>
              <w:t>，运力规模合计达</w:t>
            </w:r>
            <w:r>
              <w:rPr>
                <w:rFonts w:hint="eastAsia" w:ascii="Times New Roman" w:hAnsi="Times New Roman" w:eastAsia="宋体" w:cs="Times New Roman"/>
                <w:sz w:val="24"/>
              </w:rPr>
              <w:t>21.97</w:t>
            </w:r>
            <w:r>
              <w:rPr>
                <w:rFonts w:ascii="Times New Roman" w:hAnsi="Times New Roman" w:eastAsia="宋体" w:cs="Times New Roman"/>
                <w:sz w:val="24"/>
              </w:rPr>
              <w:t>万载重吨</w:t>
            </w:r>
            <w:r>
              <w:rPr>
                <w:rFonts w:hint="eastAsia" w:ascii="Times New Roman" w:hAnsi="Times New Roman" w:eastAsia="宋体" w:cs="Times New Roman"/>
                <w:sz w:val="24"/>
              </w:rPr>
              <w:t>，计划于2026年下半年至2028年上半年陆续投入运营。</w:t>
            </w:r>
          </w:p>
          <w:p w14:paraId="101672B0">
            <w:pPr>
              <w:numPr>
                <w:ilvl w:val="-1"/>
                <w:numId w:val="0"/>
              </w:numPr>
              <w:spacing w:before="156" w:beforeLines="50" w:after="156" w:afterLines="50" w:line="360" w:lineRule="auto"/>
              <w:ind w:firstLine="480" w:firstLineChars="200"/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ascii="Times New Roman" w:hAnsi="Times New Roman" w:eastAsia="宋体" w:cs="Times New Roman"/>
                <w:sz w:val="24"/>
              </w:rPr>
              <w:t>截</w:t>
            </w:r>
            <w:r>
              <w:rPr>
                <w:rFonts w:hint="eastAsia" w:ascii="Times New Roman" w:hAnsi="Times New Roman" w:eastAsia="宋体" w:cs="Times New Roman"/>
                <w:sz w:val="24"/>
              </w:rPr>
              <w:t>至</w:t>
            </w:r>
            <w:r>
              <w:rPr>
                <w:rFonts w:ascii="Times New Roman" w:hAnsi="Times New Roman" w:eastAsia="宋体" w:cs="Times New Roman"/>
                <w:sz w:val="24"/>
              </w:rPr>
              <w:t>202</w:t>
            </w:r>
            <w:r>
              <w:rPr>
                <w:rFonts w:hint="eastAsia" w:ascii="Times New Roman" w:hAnsi="Times New Roman" w:eastAsia="宋体" w:cs="Times New Roman"/>
                <w:sz w:val="24"/>
              </w:rPr>
              <w:t>6</w:t>
            </w:r>
            <w:r>
              <w:rPr>
                <w:rFonts w:ascii="Times New Roman" w:hAnsi="Times New Roman" w:eastAsia="宋体" w:cs="Times New Roman"/>
                <w:sz w:val="24"/>
              </w:rPr>
              <w:t>年</w:t>
            </w:r>
            <w:r>
              <w:rPr>
                <w:rFonts w:hint="eastAsia" w:ascii="Times New Roman" w:hAnsi="Times New Roman" w:eastAsia="宋体" w:cs="Times New Roman"/>
                <w:sz w:val="24"/>
              </w:rPr>
              <w:t>6</w:t>
            </w:r>
            <w:r>
              <w:rPr>
                <w:rFonts w:ascii="Times New Roman" w:hAnsi="Times New Roman" w:eastAsia="宋体" w:cs="Times New Roman"/>
                <w:sz w:val="24"/>
              </w:rPr>
              <w:t>月</w:t>
            </w:r>
            <w:r>
              <w:rPr>
                <w:rFonts w:hint="eastAsia" w:ascii="Times New Roman" w:hAnsi="Times New Roman" w:eastAsia="宋体" w:cs="Times New Roman"/>
                <w:sz w:val="24"/>
              </w:rPr>
              <w:t>30</w:t>
            </w:r>
            <w:r>
              <w:rPr>
                <w:rFonts w:ascii="Times New Roman" w:hAnsi="Times New Roman" w:eastAsia="宋体" w:cs="Times New Roman"/>
                <w:sz w:val="24"/>
              </w:rPr>
              <w:t>日，</w:t>
            </w:r>
            <w:r>
              <w:rPr>
                <w:rFonts w:hint="eastAsia" w:ascii="Times New Roman" w:hAnsi="Times New Roman" w:eastAsia="宋体" w:cs="Times New Roman"/>
                <w:sz w:val="24"/>
              </w:rPr>
              <w:t>公司船舶合计53艘（含在建船舶），总运力规模达72.65万载重吨。</w:t>
            </w:r>
          </w:p>
          <w:p w14:paraId="183AE3E0">
            <w:pPr>
              <w:spacing w:before="156" w:beforeLines="50" w:after="156" w:afterLines="50" w:line="360" w:lineRule="auto"/>
              <w:ind w:firstLine="482" w:firstLineChars="200"/>
              <w:rPr>
                <w:rFonts w:ascii="Times New Roman" w:hAnsi="Times New Roman" w:eastAsia="宋体" w:cs="Times New Roman"/>
                <w:b/>
                <w:bCs/>
                <w:sz w:val="24"/>
              </w:rPr>
            </w:pPr>
            <w:r>
              <w:rPr>
                <w:rFonts w:hint="eastAsia" w:ascii="Times New Roman" w:hAnsi="Times New Roman" w:eastAsia="宋体" w:cs="Times New Roman"/>
                <w:b/>
                <w:bCs/>
                <w:sz w:val="24"/>
              </w:rPr>
              <w:t>2、主要经营数据</w:t>
            </w:r>
          </w:p>
          <w:p w14:paraId="53015EB2">
            <w:pPr>
              <w:spacing w:before="156" w:beforeLines="50" w:after="156" w:afterLines="50" w:line="360" w:lineRule="auto"/>
              <w:ind w:firstLine="480" w:firstLineChars="200"/>
              <w:jc w:val="left"/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hint="eastAsia" w:ascii="Times New Roman" w:hAnsi="Times New Roman" w:eastAsia="宋体" w:cs="Times New Roman"/>
                <w:sz w:val="24"/>
              </w:rPr>
              <w:t>2026年上半年，中东地缘冲突持续发酵，全球核心航运贸易通道受到较大扰动，国际原油及石化产品供给端承压，全球化工及工业品供应链格局迎来深度重构。面对复杂多变的国内外市场环境，公司紧扣国家“海洋强国”“交通强国”战略以及“一带一路”倡议导向，坚定锚定主营业务发展方向，精准把握国内外航线结构性发展机会，持续推进运力规模有序扩充、运输航线统筹优化与船舶精细化运营管理，实现内贸业务稳健增长、外贸业务提质增效，主业盈利底盘进一步筑牢。</w:t>
            </w:r>
          </w:p>
          <w:p w14:paraId="00454C64">
            <w:pPr>
              <w:spacing w:before="156" w:beforeLines="50" w:after="156" w:afterLines="50" w:line="360" w:lineRule="auto"/>
              <w:ind w:firstLine="480" w:firstLineChars="200"/>
              <w:jc w:val="left"/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hint="eastAsia" w:ascii="Times New Roman" w:hAnsi="Times New Roman" w:eastAsia="宋体" w:cs="Times New Roman"/>
                <w:sz w:val="24"/>
              </w:rPr>
              <w:t>报告期内，公司实现营业收入101,864.00万元，同比增长29.36%；归属于上市公司股东的净利润21,304.02万元，同比增长57.11%。公司完成散装液体危险货物运输总量为635.57万吨，同比增长3.64%，其中，液体化学品运输总量为534.99万吨，同比增长6.32%。</w:t>
            </w:r>
          </w:p>
          <w:p w14:paraId="6E889B49">
            <w:pPr>
              <w:spacing w:before="156" w:beforeLines="50" w:after="156" w:afterLines="50" w:line="360" w:lineRule="auto"/>
              <w:ind w:firstLine="482" w:firstLineChars="200"/>
              <w:rPr>
                <w:rFonts w:ascii="Times New Roman" w:hAnsi="Times New Roman" w:eastAsia="宋体" w:cs="Times New Roman"/>
                <w:b/>
                <w:bCs/>
                <w:sz w:val="24"/>
              </w:rPr>
            </w:pPr>
            <w:r>
              <w:rPr>
                <w:rFonts w:hint="eastAsia" w:ascii="Times New Roman" w:hAnsi="Times New Roman" w:cs="Times New Roman"/>
                <w:b/>
                <w:bCs/>
                <w:sz w:val="24"/>
                <w:lang w:val="en-US" w:eastAsia="zh-CN"/>
              </w:rPr>
              <w:t>二、</w:t>
            </w:r>
            <w:r>
              <w:rPr>
                <w:rFonts w:ascii="Times New Roman" w:hAnsi="Times New Roman" w:eastAsia="宋体" w:cs="Times New Roman"/>
                <w:b/>
                <w:bCs/>
                <w:sz w:val="24"/>
              </w:rPr>
              <w:t>交流的主要问题及公司回复概要</w:t>
            </w:r>
          </w:p>
          <w:p w14:paraId="233480E6">
            <w:pPr>
              <w:spacing w:before="156" w:beforeLines="50" w:after="156" w:afterLines="50" w:line="360" w:lineRule="auto"/>
              <w:ind w:firstLine="482" w:firstLineChars="200"/>
              <w:outlineLvl w:val="9"/>
              <w:rPr>
                <w:rFonts w:ascii="Times New Roman" w:hAnsi="Times New Roman" w:eastAsia="宋体" w:cs="Times New Roman"/>
                <w:b/>
                <w:bCs/>
                <w:sz w:val="24"/>
              </w:rPr>
            </w:pPr>
            <w:r>
              <w:rPr>
                <w:rFonts w:hint="eastAsia" w:ascii="Times New Roman" w:hAnsi="Times New Roman" w:eastAsia="宋体" w:cs="Times New Roman"/>
                <w:b/>
                <w:bCs/>
                <w:sz w:val="24"/>
              </w:rPr>
              <w:t>问题1：上半年内贸行业运量承压，公司仍取得优异表现的核心原因是什么？当前内贸市场是否已好转，下半年能否更乐观？</w:t>
            </w:r>
          </w:p>
          <w:p w14:paraId="238AD8B9">
            <w:pPr>
              <w:widowControl/>
              <w:spacing w:before="156" w:beforeLines="50" w:after="156" w:afterLines="50" w:line="360" w:lineRule="auto"/>
              <w:ind w:firstLine="482" w:firstLineChars="200"/>
              <w:jc w:val="left"/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hint="eastAsia" w:ascii="Times New Roman" w:hAnsi="Times New Roman" w:eastAsia="宋体" w:cs="Times New Roman"/>
                <w:b/>
                <w:bCs/>
                <w:sz w:val="24"/>
              </w:rPr>
              <w:t>回复：</w:t>
            </w:r>
            <w:r>
              <w:rPr>
                <w:rFonts w:hint="eastAsia" w:ascii="Times New Roman" w:hAnsi="Times New Roman" w:eastAsia="宋体" w:cs="Times New Roman"/>
                <w:sz w:val="24"/>
                <w:lang w:bidi="ar"/>
              </w:rPr>
              <w:t>2026年上半年，受国内炼厂、PX 装置开工阶段性回落影响，行业整体运量承压。在此背景下，公司内贸板块实现营收4.61亿元，同比增长1.00%，毛利率37.18%，同比提升3.19个百分点，主要得益于我们内贸板块多项核心竞争优势共同发挥作用。</w:t>
            </w:r>
          </w:p>
          <w:p w14:paraId="49CF42C9">
            <w:pPr>
              <w:widowControl/>
              <w:spacing w:before="156" w:beforeLines="50" w:after="156" w:afterLines="50" w:line="360" w:lineRule="auto"/>
              <w:ind w:firstLine="480" w:firstLineChars="200"/>
              <w:jc w:val="left"/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hint="eastAsia" w:ascii="Times New Roman" w:hAnsi="Times New Roman" w:eastAsia="宋体" w:cs="Times New Roman"/>
                <w:sz w:val="24"/>
                <w:lang w:bidi="ar"/>
              </w:rPr>
              <w:t>第一，长协COA筑牢经营底盘，客户根基扎实。公司深耕国内散装液体危化品航运近30年，与中石油、中石化、中海油、荣盛控股等头部炼化企业建立深度稳固的合作，市场服务认可度高。报告期</w:t>
            </w:r>
            <w:r>
              <w:rPr>
                <w:rFonts w:hint="eastAsia" w:ascii="Times New Roman" w:hAnsi="Times New Roman" w:eastAsia="宋体" w:cs="Times New Roman"/>
                <w:sz w:val="24"/>
                <w:lang w:val="en-US" w:eastAsia="zh-CN" w:bidi="ar"/>
              </w:rPr>
              <w:t>内</w:t>
            </w:r>
            <w:r>
              <w:rPr>
                <w:rFonts w:hint="eastAsia" w:ascii="Times New Roman" w:hAnsi="Times New Roman" w:eastAsia="宋体" w:cs="Times New Roman"/>
                <w:sz w:val="24"/>
                <w:lang w:eastAsia="zh-CN" w:bidi="ar"/>
              </w:rPr>
              <w:t>，</w:t>
            </w:r>
            <w:r>
              <w:rPr>
                <w:rFonts w:hint="eastAsia" w:ascii="Times New Roman" w:hAnsi="Times New Roman" w:eastAsia="宋体" w:cs="Times New Roman"/>
                <w:sz w:val="24"/>
                <w:lang w:bidi="ar"/>
              </w:rPr>
              <w:t>内贸期租</w:t>
            </w:r>
            <w:r>
              <w:rPr>
                <w:rFonts w:hint="eastAsia" w:ascii="Times New Roman" w:hAnsi="Times New Roman" w:eastAsia="宋体" w:cs="Times New Roman"/>
                <w:sz w:val="24"/>
                <w:lang w:val="en-US" w:eastAsia="zh-CN" w:bidi="ar"/>
              </w:rPr>
              <w:t>及</w:t>
            </w:r>
            <w:r>
              <w:rPr>
                <w:rFonts w:hint="eastAsia" w:ascii="Times New Roman" w:hAnsi="Times New Roman" w:eastAsia="宋体" w:cs="Times New Roman"/>
                <w:sz w:val="24"/>
                <w:lang w:bidi="ar"/>
              </w:rPr>
              <w:t>COA包运占比约80%，长协能够锁定基础货运量与收益，形成较强的抗周期安全垫，有效对冲行业运量波动。</w:t>
            </w:r>
          </w:p>
          <w:p w14:paraId="5AF37733">
            <w:pPr>
              <w:widowControl/>
              <w:spacing w:before="156" w:beforeLines="50" w:after="156" w:afterLines="50" w:line="360" w:lineRule="auto"/>
              <w:ind w:firstLine="480" w:firstLineChars="200"/>
              <w:jc w:val="left"/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hint="eastAsia" w:ascii="Times New Roman" w:hAnsi="Times New Roman" w:eastAsia="宋体" w:cs="Times New Roman"/>
                <w:sz w:val="24"/>
                <w:lang w:bidi="ar"/>
              </w:rPr>
              <w:t>第二，运力规模充足，灵活响应客户需求。公司内贸化学品船规模位居行业前列，自有运力储备充沛，能够根据客户订单动态统筹调配；同时适度将外租船舶作为补充手段，优先保障核心客户运输需求，维护客户合作黏性。</w:t>
            </w:r>
          </w:p>
          <w:p w14:paraId="0F0F77E8">
            <w:pPr>
              <w:widowControl/>
              <w:spacing w:before="156" w:beforeLines="50" w:after="156" w:afterLines="50" w:line="360" w:lineRule="auto"/>
              <w:ind w:firstLine="480" w:firstLineChars="200"/>
              <w:jc w:val="left"/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hint="eastAsia" w:ascii="Times New Roman" w:hAnsi="Times New Roman" w:eastAsia="宋体" w:cs="Times New Roman"/>
                <w:sz w:val="24"/>
                <w:lang w:bidi="ar"/>
              </w:rPr>
              <w:t>第三，</w:t>
            </w:r>
            <w:r>
              <w:rPr>
                <w:rFonts w:hint="eastAsia" w:ascii="Times New Roman" w:hAnsi="Times New Roman" w:eastAsia="宋体" w:cs="Times New Roman"/>
                <w:sz w:val="24"/>
                <w:lang w:val="en-US" w:eastAsia="zh-CN" w:bidi="ar"/>
              </w:rPr>
              <w:t>优化航线规划</w:t>
            </w:r>
            <w:r>
              <w:rPr>
                <w:rFonts w:hint="eastAsia" w:ascii="Times New Roman" w:hAnsi="Times New Roman" w:eastAsia="宋体" w:cs="Times New Roman"/>
                <w:sz w:val="24"/>
                <w:lang w:bidi="ar"/>
              </w:rPr>
              <w:t>，成本管控持续落地。商务</w:t>
            </w:r>
            <w:r>
              <w:rPr>
                <w:rFonts w:hint="eastAsia" w:ascii="Times New Roman" w:hAnsi="Times New Roman" w:eastAsia="宋体" w:cs="Times New Roman"/>
                <w:sz w:val="24"/>
                <w:lang w:val="en-US" w:eastAsia="zh-CN" w:bidi="ar"/>
              </w:rPr>
              <w:t>运营</w:t>
            </w:r>
            <w:r>
              <w:rPr>
                <w:rFonts w:hint="eastAsia" w:ascii="Times New Roman" w:hAnsi="Times New Roman" w:eastAsia="宋体" w:cs="Times New Roman"/>
                <w:sz w:val="24"/>
                <w:lang w:bidi="ar"/>
              </w:rPr>
              <w:t>团队优化往返航线、三角航线的排布，最大限度降低船舶空驶率，提升单船运营效益；同时对坞修、港口</w:t>
            </w:r>
            <w:r>
              <w:rPr>
                <w:rFonts w:hint="eastAsia" w:ascii="Times New Roman" w:hAnsi="Times New Roman" w:eastAsia="宋体" w:cs="Times New Roman"/>
                <w:sz w:val="24"/>
                <w:lang w:val="en-US" w:eastAsia="zh-CN" w:bidi="ar"/>
              </w:rPr>
              <w:t>使费</w:t>
            </w:r>
            <w:r>
              <w:rPr>
                <w:rFonts w:hint="eastAsia" w:ascii="Times New Roman" w:hAnsi="Times New Roman" w:eastAsia="宋体" w:cs="Times New Roman"/>
                <w:sz w:val="24"/>
                <w:lang w:bidi="ar"/>
              </w:rPr>
              <w:t>等各项运营成本实施精细化管控，推动船舶提质增效，对冲外部行业压力。</w:t>
            </w:r>
          </w:p>
          <w:p w14:paraId="48314D51">
            <w:pPr>
              <w:widowControl/>
              <w:spacing w:before="156" w:beforeLines="50" w:after="156" w:afterLines="50" w:line="360" w:lineRule="auto"/>
              <w:ind w:firstLine="480" w:firstLineChars="200"/>
              <w:jc w:val="left"/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hint="eastAsia" w:ascii="Times New Roman" w:hAnsi="Times New Roman" w:eastAsia="宋体" w:cs="Times New Roman"/>
                <w:sz w:val="24"/>
                <w:lang w:bidi="ar"/>
              </w:rPr>
              <w:t>从当前行业情况来看，7月以来国内炼厂开工率已出现修复迹象，叠加化工行业传统“金九银十”，以及华锦阿美等大型炼化项目陆续投产，中长期内贸运输需求具备支撑，市场基本面边际改善。供给端国内沿海危化品运力宏观调控政策保持不变，对运价形成一定支撑。但三季度是沿海台风高发期，会干扰海上通航，压缩船舶有效营运天数；同时炼化装置开工水平仍会受宏观环境、油价波动影响，后续走势存在不确定性。公司依托高比例长协底盘，能够较好平抑现货市场的波动，守住内贸业务的基本盘，实际经营情况请以公司定期报告为准。</w:t>
            </w:r>
          </w:p>
          <w:p w14:paraId="414CB178">
            <w:pPr>
              <w:spacing w:before="156" w:beforeLines="50" w:after="156" w:afterLines="50" w:line="360" w:lineRule="auto"/>
              <w:ind w:firstLine="482" w:firstLineChars="200"/>
              <w:outlineLvl w:val="9"/>
              <w:rPr>
                <w:rFonts w:ascii="Times New Roman" w:hAnsi="Times New Roman" w:eastAsia="宋体" w:cs="Times New Roman"/>
                <w:b/>
                <w:bCs/>
                <w:sz w:val="24"/>
              </w:rPr>
            </w:pPr>
            <w:r>
              <w:rPr>
                <w:rFonts w:hint="eastAsia" w:ascii="Times New Roman" w:hAnsi="Times New Roman" w:eastAsia="宋体" w:cs="Times New Roman"/>
                <w:b/>
                <w:bCs/>
                <w:sz w:val="24"/>
              </w:rPr>
              <w:t>问题2：二季度外贸高景气中，地缘冲突带来的溢价占比有多少？</w:t>
            </w:r>
          </w:p>
          <w:p w14:paraId="0A6765FD">
            <w:pPr>
              <w:widowControl/>
              <w:spacing w:before="156" w:beforeLines="50" w:after="156" w:afterLines="50" w:line="360" w:lineRule="auto"/>
              <w:ind w:firstLine="482" w:firstLineChars="200"/>
              <w:jc w:val="left"/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hint="eastAsia" w:ascii="Times New Roman" w:hAnsi="Times New Roman" w:eastAsia="宋体" w:cs="Times New Roman"/>
                <w:b/>
                <w:bCs/>
                <w:sz w:val="24"/>
              </w:rPr>
              <w:t>回复：</w:t>
            </w:r>
            <w:r>
              <w:rPr>
                <w:rFonts w:ascii="Times New Roman" w:hAnsi="Times New Roman" w:eastAsia="宋体" w:cs="Times New Roman"/>
                <w:sz w:val="24"/>
              </w:rPr>
              <w:t>地缘冲突带来的是贸易流向、运距、航线结构的综合变化，会同时作用于运价、货流、燃油、保险、港口、滞期等多个维度，收入端和成本端双向影响。二季度外贸业绩增长，是多重因素共同形成的：第一，地缘扰动重塑全球化工贸易流，美欧等航线现货</w:t>
            </w:r>
            <w:r>
              <w:rPr>
                <w:rFonts w:hint="default" w:ascii="Times New Roman" w:hAnsi="Times New Roman" w:eastAsia="宋体" w:cs="Times New Roman"/>
                <w:sz w:val="24"/>
              </w:rPr>
              <w:t>运价</w:t>
            </w:r>
            <w:r>
              <w:rPr>
                <w:rFonts w:ascii="Times New Roman" w:hAnsi="Times New Roman" w:eastAsia="宋体" w:cs="Times New Roman"/>
                <w:sz w:val="24"/>
              </w:rPr>
              <w:t>上行；但同时</w:t>
            </w:r>
            <w:r>
              <w:rPr>
                <w:rFonts w:hint="default" w:ascii="Times New Roman" w:hAnsi="Times New Roman" w:eastAsia="宋体" w:cs="Times New Roman"/>
                <w:sz w:val="24"/>
              </w:rPr>
              <w:t>燃油费用</w:t>
            </w:r>
            <w:r>
              <w:rPr>
                <w:rFonts w:ascii="Times New Roman" w:hAnsi="Times New Roman" w:eastAsia="宋体" w:cs="Times New Roman"/>
                <w:sz w:val="24"/>
              </w:rPr>
              <w:t>、战争险</w:t>
            </w:r>
            <w:r>
              <w:rPr>
                <w:rFonts w:hint="default" w:ascii="Times New Roman" w:hAnsi="Times New Roman" w:eastAsia="宋体" w:cs="Times New Roman"/>
                <w:sz w:val="24"/>
              </w:rPr>
              <w:t>等</w:t>
            </w:r>
            <w:r>
              <w:rPr>
                <w:rFonts w:ascii="Times New Roman" w:hAnsi="Times New Roman" w:eastAsia="宋体" w:cs="Times New Roman"/>
                <w:sz w:val="24"/>
              </w:rPr>
              <w:t>也带来额外成本，并非单纯的收益增厚。第二，</w:t>
            </w:r>
            <w:r>
              <w:rPr>
                <w:rFonts w:hint="default" w:ascii="Times New Roman" w:hAnsi="Times New Roman" w:eastAsia="宋体" w:cs="Times New Roman"/>
                <w:sz w:val="24"/>
              </w:rPr>
              <w:t>公司</w:t>
            </w:r>
            <w:r>
              <w:rPr>
                <w:rFonts w:ascii="Times New Roman" w:hAnsi="Times New Roman" w:eastAsia="宋体" w:cs="Times New Roman"/>
                <w:sz w:val="24"/>
              </w:rPr>
              <w:t>自有外贸运力同比有所增长，上半年新增30余家海外客户，客户结构持续优化，高附加值货占比提升，</w:t>
            </w:r>
            <w:r>
              <w:rPr>
                <w:rFonts w:hint="eastAsia" w:ascii="Times New Roman" w:hAnsi="Times New Roman" w:eastAsia="宋体" w:cs="Times New Roman"/>
                <w:sz w:val="24"/>
                <w:lang w:val="en-US" w:eastAsia="zh-CN"/>
              </w:rPr>
              <w:t>是</w:t>
            </w:r>
            <w:r>
              <w:rPr>
                <w:rFonts w:ascii="Times New Roman" w:hAnsi="Times New Roman" w:eastAsia="宋体" w:cs="Times New Roman"/>
                <w:sz w:val="24"/>
              </w:rPr>
              <w:t>自身业务拓展带来的持续性改善。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公司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会动态优化全球航线排布，灵活平衡航次程租、期租与COA的占比，尽量平滑现货运价大幅波动带来的影响，</w:t>
            </w:r>
            <w:r>
              <w:rPr>
                <w:rFonts w:hint="default" w:ascii="Times New Roman" w:hAnsi="Times New Roman" w:eastAsia="宋体" w:cs="Times New Roman"/>
                <w:sz w:val="24"/>
                <w:lang w:bidi="ar"/>
              </w:rPr>
              <w:t>实际经营情况请以公司定期报告为准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。</w:t>
            </w:r>
          </w:p>
          <w:p w14:paraId="26963519">
            <w:pPr>
              <w:spacing w:before="156" w:beforeLines="50" w:after="156" w:afterLines="50" w:line="360" w:lineRule="auto"/>
              <w:ind w:firstLine="482" w:firstLineChars="200"/>
              <w:outlineLvl w:val="9"/>
              <w:rPr>
                <w:rFonts w:ascii="Times New Roman" w:hAnsi="Times New Roman" w:eastAsia="宋体" w:cs="Times New Roman"/>
                <w:b/>
                <w:bCs/>
                <w:sz w:val="24"/>
              </w:rPr>
            </w:pPr>
            <w:r>
              <w:rPr>
                <w:rFonts w:hint="eastAsia" w:ascii="Times New Roman" w:hAnsi="Times New Roman" w:eastAsia="宋体" w:cs="Times New Roman"/>
                <w:b/>
                <w:bCs/>
                <w:sz w:val="24"/>
              </w:rPr>
              <w:t>问题3：外贸的经营区域覆盖哪些？期租和现货的比例是多少？后续长协规划如何？</w:t>
            </w:r>
          </w:p>
          <w:p w14:paraId="25644361">
            <w:pPr>
              <w:widowControl/>
              <w:spacing w:before="156" w:beforeLines="50" w:after="156" w:afterLines="50" w:line="360" w:lineRule="auto"/>
              <w:ind w:firstLine="482" w:firstLineChars="200"/>
              <w:jc w:val="left"/>
              <w:rPr>
                <w:rFonts w:ascii="Times New Roman" w:hAnsi="Times New Roman" w:eastAsia="宋体" w:cs="Times New Roman"/>
                <w:sz w:val="24"/>
                <w:lang w:bidi="ar"/>
              </w:rPr>
            </w:pPr>
            <w:r>
              <w:rPr>
                <w:rFonts w:hint="eastAsia" w:ascii="Times New Roman" w:hAnsi="Times New Roman" w:eastAsia="宋体" w:cs="Times New Roman"/>
                <w:b/>
                <w:bCs/>
                <w:sz w:val="24"/>
              </w:rPr>
              <w:t>回复：</w:t>
            </w:r>
            <w:r>
              <w:rPr>
                <w:rFonts w:ascii="Times New Roman" w:hAnsi="Times New Roman" w:eastAsia="宋体" w:cs="Times New Roman"/>
                <w:sz w:val="24"/>
                <w:lang w:bidi="ar"/>
              </w:rPr>
              <w:t>公司外贸航线实现全球化布局，覆盖东北亚、东南亚、</w:t>
            </w:r>
            <w:r>
              <w:rPr>
                <w:rFonts w:hint="default" w:ascii="Times New Roman" w:hAnsi="Times New Roman" w:eastAsia="宋体" w:cs="Times New Roman"/>
                <w:sz w:val="24"/>
                <w:lang w:bidi="ar"/>
              </w:rPr>
              <w:t>中东、</w:t>
            </w:r>
            <w:r>
              <w:rPr>
                <w:rFonts w:ascii="Times New Roman" w:hAnsi="Times New Roman" w:eastAsia="宋体" w:cs="Times New Roman"/>
                <w:sz w:val="24"/>
                <w:lang w:bidi="ar"/>
              </w:rPr>
              <w:t>地中海、西北欧、澳洲、美洲等全球主流贸易区域。受上半年地缘带来贸易流重构影响，</w:t>
            </w:r>
            <w:r>
              <w:rPr>
                <w:rFonts w:hint="default" w:ascii="Times New Roman" w:hAnsi="Times New Roman" w:eastAsia="宋体" w:cs="Times New Roman"/>
                <w:sz w:val="24"/>
                <w:lang w:bidi="ar"/>
              </w:rPr>
              <w:t>公司</w:t>
            </w:r>
            <w:r>
              <w:rPr>
                <w:rFonts w:ascii="Times New Roman" w:hAnsi="Times New Roman" w:eastAsia="宋体" w:cs="Times New Roman"/>
                <w:sz w:val="24"/>
                <w:lang w:bidi="ar"/>
              </w:rPr>
              <w:t>阶段性加大欧洲、美洲航线布局力度，同时根据货盘变化动态调配船舶。</w:t>
            </w:r>
          </w:p>
          <w:p w14:paraId="5D90456C">
            <w:pPr>
              <w:widowControl/>
              <w:spacing w:before="156" w:beforeLines="50" w:after="156" w:afterLines="50" w:line="360" w:lineRule="auto"/>
              <w:ind w:firstLine="480" w:firstLineChars="200"/>
              <w:jc w:val="left"/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hint="default" w:ascii="Times New Roman" w:hAnsi="Times New Roman" w:eastAsia="宋体" w:cs="Times New Roman"/>
                <w:sz w:val="24"/>
                <w:lang w:bidi="ar"/>
              </w:rPr>
              <w:t>报告期</w:t>
            </w:r>
            <w:r>
              <w:rPr>
                <w:rFonts w:hint="default" w:ascii="Times New Roman" w:hAnsi="Times New Roman" w:eastAsia="宋体" w:cs="Times New Roman"/>
                <w:sz w:val="24"/>
                <w:lang w:val="en-US" w:eastAsia="zh-CN" w:bidi="ar"/>
              </w:rPr>
              <w:t>内，</w:t>
            </w:r>
            <w:r>
              <w:rPr>
                <w:rFonts w:ascii="Times New Roman" w:hAnsi="Times New Roman" w:eastAsia="宋体" w:cs="Times New Roman"/>
                <w:sz w:val="24"/>
                <w:lang w:bidi="ar"/>
              </w:rPr>
              <w:t>外贸</w:t>
            </w:r>
            <w:r>
              <w:rPr>
                <w:rFonts w:hint="default" w:ascii="Times New Roman" w:hAnsi="Times New Roman" w:eastAsia="宋体" w:cs="Times New Roman"/>
                <w:sz w:val="24"/>
                <w:lang w:bidi="ar"/>
              </w:rPr>
              <w:t>期租与</w:t>
            </w:r>
            <w:r>
              <w:rPr>
                <w:rFonts w:ascii="Times New Roman" w:hAnsi="Times New Roman" w:eastAsia="宋体" w:cs="Times New Roman"/>
                <w:sz w:val="24"/>
                <w:lang w:bidi="ar"/>
              </w:rPr>
              <w:t>COA长协合同占比约10%。上半年欧美航线市场景气度较高，</w:t>
            </w:r>
            <w:r>
              <w:rPr>
                <w:rFonts w:hint="default" w:ascii="Times New Roman" w:hAnsi="Times New Roman" w:eastAsia="宋体" w:cs="Times New Roman"/>
                <w:sz w:val="24"/>
                <w:lang w:bidi="ar"/>
              </w:rPr>
              <w:t>公司</w:t>
            </w:r>
            <w:r>
              <w:rPr>
                <w:rFonts w:ascii="Times New Roman" w:hAnsi="Times New Roman" w:eastAsia="宋体" w:cs="Times New Roman"/>
                <w:sz w:val="24"/>
                <w:lang w:bidi="ar"/>
              </w:rPr>
              <w:t>选择以现货程租运营为主，充分把握市场周期红利。面向后续发展，随着外贸船队规模持续扩张，</w:t>
            </w:r>
            <w:r>
              <w:rPr>
                <w:rFonts w:hint="default" w:ascii="Times New Roman" w:hAnsi="Times New Roman" w:eastAsia="宋体" w:cs="Times New Roman"/>
                <w:sz w:val="24"/>
                <w:lang w:bidi="ar"/>
              </w:rPr>
              <w:t>公司</w:t>
            </w:r>
            <w:r>
              <w:rPr>
                <w:rFonts w:ascii="Times New Roman" w:hAnsi="Times New Roman" w:eastAsia="宋体" w:cs="Times New Roman"/>
                <w:sz w:val="24"/>
                <w:lang w:bidi="ar"/>
              </w:rPr>
              <w:t>会逐步提升期租以及COA 长协的业务占比，更好平衡经营盈利的稳定性与市场弹性。</w:t>
            </w:r>
          </w:p>
          <w:p w14:paraId="359F896A">
            <w:pPr>
              <w:spacing w:before="156" w:beforeLines="50" w:after="156" w:afterLines="50" w:line="360" w:lineRule="auto"/>
              <w:ind w:firstLine="482" w:firstLineChars="200"/>
              <w:outlineLvl w:val="9"/>
              <w:rPr>
                <w:rFonts w:ascii="Times New Roman" w:hAnsi="Times New Roman" w:eastAsia="宋体" w:cs="Times New Roman"/>
                <w:b/>
                <w:bCs/>
                <w:sz w:val="24"/>
              </w:rPr>
            </w:pPr>
            <w:r>
              <w:rPr>
                <w:rFonts w:hint="eastAsia" w:ascii="Times New Roman" w:hAnsi="Times New Roman" w:eastAsia="宋体" w:cs="Times New Roman"/>
                <w:b/>
                <w:bCs/>
                <w:sz w:val="24"/>
              </w:rPr>
              <w:t>问题4：若霍尔木兹海峡恢复通航，公司是否会开辟中东航线？未来航线布局规划是什么？</w:t>
            </w:r>
          </w:p>
          <w:p w14:paraId="7A70432A">
            <w:pPr>
              <w:widowControl/>
              <w:spacing w:before="156" w:beforeLines="50" w:after="156" w:afterLines="50" w:line="360" w:lineRule="auto"/>
              <w:ind w:firstLine="482" w:firstLineChars="200"/>
              <w:jc w:val="left"/>
              <w:rPr>
                <w:rFonts w:ascii="Times New Roman" w:hAnsi="Times New Roman" w:eastAsia="宋体" w:cs="Times New Roman"/>
                <w:sz w:val="24"/>
                <w:lang w:bidi="ar"/>
              </w:rPr>
            </w:pPr>
            <w:r>
              <w:rPr>
                <w:rFonts w:hint="eastAsia" w:ascii="Times New Roman" w:hAnsi="Times New Roman" w:eastAsia="宋体" w:cs="Times New Roman"/>
                <w:b/>
                <w:bCs/>
                <w:sz w:val="24"/>
              </w:rPr>
              <w:t>回复：</w:t>
            </w:r>
            <w:r>
              <w:rPr>
                <w:rFonts w:ascii="Times New Roman" w:hAnsi="Times New Roman" w:eastAsia="宋体" w:cs="Times New Roman"/>
                <w:sz w:val="24"/>
              </w:rPr>
              <w:t>公司已布局中东航线业务，受地缘局势影响，现阶段动态调整该区域航次频次与航行方案。若霍尔木兹海峡通航条件修复、货盘回归，公司将综合货量、运价、航行安全评估后适度增加中东航次投入，不会因航道恢复盲目投放运力，航行安全优先。</w:t>
            </w:r>
          </w:p>
          <w:p w14:paraId="3FE2C995">
            <w:pPr>
              <w:widowControl/>
              <w:numPr>
                <w:ilvl w:val="-1"/>
                <w:numId w:val="0"/>
              </w:numPr>
              <w:spacing w:before="156" w:beforeLines="50" w:after="156" w:afterLines="50" w:line="360" w:lineRule="auto"/>
              <w:ind w:firstLine="480" w:firstLineChars="200"/>
              <w:jc w:val="left"/>
              <w:rPr>
                <w:rFonts w:ascii="Times New Roman" w:hAnsi="Times New Roman" w:eastAsia="宋体" w:cs="Times New Roman"/>
                <w:b/>
                <w:bCs/>
                <w:sz w:val="24"/>
              </w:rPr>
            </w:pPr>
            <w:r>
              <w:rPr>
                <w:rFonts w:ascii="Times New Roman" w:hAnsi="Times New Roman" w:eastAsia="宋体" w:cs="Times New Roman"/>
                <w:sz w:val="24"/>
                <w:lang w:bidi="ar"/>
              </w:rPr>
              <w:t>放眼长远的航线布局，公司坚持全球化、多区域均衡布局的思路，不单一依赖某一条海峡、某一个区域市场。一方面依托新加坡、欧洲运营节点，持续深耕亚太、中东、地中海、西北欧、美洲、澳洲等全球主流贸易区域，根据不同区域货盘景气度灵活调配船队；另一方面，伴随后续一批不锈钢外贸新船交付，持续拓展海外优质石化客户，兼顾现货航次与长协COA业务。</w:t>
            </w:r>
          </w:p>
          <w:p w14:paraId="4301DA06">
            <w:pPr>
              <w:spacing w:before="156" w:beforeLines="50" w:after="156" w:afterLines="50" w:line="360" w:lineRule="auto"/>
              <w:ind w:firstLine="482" w:firstLineChars="200"/>
              <w:outlineLvl w:val="9"/>
              <w:rPr>
                <w:rFonts w:ascii="Times New Roman" w:hAnsi="Times New Roman" w:eastAsia="宋体" w:cs="Times New Roman"/>
                <w:b/>
                <w:bCs/>
                <w:sz w:val="24"/>
              </w:rPr>
            </w:pPr>
            <w:r>
              <w:rPr>
                <w:rFonts w:hint="eastAsia" w:ascii="Times New Roman" w:hAnsi="Times New Roman" w:eastAsia="宋体" w:cs="Times New Roman"/>
                <w:b/>
                <w:bCs/>
                <w:sz w:val="24"/>
              </w:rPr>
              <w:t>问题5：公司远期新造船与船队规模的长期规划是什么？是否考虑收并购？</w:t>
            </w:r>
          </w:p>
          <w:p w14:paraId="744763DD">
            <w:pPr>
              <w:spacing w:before="156" w:beforeLines="50" w:after="156" w:afterLines="50" w:line="360" w:lineRule="auto"/>
              <w:ind w:firstLine="482" w:firstLineChars="200"/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hint="eastAsia" w:ascii="Times New Roman" w:hAnsi="Times New Roman" w:eastAsia="宋体" w:cs="Times New Roman"/>
                <w:b/>
                <w:bCs/>
                <w:sz w:val="24"/>
                <w:lang w:bidi="ar"/>
              </w:rPr>
              <w:t>回复：</w:t>
            </w:r>
            <w:r>
              <w:rPr>
                <w:rFonts w:hint="eastAsia" w:ascii="Times New Roman" w:hAnsi="Times New Roman" w:eastAsia="宋体" w:cs="Times New Roman"/>
                <w:sz w:val="24"/>
                <w:lang w:bidi="ar"/>
              </w:rPr>
              <w:t>公司目前有</w:t>
            </w:r>
            <w:r>
              <w:rPr>
                <w:rFonts w:hint="eastAsia" w:ascii="Times New Roman" w:hAnsi="Times New Roman" w:eastAsia="宋体" w:cs="Times New Roman"/>
                <w:sz w:val="24"/>
              </w:rPr>
              <w:t>13</w:t>
            </w:r>
            <w:r>
              <w:rPr>
                <w:rFonts w:ascii="Times New Roman" w:hAnsi="Times New Roman" w:eastAsia="宋体" w:cs="Times New Roman"/>
                <w:sz w:val="24"/>
              </w:rPr>
              <w:t>艘</w:t>
            </w:r>
            <w:r>
              <w:rPr>
                <w:rFonts w:hint="eastAsia" w:ascii="Times New Roman" w:hAnsi="Times New Roman" w:eastAsia="宋体" w:cs="Times New Roman"/>
                <w:sz w:val="24"/>
              </w:rPr>
              <w:t>在建船舶</w:t>
            </w:r>
            <w:r>
              <w:rPr>
                <w:rFonts w:ascii="Times New Roman" w:hAnsi="Times New Roman" w:eastAsia="宋体" w:cs="Times New Roman"/>
                <w:sz w:val="24"/>
              </w:rPr>
              <w:t>，运力规模合计达</w:t>
            </w:r>
            <w:r>
              <w:rPr>
                <w:rFonts w:hint="eastAsia" w:ascii="Times New Roman" w:hAnsi="Times New Roman" w:eastAsia="宋体" w:cs="Times New Roman"/>
                <w:sz w:val="24"/>
              </w:rPr>
              <w:t>21.97</w:t>
            </w:r>
            <w:r>
              <w:rPr>
                <w:rFonts w:ascii="Times New Roman" w:hAnsi="Times New Roman" w:eastAsia="宋体" w:cs="Times New Roman"/>
                <w:sz w:val="24"/>
              </w:rPr>
              <w:t>万载重吨</w:t>
            </w:r>
            <w:r>
              <w:rPr>
                <w:rFonts w:hint="eastAsia" w:ascii="Times New Roman" w:hAnsi="Times New Roman" w:eastAsia="宋体" w:cs="Times New Roman"/>
                <w:sz w:val="24"/>
              </w:rPr>
              <w:t>，计划于2026年下半年至2028年上半年陆续投入运营</w:t>
            </w:r>
            <w:r>
              <w:rPr>
                <w:rFonts w:hint="eastAsia" w:ascii="Times New Roman" w:hAnsi="Times New Roman" w:eastAsia="宋体" w:cs="Times New Roman"/>
                <w:sz w:val="24"/>
                <w:lang w:eastAsia="zh-CN"/>
              </w:rPr>
              <w:t>。</w:t>
            </w:r>
            <w:r>
              <w:rPr>
                <w:rFonts w:hint="eastAsia" w:ascii="Times New Roman" w:hAnsi="Times New Roman" w:eastAsia="宋体" w:cs="Times New Roman"/>
                <w:sz w:val="24"/>
              </w:rPr>
              <w:t>其中2026年下半年计划投产4艘合计6.59万载重吨，2027年计划投产6艘合计11.42万载重吨，2028年上半年计划投产3艘合计3.96万载重吨。</w:t>
            </w:r>
          </w:p>
          <w:p w14:paraId="41F0E40A">
            <w:pPr>
              <w:widowControl/>
              <w:spacing w:before="156" w:beforeLines="50" w:after="156" w:afterLines="50" w:line="360" w:lineRule="auto"/>
              <w:ind w:firstLine="480" w:firstLineChars="200"/>
              <w:jc w:val="left"/>
              <w:rPr>
                <w:rFonts w:ascii="Times New Roman" w:hAnsi="Times New Roman" w:eastAsia="宋体" w:cs="Times New Roman"/>
                <w:sz w:val="24"/>
                <w:lang w:bidi="ar"/>
              </w:rPr>
            </w:pPr>
            <w:r>
              <w:rPr>
                <w:rFonts w:hint="eastAsia" w:ascii="Times New Roman" w:hAnsi="Times New Roman" w:eastAsia="宋体" w:cs="Times New Roman"/>
                <w:sz w:val="24"/>
                <w:lang w:bidi="ar"/>
              </w:rPr>
              <w:t>公司在建船舶将按计划陆续交付，进一步壮大内外贸船队；中长期，公司会结合行业周期、市场货盘、财务安全边际动态评估新造船计划，统筹平衡资本开支与财务稳健性，不会盲目扩张运力。内贸端，依托运力评审机制，稳步获取新增运力指标；外贸端持续投放适配国际市场的不锈钢、双燃料船舶，提升海外市场竞争力。</w:t>
            </w:r>
          </w:p>
          <w:p w14:paraId="419D5C58">
            <w:pPr>
              <w:widowControl/>
              <w:spacing w:before="156" w:beforeLines="50" w:after="156" w:afterLines="50" w:line="360" w:lineRule="auto"/>
              <w:ind w:firstLine="480" w:firstLineChars="200"/>
              <w:jc w:val="left"/>
              <w:rPr>
                <w:rFonts w:ascii="Times New Roman" w:hAnsi="Times New Roman" w:eastAsia="宋体" w:cs="Times New Roman"/>
                <w:sz w:val="24"/>
                <w:lang w:bidi="ar"/>
              </w:rPr>
            </w:pPr>
            <w:r>
              <w:rPr>
                <w:rFonts w:hint="eastAsia" w:ascii="Times New Roman" w:hAnsi="Times New Roman" w:eastAsia="宋体" w:cs="Times New Roman"/>
                <w:sz w:val="24"/>
                <w:lang w:bidi="ar"/>
              </w:rPr>
              <w:t>关于收并购，公司会持续关注市场机会，无论是二手船舶购置，还是产业相关的并购标的，以贴合主业、优质资产、合理估值、业务协同为核心筛选标准，严控财务风险，择优推进外延拓展。</w:t>
            </w:r>
          </w:p>
          <w:p w14:paraId="5009C3DA">
            <w:pPr>
              <w:spacing w:before="156" w:beforeLines="50" w:after="156" w:afterLines="50" w:line="360" w:lineRule="auto"/>
              <w:ind w:firstLine="482" w:firstLineChars="200"/>
              <w:outlineLvl w:val="9"/>
              <w:rPr>
                <w:rFonts w:ascii="Times New Roman" w:hAnsi="Times New Roman" w:eastAsia="宋体" w:cs="Times New Roman"/>
                <w:b/>
                <w:bCs/>
                <w:sz w:val="24"/>
              </w:rPr>
            </w:pPr>
            <w:r>
              <w:rPr>
                <w:rFonts w:hint="eastAsia" w:ascii="Times New Roman" w:hAnsi="Times New Roman" w:eastAsia="宋体" w:cs="Times New Roman"/>
                <w:b/>
                <w:bCs/>
                <w:sz w:val="24"/>
              </w:rPr>
              <w:t>问题6：公司后续是否还有老旧船舶处置计划？</w:t>
            </w:r>
          </w:p>
          <w:p w14:paraId="12E9BAA2">
            <w:pPr>
              <w:spacing w:before="156" w:beforeLines="50" w:after="156" w:afterLines="50" w:line="360" w:lineRule="auto"/>
              <w:ind w:firstLine="482" w:firstLineChars="200"/>
              <w:rPr>
                <w:rFonts w:ascii="Times New Roman" w:hAnsi="Times New Roman"/>
                <w:b/>
                <w:bCs/>
                <w:sz w:val="24"/>
              </w:rPr>
            </w:pPr>
            <w:r>
              <w:rPr>
                <w:rFonts w:hint="eastAsia" w:ascii="Times New Roman" w:hAnsi="Times New Roman" w:eastAsia="宋体" w:cs="Times New Roman"/>
                <w:b/>
                <w:bCs/>
                <w:sz w:val="24"/>
              </w:rPr>
              <w:t>回复：</w:t>
            </w:r>
            <w:r>
              <w:rPr>
                <w:rFonts w:ascii="Times New Roman" w:hAnsi="Times New Roman" w:eastAsia="宋体" w:cs="Times New Roman"/>
                <w:sz w:val="24"/>
              </w:rPr>
              <w:t>公司坚持</w:t>
            </w:r>
            <w:r>
              <w:rPr>
                <w:rFonts w:hint="eastAsia" w:ascii="Times New Roman" w:hAnsi="Times New Roman" w:eastAsia="宋体" w:cs="Times New Roman"/>
                <w:sz w:val="24"/>
                <w:lang w:eastAsia="zh-CN"/>
              </w:rPr>
              <w:t>“</w:t>
            </w:r>
            <w:r>
              <w:rPr>
                <w:rFonts w:ascii="Times New Roman" w:hAnsi="Times New Roman" w:eastAsia="宋体" w:cs="Times New Roman"/>
                <w:sz w:val="24"/>
              </w:rPr>
              <w:t>以旧换新</w:t>
            </w:r>
            <w:r>
              <w:rPr>
                <w:rFonts w:hint="eastAsia" w:ascii="Times New Roman" w:hAnsi="Times New Roman" w:eastAsia="宋体" w:cs="Times New Roman"/>
                <w:sz w:val="24"/>
                <w:lang w:eastAsia="zh-CN"/>
              </w:rPr>
              <w:t>”</w:t>
            </w:r>
            <w:r>
              <w:rPr>
                <w:rFonts w:ascii="Times New Roman" w:hAnsi="Times New Roman" w:eastAsia="宋体" w:cs="Times New Roman"/>
                <w:sz w:val="24"/>
              </w:rPr>
              <w:t>策略，持续评估每一艘在营船舶</w:t>
            </w:r>
            <w:r>
              <w:rPr>
                <w:rFonts w:hint="default" w:ascii="Times New Roman" w:hAnsi="Times New Roman" w:eastAsia="宋体" w:cs="Times New Roman"/>
                <w:sz w:val="24"/>
              </w:rPr>
              <w:t>运营</w:t>
            </w:r>
            <w:r>
              <w:rPr>
                <w:rFonts w:ascii="Times New Roman" w:hAnsi="Times New Roman" w:eastAsia="宋体" w:cs="Times New Roman"/>
                <w:sz w:val="24"/>
              </w:rPr>
              <w:t>状态、运维成本、货种适配性。对于涂层老化、运维成本高、碳指标压力大的老旧</w:t>
            </w:r>
            <w:r>
              <w:rPr>
                <w:rFonts w:hint="default" w:ascii="Times New Roman" w:hAnsi="Times New Roman" w:eastAsia="宋体" w:cs="Times New Roman"/>
                <w:sz w:val="24"/>
              </w:rPr>
              <w:t>船舶</w:t>
            </w:r>
            <w:r>
              <w:rPr>
                <w:rFonts w:ascii="Times New Roman" w:hAnsi="Times New Roman" w:eastAsia="宋体" w:cs="Times New Roman"/>
                <w:sz w:val="24"/>
              </w:rPr>
              <w:t>，会择机处置；处置节奏</w:t>
            </w:r>
            <w:r>
              <w:rPr>
                <w:rFonts w:hint="default" w:ascii="Times New Roman" w:hAnsi="Times New Roman" w:eastAsia="宋体" w:cs="Times New Roman"/>
                <w:sz w:val="24"/>
              </w:rPr>
              <w:t>需要综合考虑</w:t>
            </w:r>
            <w:r>
              <w:rPr>
                <w:rFonts w:ascii="Times New Roman" w:hAnsi="Times New Roman" w:eastAsia="宋体" w:cs="Times New Roman"/>
                <w:sz w:val="24"/>
              </w:rPr>
              <w:t>二手船市场行情、新船交付节点，做到新旧运力平稳衔接，不会盲目集中大规模淘汰，保障经营稳定。</w:t>
            </w:r>
          </w:p>
        </w:tc>
      </w:tr>
      <w:tr w14:paraId="3D8B0729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1617" w:type="dxa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B146945">
            <w:pPr>
              <w:spacing w:before="156" w:beforeLines="50" w:after="156" w:afterLines="50"/>
              <w:jc w:val="center"/>
              <w:rPr>
                <w:rFonts w:ascii="Times New Roman" w:hAnsi="Times New Roman"/>
                <w:b/>
                <w:bCs/>
                <w:sz w:val="24"/>
              </w:rPr>
            </w:pPr>
            <w:r>
              <w:rPr>
                <w:rFonts w:ascii="Times New Roman" w:hAnsi="Times New Roman"/>
                <w:b/>
                <w:bCs/>
                <w:sz w:val="24"/>
              </w:rPr>
              <w:t>附件清单（如有）</w:t>
            </w:r>
          </w:p>
        </w:tc>
        <w:tc>
          <w:tcPr>
            <w:tcW w:w="68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vAlign w:val="center"/>
          </w:tcPr>
          <w:p w14:paraId="484813FF">
            <w:pPr>
              <w:spacing w:before="156" w:beforeLines="50" w:after="156" w:afterLines="5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无</w:t>
            </w:r>
          </w:p>
        </w:tc>
      </w:tr>
      <w:tr w14:paraId="072DC6A2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1617" w:type="dxa"/>
            <w:tcBorders>
              <w:top w:val="single" w:color="auto" w:sz="4" w:space="0"/>
              <w:left w:val="single" w:color="auto" w:sz="12" w:space="0"/>
              <w:bottom w:val="single" w:color="auto" w:sz="12" w:space="0"/>
              <w:right w:val="single" w:color="auto" w:sz="4" w:space="0"/>
            </w:tcBorders>
            <w:vAlign w:val="center"/>
          </w:tcPr>
          <w:p w14:paraId="0BF447D9">
            <w:pPr>
              <w:spacing w:before="156" w:beforeLines="50" w:after="156" w:afterLines="50"/>
              <w:jc w:val="center"/>
              <w:rPr>
                <w:rFonts w:ascii="Times New Roman" w:hAnsi="Times New Roman"/>
                <w:b/>
                <w:bCs/>
                <w:sz w:val="24"/>
              </w:rPr>
            </w:pPr>
            <w:r>
              <w:rPr>
                <w:rFonts w:ascii="Times New Roman" w:hAnsi="Times New Roman"/>
                <w:b/>
                <w:bCs/>
                <w:sz w:val="24"/>
              </w:rPr>
              <w:t>日期</w:t>
            </w:r>
          </w:p>
        </w:tc>
        <w:tc>
          <w:tcPr>
            <w:tcW w:w="6855" w:type="dxa"/>
            <w:tcBorders>
              <w:top w:val="single" w:color="auto" w:sz="4" w:space="0"/>
              <w:left w:val="single" w:color="auto" w:sz="4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321DC691">
            <w:pPr>
              <w:spacing w:before="156" w:beforeLines="50" w:after="156" w:afterLines="50"/>
              <w:rPr>
                <w:rFonts w:ascii="Times New Roman" w:hAnsi="Times New Roman"/>
                <w:sz w:val="24"/>
              </w:rPr>
            </w:pPr>
            <w:bookmarkStart w:id="1" w:name="_GoBack"/>
            <w:bookmarkEnd w:id="1"/>
            <w:r>
              <w:rPr>
                <w:rFonts w:hint="eastAsia" w:ascii="Times New Roman" w:hAnsi="Times New Roman" w:eastAsia="宋体" w:cs="Times New Roman"/>
                <w:sz w:val="24"/>
                <w:lang w:val="en-US" w:eastAsia="zh-CN"/>
              </w:rPr>
              <w:t>2026年8月20日</w:t>
            </w:r>
          </w:p>
        </w:tc>
      </w:tr>
    </w:tbl>
    <w:p w14:paraId="09B98289">
      <w:pPr>
        <w:widowControl/>
        <w:jc w:val="left"/>
        <w:rPr>
          <w:rFonts w:ascii="Times New Roman" w:hAnsi="Times New Roman"/>
        </w:rPr>
      </w:pPr>
    </w:p>
    <w:sectPr>
      <w:headerReference r:id="rId3" w:type="default"/>
      <w:pgSz w:w="12240" w:h="15840"/>
      <w:pgMar w:top="1440" w:right="1800" w:bottom="1440" w:left="1800" w:header="720" w:footer="720" w:gutter="0"/>
      <w:pgNumType w:fmt="numberInDash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5559CA5">
    <w:pPr>
      <w:pStyle w:val="5"/>
      <w:jc w:val="both"/>
      <w:rPr>
        <w:rFonts w:ascii="楷体" w:hAnsi="楷体" w:eastAsia="楷体"/>
      </w:rPr>
    </w:pPr>
    <w:r>
      <w:rPr>
        <w:rFonts w:hint="eastAsia" w:ascii="楷体" w:hAnsi="楷体" w:eastAsia="楷体"/>
      </w:rPr>
      <w:t xml:space="preserve">兴通海运股份有限公司 </w:t>
    </w:r>
    <w:r>
      <w:rPr>
        <w:rFonts w:ascii="楷体" w:hAnsi="楷体" w:eastAsia="楷体"/>
      </w:rPr>
      <w:t xml:space="preserve">                                            </w:t>
    </w:r>
    <w:r>
      <w:rPr>
        <w:rFonts w:hint="eastAsia" w:ascii="楷体" w:hAnsi="楷体" w:eastAsia="楷体"/>
      </w:rPr>
      <w:t xml:space="preserve">       </w:t>
    </w:r>
    <w:r>
      <w:rPr>
        <w:rFonts w:ascii="楷体" w:hAnsi="楷体" w:eastAsia="楷体"/>
      </w:rPr>
      <w:t xml:space="preserve">   </w:t>
    </w:r>
    <w:r>
      <w:rPr>
        <w:rFonts w:hint="eastAsia" w:ascii="楷体" w:hAnsi="楷体" w:eastAsia="楷体"/>
      </w:rPr>
      <w:t>投资者关系活动记录表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trackRevisions w:val="1"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2MwYzU5ODBhY2VhYjU0NzM0NjA4YjRjMjNjZjU0MmUifQ=="/>
  </w:docVars>
  <w:rsids>
    <w:rsidRoot w:val="00172A27"/>
    <w:rsid w:val="00000D18"/>
    <w:rsid w:val="000076A8"/>
    <w:rsid w:val="00013B2C"/>
    <w:rsid w:val="000251BC"/>
    <w:rsid w:val="00031EDC"/>
    <w:rsid w:val="00032FBF"/>
    <w:rsid w:val="0004190F"/>
    <w:rsid w:val="0006665D"/>
    <w:rsid w:val="00073D83"/>
    <w:rsid w:val="000752AD"/>
    <w:rsid w:val="000B7145"/>
    <w:rsid w:val="000C0917"/>
    <w:rsid w:val="000D1EEA"/>
    <w:rsid w:val="000E0A29"/>
    <w:rsid w:val="000E4A02"/>
    <w:rsid w:val="000F7A15"/>
    <w:rsid w:val="00106CE5"/>
    <w:rsid w:val="00110AC1"/>
    <w:rsid w:val="00110FC0"/>
    <w:rsid w:val="00114B26"/>
    <w:rsid w:val="00121DE3"/>
    <w:rsid w:val="00127A0C"/>
    <w:rsid w:val="00135DE9"/>
    <w:rsid w:val="00136571"/>
    <w:rsid w:val="0014063C"/>
    <w:rsid w:val="001716C9"/>
    <w:rsid w:val="00172A27"/>
    <w:rsid w:val="001764CF"/>
    <w:rsid w:val="00180E8C"/>
    <w:rsid w:val="001C3E04"/>
    <w:rsid w:val="001C65A5"/>
    <w:rsid w:val="001D76A0"/>
    <w:rsid w:val="002051B0"/>
    <w:rsid w:val="0021568D"/>
    <w:rsid w:val="002421F3"/>
    <w:rsid w:val="0025795E"/>
    <w:rsid w:val="002A590A"/>
    <w:rsid w:val="002A5DDA"/>
    <w:rsid w:val="002B1EA1"/>
    <w:rsid w:val="002B2792"/>
    <w:rsid w:val="002B5738"/>
    <w:rsid w:val="002C7C5F"/>
    <w:rsid w:val="003046C0"/>
    <w:rsid w:val="003146EB"/>
    <w:rsid w:val="003168B2"/>
    <w:rsid w:val="00342805"/>
    <w:rsid w:val="00356C12"/>
    <w:rsid w:val="0036096D"/>
    <w:rsid w:val="003712F0"/>
    <w:rsid w:val="00372B7B"/>
    <w:rsid w:val="00382BB7"/>
    <w:rsid w:val="00385F42"/>
    <w:rsid w:val="00394720"/>
    <w:rsid w:val="003A22AA"/>
    <w:rsid w:val="003C56D1"/>
    <w:rsid w:val="003D2184"/>
    <w:rsid w:val="003E6473"/>
    <w:rsid w:val="003F6DC0"/>
    <w:rsid w:val="00402082"/>
    <w:rsid w:val="00415566"/>
    <w:rsid w:val="0042296F"/>
    <w:rsid w:val="00426B09"/>
    <w:rsid w:val="004413F5"/>
    <w:rsid w:val="00453D13"/>
    <w:rsid w:val="00456D35"/>
    <w:rsid w:val="00461E20"/>
    <w:rsid w:val="004646BB"/>
    <w:rsid w:val="00464AC6"/>
    <w:rsid w:val="00476C84"/>
    <w:rsid w:val="004853F9"/>
    <w:rsid w:val="0049067C"/>
    <w:rsid w:val="00496215"/>
    <w:rsid w:val="00496ED9"/>
    <w:rsid w:val="004A215B"/>
    <w:rsid w:val="004B35E2"/>
    <w:rsid w:val="004B42FE"/>
    <w:rsid w:val="004C7EAD"/>
    <w:rsid w:val="004D001F"/>
    <w:rsid w:val="004D45FF"/>
    <w:rsid w:val="004D771A"/>
    <w:rsid w:val="004E3115"/>
    <w:rsid w:val="004F3029"/>
    <w:rsid w:val="0050067C"/>
    <w:rsid w:val="005026B6"/>
    <w:rsid w:val="00502E9C"/>
    <w:rsid w:val="00520FE3"/>
    <w:rsid w:val="0052527D"/>
    <w:rsid w:val="00527CF4"/>
    <w:rsid w:val="00532959"/>
    <w:rsid w:val="005515C2"/>
    <w:rsid w:val="00556BB3"/>
    <w:rsid w:val="0056159D"/>
    <w:rsid w:val="00563FA2"/>
    <w:rsid w:val="005703A5"/>
    <w:rsid w:val="005761E2"/>
    <w:rsid w:val="005858D9"/>
    <w:rsid w:val="0059023D"/>
    <w:rsid w:val="00593A35"/>
    <w:rsid w:val="005B02EB"/>
    <w:rsid w:val="005D4B0E"/>
    <w:rsid w:val="0060293E"/>
    <w:rsid w:val="00605E6F"/>
    <w:rsid w:val="00613EDC"/>
    <w:rsid w:val="0062262A"/>
    <w:rsid w:val="006264DF"/>
    <w:rsid w:val="00627ADB"/>
    <w:rsid w:val="00646058"/>
    <w:rsid w:val="00661F6B"/>
    <w:rsid w:val="00664FF6"/>
    <w:rsid w:val="006655B9"/>
    <w:rsid w:val="006672F6"/>
    <w:rsid w:val="006B22F5"/>
    <w:rsid w:val="006C7C57"/>
    <w:rsid w:val="006D030B"/>
    <w:rsid w:val="006D2E8D"/>
    <w:rsid w:val="006D389E"/>
    <w:rsid w:val="00706B15"/>
    <w:rsid w:val="00711238"/>
    <w:rsid w:val="0071206F"/>
    <w:rsid w:val="00712771"/>
    <w:rsid w:val="00720F84"/>
    <w:rsid w:val="0073320D"/>
    <w:rsid w:val="00736A80"/>
    <w:rsid w:val="00742D08"/>
    <w:rsid w:val="007460EB"/>
    <w:rsid w:val="00746C2A"/>
    <w:rsid w:val="007713DA"/>
    <w:rsid w:val="00792EEF"/>
    <w:rsid w:val="007A4530"/>
    <w:rsid w:val="007A6F30"/>
    <w:rsid w:val="007A7D7C"/>
    <w:rsid w:val="007B371D"/>
    <w:rsid w:val="007B4CF9"/>
    <w:rsid w:val="007D738A"/>
    <w:rsid w:val="007F0CF7"/>
    <w:rsid w:val="007F2858"/>
    <w:rsid w:val="007F717B"/>
    <w:rsid w:val="007F74C6"/>
    <w:rsid w:val="007F7552"/>
    <w:rsid w:val="00800D77"/>
    <w:rsid w:val="00804B8F"/>
    <w:rsid w:val="00804DE1"/>
    <w:rsid w:val="008057B4"/>
    <w:rsid w:val="008525B9"/>
    <w:rsid w:val="00854B7A"/>
    <w:rsid w:val="00870B23"/>
    <w:rsid w:val="00891E31"/>
    <w:rsid w:val="008A10B2"/>
    <w:rsid w:val="008B1C28"/>
    <w:rsid w:val="008C24CC"/>
    <w:rsid w:val="008C7E7C"/>
    <w:rsid w:val="008D1D7F"/>
    <w:rsid w:val="008F64E9"/>
    <w:rsid w:val="008F77EE"/>
    <w:rsid w:val="00903F65"/>
    <w:rsid w:val="00904EA2"/>
    <w:rsid w:val="00940831"/>
    <w:rsid w:val="00950339"/>
    <w:rsid w:val="00960FAA"/>
    <w:rsid w:val="009626AA"/>
    <w:rsid w:val="0097726C"/>
    <w:rsid w:val="0098145D"/>
    <w:rsid w:val="009830FD"/>
    <w:rsid w:val="009918C4"/>
    <w:rsid w:val="009921F7"/>
    <w:rsid w:val="009A084D"/>
    <w:rsid w:val="009B005C"/>
    <w:rsid w:val="009B0125"/>
    <w:rsid w:val="009B58AF"/>
    <w:rsid w:val="009C379C"/>
    <w:rsid w:val="009D40D8"/>
    <w:rsid w:val="009D718A"/>
    <w:rsid w:val="009E1B35"/>
    <w:rsid w:val="009E74AD"/>
    <w:rsid w:val="009F29D5"/>
    <w:rsid w:val="009F3F06"/>
    <w:rsid w:val="00A05634"/>
    <w:rsid w:val="00A127DE"/>
    <w:rsid w:val="00A24A6E"/>
    <w:rsid w:val="00A55870"/>
    <w:rsid w:val="00A62859"/>
    <w:rsid w:val="00A6428F"/>
    <w:rsid w:val="00A73B46"/>
    <w:rsid w:val="00A82D19"/>
    <w:rsid w:val="00A93B61"/>
    <w:rsid w:val="00A950CC"/>
    <w:rsid w:val="00A96029"/>
    <w:rsid w:val="00AA1054"/>
    <w:rsid w:val="00AB3F05"/>
    <w:rsid w:val="00AC1815"/>
    <w:rsid w:val="00AC36A7"/>
    <w:rsid w:val="00AD1BB4"/>
    <w:rsid w:val="00AE1D23"/>
    <w:rsid w:val="00AF121D"/>
    <w:rsid w:val="00B029F9"/>
    <w:rsid w:val="00B0524B"/>
    <w:rsid w:val="00B16C30"/>
    <w:rsid w:val="00B273B0"/>
    <w:rsid w:val="00B418A3"/>
    <w:rsid w:val="00B533A2"/>
    <w:rsid w:val="00B5658A"/>
    <w:rsid w:val="00B62C32"/>
    <w:rsid w:val="00B85A0D"/>
    <w:rsid w:val="00B90446"/>
    <w:rsid w:val="00BA14F2"/>
    <w:rsid w:val="00BA5BFE"/>
    <w:rsid w:val="00BB4944"/>
    <w:rsid w:val="00BD0C60"/>
    <w:rsid w:val="00BE2645"/>
    <w:rsid w:val="00BE67F0"/>
    <w:rsid w:val="00C00770"/>
    <w:rsid w:val="00C064EA"/>
    <w:rsid w:val="00C3372B"/>
    <w:rsid w:val="00C358B5"/>
    <w:rsid w:val="00C42CBD"/>
    <w:rsid w:val="00C4451C"/>
    <w:rsid w:val="00C51B18"/>
    <w:rsid w:val="00C5461F"/>
    <w:rsid w:val="00C57D81"/>
    <w:rsid w:val="00C61A3F"/>
    <w:rsid w:val="00C63FD3"/>
    <w:rsid w:val="00C70626"/>
    <w:rsid w:val="00C95434"/>
    <w:rsid w:val="00CA27D4"/>
    <w:rsid w:val="00CA2A45"/>
    <w:rsid w:val="00CA6F63"/>
    <w:rsid w:val="00CC62F4"/>
    <w:rsid w:val="00CC75B4"/>
    <w:rsid w:val="00CE3455"/>
    <w:rsid w:val="00CF0115"/>
    <w:rsid w:val="00CF0E73"/>
    <w:rsid w:val="00CF47E1"/>
    <w:rsid w:val="00CF6E94"/>
    <w:rsid w:val="00D0634E"/>
    <w:rsid w:val="00D1386F"/>
    <w:rsid w:val="00D156EC"/>
    <w:rsid w:val="00D320C3"/>
    <w:rsid w:val="00D83A19"/>
    <w:rsid w:val="00DA0D89"/>
    <w:rsid w:val="00DA3C8F"/>
    <w:rsid w:val="00DB35E3"/>
    <w:rsid w:val="00DC6FE4"/>
    <w:rsid w:val="00DD0014"/>
    <w:rsid w:val="00DD5690"/>
    <w:rsid w:val="00DE1B2B"/>
    <w:rsid w:val="00DE7187"/>
    <w:rsid w:val="00DF0E83"/>
    <w:rsid w:val="00DF2823"/>
    <w:rsid w:val="00DF3D1C"/>
    <w:rsid w:val="00E055F9"/>
    <w:rsid w:val="00E11158"/>
    <w:rsid w:val="00E23166"/>
    <w:rsid w:val="00E27593"/>
    <w:rsid w:val="00E33B82"/>
    <w:rsid w:val="00E37D7D"/>
    <w:rsid w:val="00E42839"/>
    <w:rsid w:val="00E43D1B"/>
    <w:rsid w:val="00E43E56"/>
    <w:rsid w:val="00E46E07"/>
    <w:rsid w:val="00E509DB"/>
    <w:rsid w:val="00E51087"/>
    <w:rsid w:val="00E751D8"/>
    <w:rsid w:val="00E90C93"/>
    <w:rsid w:val="00E91FB3"/>
    <w:rsid w:val="00E9483C"/>
    <w:rsid w:val="00E95915"/>
    <w:rsid w:val="00E97DAA"/>
    <w:rsid w:val="00EA7263"/>
    <w:rsid w:val="00EB5181"/>
    <w:rsid w:val="00EC7D20"/>
    <w:rsid w:val="00EE0078"/>
    <w:rsid w:val="00EE1486"/>
    <w:rsid w:val="00EE5C90"/>
    <w:rsid w:val="00EE7267"/>
    <w:rsid w:val="00EF18FB"/>
    <w:rsid w:val="00F05D98"/>
    <w:rsid w:val="00F3084E"/>
    <w:rsid w:val="00F347DB"/>
    <w:rsid w:val="00F3591D"/>
    <w:rsid w:val="00F572D6"/>
    <w:rsid w:val="00F6067C"/>
    <w:rsid w:val="00F6299C"/>
    <w:rsid w:val="00F65DD0"/>
    <w:rsid w:val="00F67637"/>
    <w:rsid w:val="00F739E9"/>
    <w:rsid w:val="00F7709D"/>
    <w:rsid w:val="00F838D5"/>
    <w:rsid w:val="00FA5733"/>
    <w:rsid w:val="00FA5D36"/>
    <w:rsid w:val="00FB0456"/>
    <w:rsid w:val="00FB04BE"/>
    <w:rsid w:val="00FE2E5A"/>
    <w:rsid w:val="00FF5BE3"/>
    <w:rsid w:val="017B5D79"/>
    <w:rsid w:val="0183426C"/>
    <w:rsid w:val="01C6407E"/>
    <w:rsid w:val="01EE19B6"/>
    <w:rsid w:val="01EE5E5A"/>
    <w:rsid w:val="049523C1"/>
    <w:rsid w:val="04F97CCA"/>
    <w:rsid w:val="065555BF"/>
    <w:rsid w:val="070E2695"/>
    <w:rsid w:val="07F02019"/>
    <w:rsid w:val="0A14667A"/>
    <w:rsid w:val="0B2D782B"/>
    <w:rsid w:val="0C300E1D"/>
    <w:rsid w:val="0E247E54"/>
    <w:rsid w:val="0E7A578B"/>
    <w:rsid w:val="107739E8"/>
    <w:rsid w:val="109D6F02"/>
    <w:rsid w:val="10CC55B8"/>
    <w:rsid w:val="119E71F5"/>
    <w:rsid w:val="11CB5DFD"/>
    <w:rsid w:val="11CE2C72"/>
    <w:rsid w:val="11F56D91"/>
    <w:rsid w:val="1206249F"/>
    <w:rsid w:val="15656977"/>
    <w:rsid w:val="156C1118"/>
    <w:rsid w:val="15E15640"/>
    <w:rsid w:val="16AE717B"/>
    <w:rsid w:val="17677CE7"/>
    <w:rsid w:val="17A07CDA"/>
    <w:rsid w:val="181E3EC5"/>
    <w:rsid w:val="19572ABE"/>
    <w:rsid w:val="1A2E46C4"/>
    <w:rsid w:val="1B33700C"/>
    <w:rsid w:val="1C764385"/>
    <w:rsid w:val="1CE5103E"/>
    <w:rsid w:val="1ED7674D"/>
    <w:rsid w:val="1F8D7C0B"/>
    <w:rsid w:val="20AF15DB"/>
    <w:rsid w:val="21E9493A"/>
    <w:rsid w:val="22251B98"/>
    <w:rsid w:val="223034CD"/>
    <w:rsid w:val="223C40BF"/>
    <w:rsid w:val="2262572B"/>
    <w:rsid w:val="22A7686E"/>
    <w:rsid w:val="235A2249"/>
    <w:rsid w:val="23DB3F63"/>
    <w:rsid w:val="23F93CED"/>
    <w:rsid w:val="24370A13"/>
    <w:rsid w:val="24465EFD"/>
    <w:rsid w:val="261F593F"/>
    <w:rsid w:val="264E35F1"/>
    <w:rsid w:val="2794650F"/>
    <w:rsid w:val="27A137C5"/>
    <w:rsid w:val="27E7113F"/>
    <w:rsid w:val="28BA4CA4"/>
    <w:rsid w:val="28F17E5A"/>
    <w:rsid w:val="293746B6"/>
    <w:rsid w:val="29EA365B"/>
    <w:rsid w:val="2A956875"/>
    <w:rsid w:val="2B3631F4"/>
    <w:rsid w:val="2C433892"/>
    <w:rsid w:val="2C946F5F"/>
    <w:rsid w:val="2D76092E"/>
    <w:rsid w:val="2D8C5D2A"/>
    <w:rsid w:val="2E2A24F3"/>
    <w:rsid w:val="2E4647A4"/>
    <w:rsid w:val="2E7712D2"/>
    <w:rsid w:val="2EBD3D50"/>
    <w:rsid w:val="2EFF012B"/>
    <w:rsid w:val="2F2D7D98"/>
    <w:rsid w:val="2F98270C"/>
    <w:rsid w:val="2FE3015E"/>
    <w:rsid w:val="311862D7"/>
    <w:rsid w:val="328A7DFC"/>
    <w:rsid w:val="32BE4D76"/>
    <w:rsid w:val="32C81412"/>
    <w:rsid w:val="333C0424"/>
    <w:rsid w:val="33723946"/>
    <w:rsid w:val="33F15422"/>
    <w:rsid w:val="343E41D6"/>
    <w:rsid w:val="34DB41A2"/>
    <w:rsid w:val="35A45FF2"/>
    <w:rsid w:val="35D501BC"/>
    <w:rsid w:val="35ED23EA"/>
    <w:rsid w:val="377C5B85"/>
    <w:rsid w:val="386D45D5"/>
    <w:rsid w:val="38EF7122"/>
    <w:rsid w:val="3A1054F9"/>
    <w:rsid w:val="3C990195"/>
    <w:rsid w:val="3CFC0724"/>
    <w:rsid w:val="3D725FAB"/>
    <w:rsid w:val="3F855194"/>
    <w:rsid w:val="40300E10"/>
    <w:rsid w:val="40A418D2"/>
    <w:rsid w:val="410114B3"/>
    <w:rsid w:val="41A373AE"/>
    <w:rsid w:val="41D1126B"/>
    <w:rsid w:val="41EA240C"/>
    <w:rsid w:val="41F1637D"/>
    <w:rsid w:val="434057B6"/>
    <w:rsid w:val="443E4C7C"/>
    <w:rsid w:val="448500D7"/>
    <w:rsid w:val="44C47D79"/>
    <w:rsid w:val="454300F1"/>
    <w:rsid w:val="460F5E9A"/>
    <w:rsid w:val="469836BD"/>
    <w:rsid w:val="47A81BD4"/>
    <w:rsid w:val="47E96367"/>
    <w:rsid w:val="48D53BBB"/>
    <w:rsid w:val="4A29327C"/>
    <w:rsid w:val="4B7C2CA2"/>
    <w:rsid w:val="4D61085B"/>
    <w:rsid w:val="4DC2676B"/>
    <w:rsid w:val="4DF47921"/>
    <w:rsid w:val="4E391412"/>
    <w:rsid w:val="4ED46D2F"/>
    <w:rsid w:val="502E7353"/>
    <w:rsid w:val="51B34A16"/>
    <w:rsid w:val="529556D0"/>
    <w:rsid w:val="52F82D14"/>
    <w:rsid w:val="53B042EA"/>
    <w:rsid w:val="53B8703C"/>
    <w:rsid w:val="555F668F"/>
    <w:rsid w:val="576015AA"/>
    <w:rsid w:val="57F8248F"/>
    <w:rsid w:val="589E4491"/>
    <w:rsid w:val="595653E6"/>
    <w:rsid w:val="5A1465A0"/>
    <w:rsid w:val="5A61633E"/>
    <w:rsid w:val="5BE2009F"/>
    <w:rsid w:val="5C692859"/>
    <w:rsid w:val="5CCB2E66"/>
    <w:rsid w:val="5D3729BA"/>
    <w:rsid w:val="5DD64418"/>
    <w:rsid w:val="5F1C2834"/>
    <w:rsid w:val="5F253E4C"/>
    <w:rsid w:val="5FCA3512"/>
    <w:rsid w:val="60181C81"/>
    <w:rsid w:val="601A5E43"/>
    <w:rsid w:val="60367BD9"/>
    <w:rsid w:val="604444D1"/>
    <w:rsid w:val="60EF1139"/>
    <w:rsid w:val="61F46C76"/>
    <w:rsid w:val="62CE052D"/>
    <w:rsid w:val="63DA2CBD"/>
    <w:rsid w:val="64421FF9"/>
    <w:rsid w:val="65BF7904"/>
    <w:rsid w:val="66BC2FDC"/>
    <w:rsid w:val="67744CBA"/>
    <w:rsid w:val="679019F7"/>
    <w:rsid w:val="67E26C44"/>
    <w:rsid w:val="67E5006B"/>
    <w:rsid w:val="67E759A9"/>
    <w:rsid w:val="68631113"/>
    <w:rsid w:val="6A3749C6"/>
    <w:rsid w:val="6A4C654C"/>
    <w:rsid w:val="6D16193B"/>
    <w:rsid w:val="712138AD"/>
    <w:rsid w:val="7143510B"/>
    <w:rsid w:val="71D37197"/>
    <w:rsid w:val="71DF6F94"/>
    <w:rsid w:val="72B8021E"/>
    <w:rsid w:val="74B93FC4"/>
    <w:rsid w:val="759230CE"/>
    <w:rsid w:val="76353AB5"/>
    <w:rsid w:val="77170F04"/>
    <w:rsid w:val="77AE203F"/>
    <w:rsid w:val="77F558E4"/>
    <w:rsid w:val="77F9523C"/>
    <w:rsid w:val="79A35C54"/>
    <w:rsid w:val="7A530D70"/>
    <w:rsid w:val="7B452B70"/>
    <w:rsid w:val="7BA3070B"/>
    <w:rsid w:val="7D0D15B6"/>
    <w:rsid w:val="7DA80D81"/>
    <w:rsid w:val="7E6D5641"/>
    <w:rsid w:val="7FE505C8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iPriority="0" w:name="index 1"/>
    <w:lsdException w:uiPriority="0" w:name="index 2"/>
    <w:lsdException w:uiPriority="0" w:name="index 3"/>
    <w:lsdException w:uiPriority="0" w:name="index 4"/>
    <w:lsdException w:uiPriority="0" w:name="index 5"/>
    <w:lsdException w:uiPriority="0" w:name="index 6"/>
    <w:lsdException w:uiPriority="0" w:name="index 7"/>
    <w:lsdException w:uiPriority="0" w:name="index 8"/>
    <w:lsdException w:uiPriority="0" w:name="index 9"/>
    <w:lsdException w:uiPriority="0" w:name="toc 1"/>
    <w:lsdException w:uiPriority="0" w:name="toc 2"/>
    <w:lsdException w:uiPriority="0" w:name="toc 3"/>
    <w:lsdException w:uiPriority="0" w:name="toc 4"/>
    <w:lsdException w:uiPriority="0" w:name="toc 5"/>
    <w:lsdException w:uiPriority="0" w:name="toc 6"/>
    <w:lsdException w:uiPriority="0" w:name="toc 7"/>
    <w:lsdException w:uiPriority="0" w:name="toc 8"/>
    <w:lsdException w:uiPriority="0" w:name="toc 9"/>
    <w:lsdException w:uiPriority="0" w:name="Normal Indent"/>
    <w:lsdException w:uiPriority="0" w:name="footnote text"/>
    <w:lsdException w:qFormat="1" w:uiPriority="0" w:name="annotation text"/>
    <w:lsdException w:qFormat="1" w:unhideWhenUsed="0" w:uiPriority="0" w:semiHidden="0" w:name="header"/>
    <w:lsdException w:qFormat="1" w:unhideWhenUsed="0" w:uiPriority="0" w:semiHidden="0" w:name="footer"/>
    <w:lsdException w:uiPriority="0" w:name="index heading"/>
    <w:lsdException w:qFormat="1" w:uiPriority="0" w:name="caption"/>
    <w:lsdException w:uiPriority="0" w:name="table of figures"/>
    <w:lsdException w:uiPriority="0" w:name="envelope address"/>
    <w:lsdException w:uiPriority="0" w:name="envelope return"/>
    <w:lsdException w:uiPriority="0" w:name="footnote reference"/>
    <w:lsdException w:qFormat="1" w:uiPriority="0" w:name="annotation reference"/>
    <w:lsdException w:uiPriority="0" w:name="line number"/>
    <w:lsdException w:uiPriority="0" w:name="page number"/>
    <w:lsdException w:uiPriority="0" w:name="endnote reference"/>
    <w:lsdException w:uiPriority="0" w:name="endnote text"/>
    <w:lsdException w:uiPriority="0" w:name="table of authorities"/>
    <w:lsdException w:uiPriority="0" w:name="macro"/>
    <w:lsdException w:uiPriority="0" w:name="toa heading"/>
    <w:lsdException w:uiPriority="0" w:name="List"/>
    <w:lsdException w:uiPriority="0" w:name="List Bullet"/>
    <w:lsdException w:unhideWhenUsed="0" w:uiPriority="0" w:semiHidden="0" w:name="List Number"/>
    <w:lsdException w:uiPriority="0" w:name="List 2"/>
    <w:lsdException w:uiPriority="0" w:name="List 3"/>
    <w:lsdException w:unhideWhenUsed="0" w:uiPriority="0" w:semiHidden="0" w:name="List 4"/>
    <w:lsdException w:unhideWhenUsed="0" w:uiPriority="0" w:semiHidden="0" w:name="List 5"/>
    <w:lsdException w:uiPriority="0" w:name="List Bullet 2"/>
    <w:lsdException w:uiPriority="0" w:name="List Bullet 3"/>
    <w:lsdException w:uiPriority="0" w:name="List Bullet 4"/>
    <w:lsdException w:uiPriority="0" w:name="List Bullet 5"/>
    <w:lsdException w:uiPriority="0" w:name="List Number 2"/>
    <w:lsdException w:uiPriority="0" w:name="List Number 3"/>
    <w:lsdException w:uiPriority="0" w:name="List Number 4"/>
    <w:lsdException w:uiPriority="0" w:name="List Number 5"/>
    <w:lsdException w:qFormat="1" w:unhideWhenUsed="0" w:uiPriority="0" w:semiHidden="0" w:name="Title"/>
    <w:lsdException w:uiPriority="0" w:name="Closing"/>
    <w:lsdException w:uiPriority="0" w:name="Signature"/>
    <w:lsdException w:qFormat="1" w:uiPriority="1" w:name="Default Paragraph Font"/>
    <w:lsdException w:uiPriority="0" w:name="Body Text"/>
    <w:lsdException w:uiPriority="0" w:name="Body Text Indent"/>
    <w:lsdException w:uiPriority="0" w:name="List Continue"/>
    <w:lsdException w:uiPriority="0" w:name="List Continue 2"/>
    <w:lsdException w:uiPriority="0" w:name="List Continue 3"/>
    <w:lsdException w:uiPriority="0" w:name="List Continue 4"/>
    <w:lsdException w:uiPriority="0" w:name="List Continue 5"/>
    <w:lsdException w:uiPriority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iPriority="0" w:name="Body Text First Indent 2"/>
    <w:lsdException w:uiPriority="0" w:name="Note Heading"/>
    <w:lsdException w:uiPriority="0" w:name="Body Text 2"/>
    <w:lsdException w:uiPriority="0" w:name="Body Text 3"/>
    <w:lsdException w:uiPriority="0" w:name="Body Text Indent 2"/>
    <w:lsdException w:uiPriority="0" w:name="Body Text Indent 3"/>
    <w:lsdException w:uiPriority="0" w:name="Block Text"/>
    <w:lsdException w:uiPriority="0" w:name="Hyperlink"/>
    <w:lsdException w:uiPriority="0" w:name="FollowedHyperlink"/>
    <w:lsdException w:qFormat="1" w:unhideWhenUsed="0" w:uiPriority="0" w:semiHidden="0" w:name="Strong"/>
    <w:lsdException w:qFormat="1" w:unhideWhenUsed="0" w:uiPriority="0" w:semiHidden="0" w:name="Emphasis"/>
    <w:lsdException w:uiPriority="0" w:name="Document Map"/>
    <w:lsdException w:uiPriority="0" w:name="Plain Text"/>
    <w:lsdException w:uiPriority="0" w:name="E-mail Signature"/>
    <w:lsdException w:uiPriority="0" w:name="Normal (Web)"/>
    <w:lsdException w:uiPriority="0" w:name="HTML Acronym"/>
    <w:lsdException w:uiPriority="0" w:name="HTML Address"/>
    <w:lsdException w:uiPriority="0" w:name="HTML Cite"/>
    <w:lsdException w:uiPriority="0" w:name="HTML Code"/>
    <w:lsdException w:uiPriority="0" w:name="HTML Definition"/>
    <w:lsdException w:uiPriority="0" w:name="HTML Keyboard"/>
    <w:lsdException w:uiPriority="0" w:name="HTML Preformatted"/>
    <w:lsdException w:uiPriority="0" w:name="HTML Sample"/>
    <w:lsdException w:uiPriority="0" w:name="HTML Typewriter"/>
    <w:lsdException w:uiPriority="0" w:name="HTML Variable"/>
    <w:lsdException w:qFormat="1" w:uiPriority="99" w:name="Normal Table"/>
    <w:lsdException w:qFormat="1"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qFormat="1" w:uiPriority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9">
    <w:name w:val="Default Paragraph Font"/>
    <w:semiHidden/>
    <w:unhideWhenUsed/>
    <w:qFormat/>
    <w:uiPriority w:val="1"/>
  </w:style>
  <w:style w:type="table" w:default="1" w:styleId="7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annotation text"/>
    <w:basedOn w:val="1"/>
    <w:link w:val="18"/>
    <w:autoRedefine/>
    <w:semiHidden/>
    <w:unhideWhenUsed/>
    <w:qFormat/>
    <w:uiPriority w:val="0"/>
    <w:pPr>
      <w:jc w:val="left"/>
    </w:pPr>
  </w:style>
  <w:style w:type="paragraph" w:styleId="3">
    <w:name w:val="Balloon Text"/>
    <w:basedOn w:val="1"/>
    <w:link w:val="20"/>
    <w:autoRedefine/>
    <w:semiHidden/>
    <w:unhideWhenUsed/>
    <w:qFormat/>
    <w:uiPriority w:val="0"/>
    <w:rPr>
      <w:sz w:val="18"/>
      <w:szCs w:val="18"/>
    </w:rPr>
  </w:style>
  <w:style w:type="paragraph" w:styleId="4">
    <w:name w:val="footer"/>
    <w:basedOn w:val="1"/>
    <w:link w:val="14"/>
    <w:autoRedefine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13"/>
    <w:autoRedefine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6">
    <w:name w:val="annotation subject"/>
    <w:basedOn w:val="2"/>
    <w:next w:val="2"/>
    <w:link w:val="19"/>
    <w:autoRedefine/>
    <w:semiHidden/>
    <w:unhideWhenUsed/>
    <w:qFormat/>
    <w:uiPriority w:val="0"/>
    <w:rPr>
      <w:b/>
      <w:bCs/>
    </w:rPr>
  </w:style>
  <w:style w:type="table" w:styleId="8">
    <w:name w:val="Table Grid"/>
    <w:basedOn w:val="7"/>
    <w:autoRedefine/>
    <w:qFormat/>
    <w:uiPriority w:val="0"/>
    <w:rPr>
      <w:rFonts w:asciiTheme="minorHAnsi" w:hAnsiTheme="minorHAnsi" w:eastAsiaTheme="minorEastAsia" w:cstheme="minorBid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0">
    <w:name w:val="annotation reference"/>
    <w:basedOn w:val="9"/>
    <w:autoRedefine/>
    <w:semiHidden/>
    <w:unhideWhenUsed/>
    <w:qFormat/>
    <w:uiPriority w:val="0"/>
    <w:rPr>
      <w:sz w:val="21"/>
      <w:szCs w:val="21"/>
    </w:rPr>
  </w:style>
  <w:style w:type="paragraph" w:customStyle="1" w:styleId="11">
    <w:name w:val="Table Paragraph"/>
    <w:basedOn w:val="1"/>
    <w:autoRedefine/>
    <w:qFormat/>
    <w:uiPriority w:val="0"/>
    <w:pPr>
      <w:jc w:val="left"/>
    </w:pPr>
    <w:rPr>
      <w:kern w:val="0"/>
      <w:sz w:val="22"/>
      <w:szCs w:val="22"/>
    </w:rPr>
  </w:style>
  <w:style w:type="table" w:customStyle="1" w:styleId="12">
    <w:name w:val="Table Normal"/>
    <w:basedOn w:val="7"/>
    <w:autoRedefine/>
    <w:semiHidden/>
    <w:qFormat/>
    <w:uiPriority w:val="0"/>
    <w:tblPr>
      <w:tblCellMar>
        <w:left w:w="0" w:type="dxa"/>
        <w:right w:w="0" w:type="dxa"/>
      </w:tblCellMar>
    </w:tblPr>
  </w:style>
  <w:style w:type="character" w:customStyle="1" w:styleId="13">
    <w:name w:val="页眉 字符"/>
    <w:link w:val="5"/>
    <w:autoRedefine/>
    <w:qFormat/>
    <w:uiPriority w:val="0"/>
    <w:rPr>
      <w:rFonts w:cs="Times New Roman"/>
      <w:kern w:val="2"/>
      <w:sz w:val="18"/>
      <w:szCs w:val="18"/>
    </w:rPr>
  </w:style>
  <w:style w:type="character" w:customStyle="1" w:styleId="14">
    <w:name w:val="页脚 字符"/>
    <w:link w:val="4"/>
    <w:autoRedefine/>
    <w:qFormat/>
    <w:uiPriority w:val="0"/>
    <w:rPr>
      <w:rFonts w:cs="Times New Roman"/>
      <w:kern w:val="2"/>
      <w:sz w:val="18"/>
      <w:szCs w:val="18"/>
    </w:rPr>
  </w:style>
  <w:style w:type="paragraph" w:customStyle="1" w:styleId="15">
    <w:name w:val="列表段落1"/>
    <w:basedOn w:val="1"/>
    <w:autoRedefine/>
    <w:qFormat/>
    <w:uiPriority w:val="99"/>
    <w:pPr>
      <w:ind w:firstLine="420" w:firstLineChars="200"/>
    </w:pPr>
  </w:style>
  <w:style w:type="character" w:customStyle="1" w:styleId="16">
    <w:name w:val="oli-avatar-text"/>
    <w:basedOn w:val="9"/>
    <w:autoRedefine/>
    <w:qFormat/>
    <w:uiPriority w:val="0"/>
  </w:style>
  <w:style w:type="paragraph" w:styleId="17">
    <w:name w:val="List Paragraph"/>
    <w:basedOn w:val="1"/>
    <w:autoRedefine/>
    <w:qFormat/>
    <w:uiPriority w:val="99"/>
    <w:pPr>
      <w:ind w:firstLine="420" w:firstLineChars="200"/>
    </w:pPr>
  </w:style>
  <w:style w:type="character" w:customStyle="1" w:styleId="18">
    <w:name w:val="批注文字 字符"/>
    <w:basedOn w:val="9"/>
    <w:link w:val="2"/>
    <w:autoRedefine/>
    <w:semiHidden/>
    <w:qFormat/>
    <w:uiPriority w:val="0"/>
    <w:rPr>
      <w:rFonts w:cs="Times New Roman"/>
      <w:kern w:val="2"/>
      <w:sz w:val="21"/>
      <w:szCs w:val="24"/>
    </w:rPr>
  </w:style>
  <w:style w:type="character" w:customStyle="1" w:styleId="19">
    <w:name w:val="批注主题 字符"/>
    <w:basedOn w:val="18"/>
    <w:link w:val="6"/>
    <w:autoRedefine/>
    <w:semiHidden/>
    <w:qFormat/>
    <w:uiPriority w:val="0"/>
    <w:rPr>
      <w:rFonts w:cs="Times New Roman"/>
      <w:b/>
      <w:bCs/>
      <w:kern w:val="2"/>
      <w:sz w:val="21"/>
      <w:szCs w:val="24"/>
    </w:rPr>
  </w:style>
  <w:style w:type="character" w:customStyle="1" w:styleId="20">
    <w:name w:val="批注框文本 字符"/>
    <w:basedOn w:val="9"/>
    <w:link w:val="3"/>
    <w:autoRedefine/>
    <w:semiHidden/>
    <w:qFormat/>
    <w:uiPriority w:val="0"/>
    <w:rPr>
      <w:rFonts w:cs="Times New Roman"/>
      <w:kern w:val="2"/>
      <w:sz w:val="18"/>
      <w:szCs w:val="18"/>
    </w:rPr>
  </w:style>
  <w:style w:type="paragraph" w:customStyle="1" w:styleId="21">
    <w:name w:val="Default"/>
    <w:autoRedefine/>
    <w:qFormat/>
    <w:uiPriority w:val="0"/>
    <w:pPr>
      <w:widowControl w:val="0"/>
      <w:autoSpaceDE w:val="0"/>
      <w:autoSpaceDN w:val="0"/>
      <w:adjustRightInd w:val="0"/>
    </w:pPr>
    <w:rPr>
      <w:rFonts w:ascii="宋体" w:eastAsia="宋体" w:cs="宋体" w:hAnsiTheme="minorHAnsi"/>
      <w:color w:val="000000"/>
      <w:sz w:val="24"/>
      <w:szCs w:val="24"/>
      <w:lang w:val="en-US" w:eastAsia="zh-CN" w:bidi="ar-SA"/>
    </w:rPr>
  </w:style>
  <w:style w:type="paragraph" w:customStyle="1" w:styleId="22">
    <w:name w:val="修订1"/>
    <w:autoRedefine/>
    <w:hidden/>
    <w:semiHidden/>
    <w:qFormat/>
    <w:uiPriority w:val="99"/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paragraph" w:customStyle="1" w:styleId="23">
    <w:name w:val="Revision"/>
    <w:hidden/>
    <w:unhideWhenUsed/>
    <w:qFormat/>
    <w:uiPriority w:val="99"/>
    <w:rPr>
      <w:rFonts w:ascii="Calibri" w:hAnsi="Calibri" w:eastAsia="宋体" w:cs="Times New Roman"/>
      <w:kern w:val="2"/>
      <w:sz w:val="21"/>
      <w:szCs w:val="24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Kingsoft</Company>
  <Pages>6</Pages>
  <Words>3116</Words>
  <Characters>3319</Characters>
  <Lines>17</Lines>
  <Paragraphs>4</Paragraphs>
  <TotalTime>0</TotalTime>
  <ScaleCrop>false</ScaleCrop>
  <LinksUpToDate>false</LinksUpToDate>
  <CharactersWithSpaces>3397</CharactersWithSpaces>
  <Application>WPS Office_12.1.0.28022_F1E327BC-269C-435d-A152-05C5408002CA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2026-04-30T09:42:00Z</dcterms:created>
  <dc:creator>86186</dc:creator>
  <cp:lastModifiedBy>麦姐姐</cp:lastModifiedBy>
  <cp:lastPrinted>2022-03-16T07:42:00Z</cp:lastPrinted>
  <dcterms:modified xsi:type="dcterms:W3CDTF">2026-08-20T10:04:32Z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2052-12.1.0.28022</vt:lpwstr>
  </property>
  <property fmtid="{D5CDD505-2E9C-101B-9397-08002B2CF9AE}" pid="3" name="ICV">
    <vt:lpwstr>F549F0DC7F2B42429F9A3A13885BB1FA_13</vt:lpwstr>
  </property>
  <property fmtid="{D5CDD505-2E9C-101B-9397-08002B2CF9AE}" pid="4" name="KSOTemplateDocerSaveRecord">
    <vt:lpwstr>eyJoZGlkIjoiM2MwYzU5ODBhY2VhYjU0NzM0NjA4YjRjMjNjZjU0MmUiLCJ1c2VySWQiOiI2MTcxNzI3ODgifQ==</vt:lpwstr>
  </property>
</Properties>
</file>