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C798E1">
      <w:pPr>
        <w:autoSpaceDE w:val="0"/>
        <w:autoSpaceDN w:val="0"/>
        <w:spacing w:line="360" w:lineRule="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xml:space="preserve">证券代码：603615  </w:t>
      </w:r>
      <w:r>
        <w:rPr>
          <w:rFonts w:ascii="宋体" w:hAnsi="宋体" w:eastAsia="宋体" w:cs="宋体"/>
          <w:color w:val="000000"/>
          <w:kern w:val="0"/>
          <w:sz w:val="24"/>
          <w:szCs w:val="24"/>
        </w:rPr>
        <w:t xml:space="preserve">                          </w:t>
      </w:r>
      <w:r>
        <w:rPr>
          <w:rFonts w:hint="eastAsia" w:ascii="宋体" w:hAnsi="宋体" w:eastAsia="宋体" w:cs="宋体"/>
          <w:color w:val="000000"/>
          <w:kern w:val="0"/>
          <w:sz w:val="24"/>
          <w:szCs w:val="24"/>
        </w:rPr>
        <w:t xml:space="preserve">     证券简称：茶花股份  </w:t>
      </w:r>
    </w:p>
    <w:p w14:paraId="21ADC9A4">
      <w:pPr>
        <w:autoSpaceDE w:val="0"/>
        <w:autoSpaceDN w:val="0"/>
        <w:spacing w:before="240" w:line="360" w:lineRule="auto"/>
        <w:jc w:val="center"/>
        <w:rPr>
          <w:rFonts w:ascii="宋体" w:hAnsi="宋体" w:eastAsia="宋体" w:cs="宋体"/>
          <w:b/>
          <w:color w:val="000000"/>
          <w:kern w:val="0"/>
          <w:sz w:val="30"/>
          <w:szCs w:val="30"/>
        </w:rPr>
      </w:pPr>
      <w:r>
        <w:rPr>
          <w:rFonts w:hint="eastAsia" w:ascii="宋体" w:hAnsi="宋体" w:eastAsia="宋体" w:cs="宋体"/>
          <w:b/>
          <w:color w:val="000000"/>
          <w:kern w:val="0"/>
          <w:sz w:val="30"/>
          <w:szCs w:val="30"/>
        </w:rPr>
        <w:t>茶花现代家居用品股份有限公司</w:t>
      </w:r>
    </w:p>
    <w:p w14:paraId="134FF089">
      <w:pPr>
        <w:autoSpaceDE w:val="0"/>
        <w:autoSpaceDN w:val="0"/>
        <w:spacing w:line="360" w:lineRule="auto"/>
        <w:jc w:val="center"/>
        <w:rPr>
          <w:rFonts w:ascii="宋体" w:hAnsi="宋体" w:eastAsia="宋体" w:cs="宋体"/>
          <w:b/>
          <w:color w:val="000000"/>
          <w:kern w:val="0"/>
          <w:sz w:val="30"/>
          <w:szCs w:val="30"/>
        </w:rPr>
      </w:pPr>
      <w:r>
        <w:rPr>
          <w:rFonts w:hint="eastAsia" w:ascii="宋体" w:hAnsi="宋体" w:eastAsia="宋体" w:cs="宋体"/>
          <w:b/>
          <w:color w:val="000000"/>
          <w:kern w:val="0"/>
          <w:sz w:val="30"/>
          <w:szCs w:val="30"/>
        </w:rPr>
        <w:t>投资者关系活动记录表</w:t>
      </w:r>
    </w:p>
    <w:p w14:paraId="2D234266">
      <w:pPr>
        <w:autoSpaceDE w:val="0"/>
        <w:autoSpaceDN w:val="0"/>
        <w:spacing w:line="360" w:lineRule="auto"/>
        <w:ind w:firstLine="480" w:firstLineChars="200"/>
        <w:jc w:val="right"/>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rPr>
        <w:t>编号：202</w:t>
      </w:r>
      <w:r>
        <w:rPr>
          <w:rFonts w:hint="eastAsia" w:ascii="宋体" w:hAnsi="宋体" w:eastAsia="宋体" w:cs="宋体"/>
          <w:color w:val="000000"/>
          <w:kern w:val="0"/>
          <w:sz w:val="24"/>
          <w:szCs w:val="24"/>
          <w:lang w:val="en-US" w:eastAsia="zh-CN"/>
        </w:rPr>
        <w:t>6</w:t>
      </w:r>
      <w:r>
        <w:rPr>
          <w:rFonts w:hint="eastAsia" w:ascii="宋体" w:hAnsi="宋体" w:eastAsia="宋体" w:cs="宋体"/>
          <w:color w:val="000000"/>
          <w:kern w:val="0"/>
          <w:sz w:val="24"/>
          <w:szCs w:val="24"/>
        </w:rPr>
        <w:t>-00</w:t>
      </w:r>
      <w:r>
        <w:rPr>
          <w:rFonts w:hint="eastAsia" w:ascii="宋体" w:hAnsi="宋体" w:eastAsia="宋体" w:cs="宋体"/>
          <w:color w:val="000000"/>
          <w:kern w:val="0"/>
          <w:sz w:val="24"/>
          <w:szCs w:val="24"/>
          <w:lang w:val="en-US" w:eastAsia="zh-CN"/>
        </w:rPr>
        <w:t>2</w:t>
      </w:r>
    </w:p>
    <w:tbl>
      <w:tblPr>
        <w:tblStyle w:val="4"/>
        <w:tblW w:w="9589"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2465"/>
        <w:gridCol w:w="7124"/>
      </w:tblGrid>
      <w:tr w14:paraId="4D2B270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465" w:type="dxa"/>
            <w:vAlign w:val="center"/>
          </w:tcPr>
          <w:p w14:paraId="74744C3A">
            <w:pPr>
              <w:autoSpaceDE w:val="0"/>
              <w:autoSpaceDN w:val="0"/>
              <w:spacing w:line="360" w:lineRule="auto"/>
              <w:jc w:val="center"/>
              <w:rPr>
                <w:rFonts w:ascii="宋体" w:hAnsi="宋体" w:eastAsia="宋体" w:cs="宋体"/>
                <w:b/>
                <w:color w:val="000000"/>
                <w:kern w:val="0"/>
                <w:sz w:val="24"/>
                <w:szCs w:val="24"/>
              </w:rPr>
            </w:pPr>
            <w:r>
              <w:rPr>
                <w:rFonts w:hint="eastAsia" w:ascii="宋体" w:hAnsi="宋体" w:eastAsia="宋体" w:cs="宋体"/>
                <w:b/>
                <w:color w:val="000000"/>
                <w:kern w:val="0"/>
                <w:sz w:val="24"/>
                <w:szCs w:val="24"/>
              </w:rPr>
              <w:t>投资者关系活动类别</w:t>
            </w:r>
          </w:p>
        </w:tc>
        <w:tc>
          <w:tcPr>
            <w:tcW w:w="7124" w:type="dxa"/>
            <w:vAlign w:val="center"/>
          </w:tcPr>
          <w:p w14:paraId="2C9D4961">
            <w:pPr>
              <w:autoSpaceDE w:val="0"/>
              <w:autoSpaceDN w:val="0"/>
              <w:spacing w:line="360" w:lineRule="auto"/>
              <w:rPr>
                <w:rFonts w:ascii="宋体" w:hAnsi="宋体" w:eastAsia="宋体" w:cs="宋体"/>
                <w:color w:val="000000"/>
                <w:kern w:val="0"/>
                <w:sz w:val="24"/>
                <w:szCs w:val="24"/>
              </w:rPr>
            </w:pPr>
            <w:r>
              <w:rPr>
                <w:rFonts w:hint="eastAsia" w:ascii="Segoe UI Symbol" w:hAnsi="Segoe UI Symbol" w:eastAsia="宋体" w:cs="Segoe UI Symbol"/>
                <w:color w:val="000000"/>
                <w:kern w:val="0"/>
                <w:sz w:val="24"/>
                <w:szCs w:val="24"/>
                <w:lang w:eastAsia="zh-CN"/>
              </w:rPr>
              <w:t>□</w:t>
            </w:r>
            <w:r>
              <w:rPr>
                <w:rFonts w:hint="eastAsia" w:ascii="宋体" w:hAnsi="宋体" w:eastAsia="宋体" w:cs="宋体"/>
                <w:color w:val="000000"/>
                <w:kern w:val="0"/>
                <w:sz w:val="24"/>
                <w:szCs w:val="24"/>
              </w:rPr>
              <w:t>特定对象调研        □分析师会议</w:t>
            </w:r>
          </w:p>
          <w:p w14:paraId="2914CEE7">
            <w:pPr>
              <w:autoSpaceDE w:val="0"/>
              <w:autoSpaceDN w:val="0"/>
              <w:spacing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 xml:space="preserve">□媒体采访            </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业绩说明会</w:t>
            </w:r>
          </w:p>
          <w:p w14:paraId="1E524465">
            <w:pPr>
              <w:autoSpaceDE w:val="0"/>
              <w:autoSpaceDN w:val="0"/>
              <w:spacing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□新闻发布会          □路演活动</w:t>
            </w:r>
          </w:p>
          <w:p w14:paraId="55168D50">
            <w:pPr>
              <w:autoSpaceDE w:val="0"/>
              <w:autoSpaceDN w:val="0"/>
              <w:spacing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□现场参观</w:t>
            </w:r>
            <w:r>
              <w:rPr>
                <w:rFonts w:hint="eastAsia" w:ascii="宋体" w:hAnsi="宋体" w:eastAsia="宋体" w:cs="宋体"/>
                <w:color w:val="000000"/>
                <w:kern w:val="0"/>
                <w:sz w:val="24"/>
                <w:szCs w:val="24"/>
              </w:rPr>
              <w:tab/>
            </w:r>
          </w:p>
          <w:p w14:paraId="5D381FDC">
            <w:pPr>
              <w:autoSpaceDE w:val="0"/>
              <w:autoSpaceDN w:val="0"/>
              <w:spacing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□其他 （请文字说明其他活动内容）</w:t>
            </w:r>
          </w:p>
        </w:tc>
      </w:tr>
      <w:tr w14:paraId="0907FCF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2465" w:type="dxa"/>
            <w:vAlign w:val="center"/>
          </w:tcPr>
          <w:p w14:paraId="0B85AEF6">
            <w:pPr>
              <w:autoSpaceDE w:val="0"/>
              <w:autoSpaceDN w:val="0"/>
              <w:spacing w:line="360" w:lineRule="auto"/>
              <w:jc w:val="center"/>
              <w:rPr>
                <w:rFonts w:ascii="宋体" w:hAnsi="宋体" w:eastAsia="宋体" w:cs="宋体"/>
                <w:b/>
                <w:color w:val="000000"/>
                <w:kern w:val="0"/>
                <w:sz w:val="24"/>
                <w:szCs w:val="24"/>
              </w:rPr>
            </w:pPr>
            <w:r>
              <w:rPr>
                <w:rFonts w:hint="eastAsia" w:ascii="宋体" w:hAnsi="宋体" w:eastAsia="宋体" w:cs="宋体"/>
                <w:b/>
                <w:color w:val="000000"/>
                <w:kern w:val="0"/>
                <w:sz w:val="24"/>
                <w:szCs w:val="24"/>
              </w:rPr>
              <w:t>参与单位名称</w:t>
            </w:r>
          </w:p>
          <w:p w14:paraId="2295BE4E">
            <w:pPr>
              <w:autoSpaceDE w:val="0"/>
              <w:autoSpaceDN w:val="0"/>
              <w:spacing w:line="360" w:lineRule="auto"/>
              <w:jc w:val="center"/>
              <w:rPr>
                <w:rFonts w:ascii="宋体" w:hAnsi="宋体" w:eastAsia="宋体" w:cs="宋体"/>
                <w:b/>
                <w:color w:val="000000"/>
                <w:kern w:val="0"/>
                <w:sz w:val="24"/>
                <w:szCs w:val="24"/>
              </w:rPr>
            </w:pPr>
            <w:r>
              <w:rPr>
                <w:rFonts w:hint="eastAsia" w:ascii="宋体" w:hAnsi="宋体" w:eastAsia="宋体" w:cs="宋体"/>
                <w:b/>
                <w:color w:val="000000"/>
                <w:kern w:val="0"/>
                <w:sz w:val="24"/>
                <w:szCs w:val="24"/>
              </w:rPr>
              <w:t>及人员姓名</w:t>
            </w:r>
          </w:p>
        </w:tc>
        <w:tc>
          <w:tcPr>
            <w:tcW w:w="7124" w:type="dxa"/>
            <w:vAlign w:val="center"/>
          </w:tcPr>
          <w:p w14:paraId="65B26CE2">
            <w:pPr>
              <w:autoSpaceDE w:val="0"/>
              <w:autoSpaceDN w:val="0"/>
              <w:spacing w:line="360" w:lineRule="auto"/>
              <w:rPr>
                <w:rFonts w:ascii="宋体" w:hAnsi="宋体" w:eastAsia="宋体" w:cs="宋体"/>
                <w:sz w:val="24"/>
                <w:szCs w:val="24"/>
              </w:rPr>
            </w:pPr>
            <w:r>
              <w:rPr>
                <w:rFonts w:hint="eastAsia" w:ascii="宋体" w:hAnsi="宋体" w:eastAsia="宋体" w:cs="宋体"/>
                <w:sz w:val="24"/>
                <w:szCs w:val="24"/>
              </w:rPr>
              <w:t>通过上证路演中心参与公司</w:t>
            </w:r>
            <w:r>
              <w:rPr>
                <w:rFonts w:hint="eastAsia" w:ascii="宋体" w:hAnsi="宋体" w:eastAsia="宋体" w:cs="宋体"/>
                <w:bCs/>
                <w:iCs/>
                <w:color w:val="000000"/>
                <w:sz w:val="24"/>
                <w:highlight w:val="none"/>
                <w:lang w:val="en-GB"/>
              </w:rPr>
              <w:t>2026年半年度业绩说明会</w:t>
            </w:r>
            <w:r>
              <w:rPr>
                <w:rFonts w:hint="eastAsia" w:ascii="宋体" w:hAnsi="宋体" w:eastAsia="宋体" w:cs="宋体"/>
                <w:sz w:val="24"/>
                <w:szCs w:val="24"/>
              </w:rPr>
              <w:t>的投资者</w:t>
            </w:r>
          </w:p>
        </w:tc>
      </w:tr>
      <w:tr w14:paraId="2151DFA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51" w:hRule="atLeast"/>
          <w:jc w:val="center"/>
        </w:trPr>
        <w:tc>
          <w:tcPr>
            <w:tcW w:w="2465" w:type="dxa"/>
            <w:vAlign w:val="center"/>
          </w:tcPr>
          <w:p w14:paraId="127F26B5">
            <w:pPr>
              <w:autoSpaceDE w:val="0"/>
              <w:autoSpaceDN w:val="0"/>
              <w:spacing w:line="360" w:lineRule="auto"/>
              <w:jc w:val="center"/>
              <w:rPr>
                <w:rFonts w:ascii="宋体" w:hAnsi="宋体" w:eastAsia="宋体" w:cs="宋体"/>
                <w:b/>
                <w:color w:val="000000"/>
                <w:kern w:val="0"/>
                <w:sz w:val="24"/>
                <w:szCs w:val="24"/>
              </w:rPr>
            </w:pPr>
            <w:r>
              <w:rPr>
                <w:rFonts w:hint="eastAsia" w:ascii="宋体" w:hAnsi="宋体" w:eastAsia="宋体" w:cs="宋体"/>
                <w:b/>
                <w:color w:val="000000"/>
                <w:kern w:val="0"/>
                <w:sz w:val="24"/>
                <w:szCs w:val="24"/>
              </w:rPr>
              <w:t>时间</w:t>
            </w:r>
          </w:p>
        </w:tc>
        <w:tc>
          <w:tcPr>
            <w:tcW w:w="7124" w:type="dxa"/>
            <w:vAlign w:val="center"/>
          </w:tcPr>
          <w:p w14:paraId="32FCA4FA">
            <w:pPr>
              <w:autoSpaceDE w:val="0"/>
              <w:autoSpaceDN w:val="0"/>
              <w:spacing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202</w:t>
            </w:r>
            <w:r>
              <w:rPr>
                <w:rFonts w:hint="eastAsia" w:ascii="宋体" w:hAnsi="宋体" w:eastAsia="宋体" w:cs="宋体"/>
                <w:color w:val="000000"/>
                <w:kern w:val="0"/>
                <w:sz w:val="24"/>
                <w:szCs w:val="24"/>
                <w:lang w:val="en-US" w:eastAsia="zh-CN"/>
              </w:rPr>
              <w:t>6</w:t>
            </w:r>
            <w:r>
              <w:rPr>
                <w:rFonts w:hint="eastAsia" w:ascii="宋体" w:hAnsi="宋体" w:eastAsia="宋体" w:cs="宋体"/>
                <w:color w:val="000000"/>
                <w:kern w:val="0"/>
                <w:sz w:val="24"/>
                <w:szCs w:val="24"/>
              </w:rPr>
              <w:t>年</w:t>
            </w:r>
            <w:r>
              <w:rPr>
                <w:rFonts w:hint="eastAsia" w:ascii="宋体" w:hAnsi="宋体" w:eastAsia="宋体" w:cs="宋体"/>
                <w:color w:val="000000"/>
                <w:kern w:val="0"/>
                <w:sz w:val="24"/>
                <w:szCs w:val="24"/>
                <w:lang w:val="en-US" w:eastAsia="zh-CN"/>
              </w:rPr>
              <w:t>8</w:t>
            </w:r>
            <w:r>
              <w:rPr>
                <w:rFonts w:hint="eastAsia" w:ascii="宋体" w:hAnsi="宋体" w:eastAsia="宋体" w:cs="宋体"/>
                <w:color w:val="000000"/>
                <w:kern w:val="0"/>
                <w:sz w:val="24"/>
                <w:szCs w:val="24"/>
              </w:rPr>
              <w:t>月</w:t>
            </w:r>
            <w:r>
              <w:rPr>
                <w:rFonts w:hint="eastAsia" w:ascii="宋体" w:hAnsi="宋体" w:eastAsia="宋体" w:cs="宋体"/>
                <w:color w:val="000000"/>
                <w:kern w:val="0"/>
                <w:sz w:val="24"/>
                <w:szCs w:val="24"/>
                <w:lang w:val="en-US" w:eastAsia="zh-CN"/>
              </w:rPr>
              <w:t>21</w:t>
            </w:r>
            <w:r>
              <w:rPr>
                <w:rFonts w:hint="eastAsia" w:ascii="宋体" w:hAnsi="宋体" w:eastAsia="宋体" w:cs="宋体"/>
                <w:color w:val="000000"/>
                <w:kern w:val="0"/>
                <w:sz w:val="24"/>
                <w:szCs w:val="24"/>
              </w:rPr>
              <w:t>日 1</w:t>
            </w:r>
            <w:r>
              <w:rPr>
                <w:rFonts w:ascii="宋体" w:hAnsi="宋体" w:eastAsia="宋体" w:cs="宋体"/>
                <w:color w:val="000000"/>
                <w:kern w:val="0"/>
                <w:sz w:val="24"/>
                <w:szCs w:val="24"/>
              </w:rPr>
              <w:t>3</w:t>
            </w: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lang w:val="en-US" w:eastAsia="zh-CN"/>
              </w:rPr>
              <w:t>0</w:t>
            </w:r>
            <w:r>
              <w:rPr>
                <w:rFonts w:hint="eastAsia" w:ascii="宋体" w:hAnsi="宋体" w:eastAsia="宋体" w:cs="宋体"/>
                <w:color w:val="000000"/>
                <w:kern w:val="0"/>
                <w:sz w:val="24"/>
                <w:szCs w:val="24"/>
              </w:rPr>
              <w:t>0-1</w:t>
            </w:r>
            <w:r>
              <w:rPr>
                <w:rFonts w:hint="eastAsia" w:ascii="宋体" w:hAnsi="宋体" w:eastAsia="宋体" w:cs="宋体"/>
                <w:color w:val="000000"/>
                <w:kern w:val="0"/>
                <w:sz w:val="24"/>
                <w:szCs w:val="24"/>
                <w:lang w:val="en-US" w:eastAsia="zh-CN"/>
              </w:rPr>
              <w:t>4</w:t>
            </w:r>
            <w:r>
              <w:rPr>
                <w:rFonts w:hint="eastAsia" w:ascii="宋体" w:hAnsi="宋体" w:eastAsia="宋体" w:cs="宋体"/>
                <w:color w:val="000000"/>
                <w:kern w:val="0"/>
                <w:sz w:val="24"/>
                <w:szCs w:val="24"/>
              </w:rPr>
              <w:t>:00</w:t>
            </w:r>
          </w:p>
        </w:tc>
      </w:tr>
      <w:tr w14:paraId="7DBCBD5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05" w:hRule="atLeast"/>
          <w:jc w:val="center"/>
        </w:trPr>
        <w:tc>
          <w:tcPr>
            <w:tcW w:w="2465" w:type="dxa"/>
            <w:vAlign w:val="center"/>
          </w:tcPr>
          <w:p w14:paraId="5CFD61BB">
            <w:pPr>
              <w:autoSpaceDE w:val="0"/>
              <w:autoSpaceDN w:val="0"/>
              <w:spacing w:line="360" w:lineRule="auto"/>
              <w:jc w:val="center"/>
              <w:rPr>
                <w:rFonts w:ascii="宋体" w:hAnsi="宋体" w:eastAsia="宋体" w:cs="宋体"/>
                <w:b/>
                <w:color w:val="000000"/>
                <w:kern w:val="0"/>
                <w:sz w:val="24"/>
                <w:szCs w:val="24"/>
              </w:rPr>
            </w:pPr>
            <w:r>
              <w:rPr>
                <w:rFonts w:hint="eastAsia" w:ascii="宋体" w:hAnsi="宋体" w:eastAsia="宋体" w:cs="宋体"/>
                <w:b/>
                <w:color w:val="000000"/>
                <w:kern w:val="0"/>
                <w:sz w:val="24"/>
                <w:szCs w:val="24"/>
              </w:rPr>
              <w:t>地点</w:t>
            </w:r>
          </w:p>
        </w:tc>
        <w:tc>
          <w:tcPr>
            <w:tcW w:w="7124" w:type="dxa"/>
            <w:vAlign w:val="center"/>
          </w:tcPr>
          <w:p w14:paraId="7F9B23E3">
            <w:pPr>
              <w:autoSpaceDE w:val="0"/>
              <w:autoSpaceDN w:val="0"/>
              <w:spacing w:line="360" w:lineRule="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上海证券交易所上证路演中心（http</w:t>
            </w:r>
            <w:r>
              <w:rPr>
                <w:rFonts w:hint="eastAsia" w:ascii="宋体" w:hAnsi="宋体" w:eastAsia="宋体" w:cs="宋体"/>
                <w:color w:val="000000"/>
                <w:kern w:val="0"/>
                <w:sz w:val="24"/>
                <w:szCs w:val="24"/>
                <w:lang w:val="en-US" w:eastAsia="zh-CN"/>
              </w:rPr>
              <w:t>s</w:t>
            </w:r>
            <w:r>
              <w:rPr>
                <w:rFonts w:hint="eastAsia" w:ascii="宋体" w:hAnsi="宋体" w:eastAsia="宋体" w:cs="宋体"/>
                <w:color w:val="000000"/>
                <w:kern w:val="0"/>
                <w:sz w:val="24"/>
                <w:szCs w:val="24"/>
              </w:rPr>
              <w:t>://roadshow.sseinfo.com/）</w:t>
            </w:r>
          </w:p>
        </w:tc>
      </w:tr>
      <w:tr w14:paraId="7262E99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829" w:hRule="atLeast"/>
          <w:jc w:val="center"/>
        </w:trPr>
        <w:tc>
          <w:tcPr>
            <w:tcW w:w="2465" w:type="dxa"/>
            <w:vAlign w:val="center"/>
          </w:tcPr>
          <w:p w14:paraId="4CB79E06">
            <w:pPr>
              <w:autoSpaceDE w:val="0"/>
              <w:autoSpaceDN w:val="0"/>
              <w:spacing w:line="360" w:lineRule="auto"/>
              <w:jc w:val="center"/>
              <w:rPr>
                <w:rFonts w:ascii="宋体" w:hAnsi="宋体" w:eastAsia="宋体" w:cs="宋体"/>
                <w:b/>
                <w:color w:val="000000"/>
                <w:kern w:val="0"/>
                <w:sz w:val="24"/>
                <w:szCs w:val="24"/>
              </w:rPr>
            </w:pPr>
            <w:r>
              <w:rPr>
                <w:rFonts w:hint="eastAsia" w:ascii="宋体" w:hAnsi="宋体" w:eastAsia="宋体" w:cs="宋体"/>
                <w:b/>
                <w:color w:val="000000"/>
                <w:kern w:val="0"/>
                <w:sz w:val="24"/>
                <w:szCs w:val="24"/>
              </w:rPr>
              <w:t>上市公司接待人员姓名</w:t>
            </w:r>
          </w:p>
        </w:tc>
        <w:tc>
          <w:tcPr>
            <w:tcW w:w="7124" w:type="dxa"/>
            <w:vAlign w:val="center"/>
          </w:tcPr>
          <w:p w14:paraId="0A12E434">
            <w:pPr>
              <w:autoSpaceDE w:val="0"/>
              <w:autoSpaceDN w:val="0"/>
              <w:spacing w:line="360" w:lineRule="auto"/>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董事、总经理：陈友梅</w:t>
            </w:r>
          </w:p>
          <w:p w14:paraId="4FACFB08">
            <w:pPr>
              <w:autoSpaceDE w:val="0"/>
              <w:autoSpaceDN w:val="0"/>
              <w:spacing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 xml:space="preserve">董事、副总经理、董事会秘书：翁林彦 </w:t>
            </w:r>
            <w:r>
              <w:rPr>
                <w:rFonts w:ascii="宋体" w:hAnsi="宋体" w:eastAsia="宋体" w:cs="宋体"/>
                <w:color w:val="000000"/>
                <w:kern w:val="0"/>
                <w:sz w:val="24"/>
                <w:szCs w:val="24"/>
              </w:rPr>
              <w:t xml:space="preserve"> </w:t>
            </w:r>
          </w:p>
          <w:p w14:paraId="02EEB44B">
            <w:pPr>
              <w:autoSpaceDE w:val="0"/>
              <w:autoSpaceDN w:val="0"/>
              <w:spacing w:line="360" w:lineRule="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独立董事：肖阳</w:t>
            </w:r>
          </w:p>
          <w:p w14:paraId="377881B4">
            <w:pPr>
              <w:autoSpaceDE w:val="0"/>
              <w:autoSpaceDN w:val="0"/>
              <w:spacing w:line="360" w:lineRule="auto"/>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财务总监：林杰</w:t>
            </w:r>
            <w:bookmarkStart w:id="0" w:name="_GoBack"/>
            <w:bookmarkEnd w:id="0"/>
          </w:p>
        </w:tc>
      </w:tr>
      <w:tr w14:paraId="4AA650D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23" w:hRule="atLeast"/>
          <w:jc w:val="center"/>
        </w:trPr>
        <w:tc>
          <w:tcPr>
            <w:tcW w:w="2465" w:type="dxa"/>
            <w:vAlign w:val="center"/>
          </w:tcPr>
          <w:p w14:paraId="57A936CD">
            <w:pPr>
              <w:autoSpaceDE w:val="0"/>
              <w:autoSpaceDN w:val="0"/>
              <w:spacing w:line="360" w:lineRule="auto"/>
              <w:jc w:val="center"/>
              <w:rPr>
                <w:rFonts w:ascii="宋体" w:hAnsi="宋体" w:eastAsia="宋体" w:cs="宋体"/>
                <w:b/>
                <w:color w:val="000000"/>
                <w:kern w:val="0"/>
                <w:sz w:val="24"/>
                <w:szCs w:val="24"/>
              </w:rPr>
            </w:pPr>
            <w:r>
              <w:rPr>
                <w:rFonts w:hint="eastAsia" w:ascii="宋体" w:hAnsi="宋体" w:eastAsia="宋体" w:cs="宋体"/>
                <w:b/>
                <w:color w:val="000000"/>
                <w:kern w:val="0"/>
                <w:sz w:val="24"/>
                <w:szCs w:val="24"/>
              </w:rPr>
              <w:t>投资者关系活动</w:t>
            </w:r>
          </w:p>
          <w:p w14:paraId="11A83F9A">
            <w:pPr>
              <w:autoSpaceDE w:val="0"/>
              <w:autoSpaceDN w:val="0"/>
              <w:spacing w:line="360" w:lineRule="auto"/>
              <w:jc w:val="center"/>
              <w:rPr>
                <w:rFonts w:ascii="宋体" w:hAnsi="宋体" w:eastAsia="宋体" w:cs="宋体"/>
                <w:b/>
                <w:color w:val="000000"/>
                <w:kern w:val="0"/>
                <w:sz w:val="24"/>
                <w:szCs w:val="24"/>
              </w:rPr>
            </w:pPr>
            <w:r>
              <w:rPr>
                <w:rFonts w:hint="eastAsia" w:ascii="宋体" w:hAnsi="宋体" w:eastAsia="宋体" w:cs="宋体"/>
                <w:b/>
                <w:color w:val="000000"/>
                <w:kern w:val="0"/>
                <w:sz w:val="24"/>
                <w:szCs w:val="24"/>
              </w:rPr>
              <w:t>主要内容介绍</w:t>
            </w:r>
          </w:p>
        </w:tc>
        <w:tc>
          <w:tcPr>
            <w:tcW w:w="7124" w:type="dxa"/>
            <w:vAlign w:val="center"/>
          </w:tcPr>
          <w:p w14:paraId="119945D8">
            <w:pPr>
              <w:pStyle w:val="10"/>
              <w:numPr>
                <w:ilvl w:val="0"/>
                <w:numId w:val="0"/>
              </w:numPr>
              <w:spacing w:line="460" w:lineRule="exact"/>
              <w:ind w:left="-2" w:leftChars="-1" w:firstLine="482" w:firstLineChars="200"/>
              <w:rPr>
                <w:rFonts w:hint="eastAsia" w:ascii="宋体" w:hAnsi="宋体"/>
                <w:b/>
                <w:bCs/>
                <w:sz w:val="24"/>
                <w:szCs w:val="24"/>
              </w:rPr>
            </w:pPr>
            <w:r>
              <w:rPr>
                <w:rFonts w:hint="eastAsia" w:ascii="宋体" w:hAnsi="宋体" w:eastAsia="宋体" w:cs="Times New Roman"/>
                <w:b/>
                <w:bCs/>
                <w:kern w:val="2"/>
                <w:sz w:val="24"/>
                <w:szCs w:val="24"/>
                <w:lang w:val="en-US" w:eastAsia="zh-CN" w:bidi="ar-SA"/>
              </w:rPr>
              <w:t>1、</w:t>
            </w:r>
            <w:r>
              <w:rPr>
                <w:rFonts w:hint="eastAsia" w:ascii="宋体" w:hAnsi="宋体"/>
                <w:b/>
                <w:bCs/>
                <w:sz w:val="24"/>
                <w:szCs w:val="24"/>
              </w:rPr>
              <w:t>财报显示，3-6月丙烯和聚丙烯等化工材料价格大幅上涨。请问独立董事在监督公司内控和风险管理时，是否关注到公司在应对上游大宗商品价格波动时的抗风险能力？公司目前的定价机制是否具备足够的弹性，以将成本压力合理转嫁给终端消费者或下游客户？</w:t>
            </w:r>
          </w:p>
          <w:p w14:paraId="4C902AA7">
            <w:pPr>
              <w:pStyle w:val="10"/>
              <w:spacing w:line="460" w:lineRule="exact"/>
              <w:ind w:left="-2" w:leftChars="-1" w:firstLine="480"/>
              <w:rPr>
                <w:rFonts w:ascii="宋体" w:hAnsi="宋体"/>
                <w:sz w:val="24"/>
                <w:szCs w:val="24"/>
              </w:rPr>
            </w:pPr>
            <w:r>
              <w:rPr>
                <w:rFonts w:ascii="宋体" w:hAnsi="宋体"/>
                <w:sz w:val="24"/>
                <w:szCs w:val="24"/>
              </w:rPr>
              <w:t>答：</w:t>
            </w:r>
            <w:r>
              <w:rPr>
                <w:rFonts w:hint="eastAsia" w:ascii="宋体" w:hAnsi="宋体"/>
                <w:sz w:val="24"/>
                <w:szCs w:val="24"/>
              </w:rPr>
              <w:t>您好，公司生产所需的原材料价格受石油价格波动影响。为此，公司一方面将通过供应链整合与优化，降低生产成本，来消化原材料价格波动可能带来的挑战。另一方面，通过提高产品设计水平，提升产品的体验和外观设计水准，提升产品的附加价值，从而通过提高销售价格来消化原料涨价的风险。感谢您对公司的关注。</w:t>
            </w:r>
          </w:p>
          <w:p w14:paraId="2FC8C772">
            <w:pPr>
              <w:pStyle w:val="10"/>
              <w:spacing w:line="460" w:lineRule="exact"/>
              <w:ind w:left="-2" w:leftChars="-1" w:firstLine="480"/>
              <w:rPr>
                <w:rFonts w:hint="eastAsia" w:ascii="宋体" w:hAnsi="宋体" w:eastAsia="宋体"/>
                <w:b/>
                <w:sz w:val="24"/>
                <w:szCs w:val="24"/>
                <w:lang w:val="en-US" w:eastAsia="zh-CN"/>
              </w:rPr>
            </w:pPr>
            <w:r>
              <w:rPr>
                <w:rFonts w:hint="eastAsia" w:ascii="宋体" w:hAnsi="宋体"/>
                <w:b/>
                <w:bCs/>
                <w:sz w:val="24"/>
                <w:szCs w:val="24"/>
                <w:lang w:val="en-US" w:eastAsia="zh-CN"/>
              </w:rPr>
              <w:t>2、</w:t>
            </w:r>
            <w:r>
              <w:rPr>
                <w:rFonts w:hint="eastAsia" w:ascii="宋体" w:hAnsi="宋体"/>
                <w:b/>
                <w:bCs/>
                <w:sz w:val="24"/>
                <w:szCs w:val="24"/>
              </w:rPr>
              <w:t>截</w:t>
            </w:r>
            <w:r>
              <w:rPr>
                <w:rFonts w:hint="eastAsia" w:ascii="宋体" w:hAnsi="宋体"/>
                <w:b/>
                <w:sz w:val="24"/>
                <w:szCs w:val="24"/>
              </w:rPr>
              <w:t>至期末，公司短期借款达4.06亿元（较年初增长27.19%），而货币资金降至4.16亿元。在短期偿债压力有所加大的情况下，公司目前的流动性储备是否充足？未来是否有进一步的融资计划或缩减资本开支的预案来保障资金链安全</w:t>
            </w:r>
            <w:r>
              <w:rPr>
                <w:rFonts w:hint="eastAsia" w:ascii="宋体" w:hAnsi="宋体"/>
                <w:b/>
                <w:sz w:val="24"/>
                <w:szCs w:val="24"/>
                <w:lang w:eastAsia="zh-CN"/>
              </w:rPr>
              <w:t>？</w:t>
            </w:r>
          </w:p>
          <w:p w14:paraId="212B7D22">
            <w:pPr>
              <w:pStyle w:val="10"/>
              <w:spacing w:line="460" w:lineRule="exact"/>
              <w:ind w:left="-2" w:leftChars="-1" w:firstLine="480"/>
              <w:rPr>
                <w:rFonts w:hint="eastAsia" w:ascii="宋体" w:hAnsi="宋体"/>
                <w:sz w:val="24"/>
                <w:szCs w:val="24"/>
              </w:rPr>
            </w:pPr>
            <w:r>
              <w:rPr>
                <w:rFonts w:ascii="宋体" w:hAnsi="宋体"/>
                <w:sz w:val="24"/>
                <w:szCs w:val="24"/>
              </w:rPr>
              <w:t>答：</w:t>
            </w:r>
            <w:r>
              <w:rPr>
                <w:rFonts w:hint="eastAsia" w:ascii="宋体" w:hAnsi="宋体"/>
                <w:sz w:val="24"/>
                <w:szCs w:val="24"/>
              </w:rPr>
              <w:t>您好，公司目前资金储备较为充足，满足公司当前业务发展需要。未来将根据公司业务进展情况，不排除通过增加银行授信、资本融资等方式保障资金链安全，届时公司将根据相关法律法规，履行必要的审批程序。感谢您对公司的关注。</w:t>
            </w:r>
          </w:p>
          <w:p w14:paraId="79297A3C">
            <w:pPr>
              <w:pStyle w:val="10"/>
              <w:spacing w:line="460" w:lineRule="exact"/>
              <w:ind w:left="-2" w:leftChars="-1" w:firstLine="480"/>
              <w:rPr>
                <w:rFonts w:hint="eastAsia" w:ascii="宋体" w:hAnsi="宋体"/>
                <w:b/>
                <w:bCs/>
                <w:sz w:val="24"/>
                <w:szCs w:val="24"/>
              </w:rPr>
            </w:pPr>
            <w:r>
              <w:rPr>
                <w:rFonts w:hint="eastAsia" w:ascii="宋体" w:hAnsi="宋体"/>
                <w:b/>
                <w:bCs/>
                <w:sz w:val="24"/>
                <w:szCs w:val="24"/>
              </w:rPr>
              <w:t>3、作为董秘，您也是连接公司与资本市场的桥梁。半年报提到公司取得了8项外观专利，并推出了厨房类、家居类系列化新品。请问公司在研发新品时，是否有建立系统的消费者反馈机制（如结合电商平台的用户评价数据）？未来是否会考虑举办面向中小股东和消费者的线下产品体验活动，让大家更直观地感受到公司的研发实力和产品升级？</w:t>
            </w:r>
          </w:p>
          <w:p w14:paraId="5D48657F">
            <w:pPr>
              <w:pStyle w:val="10"/>
              <w:spacing w:line="460" w:lineRule="exact"/>
              <w:ind w:left="-2" w:leftChars="-1" w:firstLine="480"/>
              <w:rPr>
                <w:rFonts w:hint="eastAsia" w:ascii="宋体" w:hAnsi="宋体"/>
                <w:sz w:val="24"/>
                <w:szCs w:val="24"/>
              </w:rPr>
            </w:pPr>
            <w:r>
              <w:rPr>
                <w:rFonts w:ascii="宋体" w:hAnsi="宋体"/>
                <w:sz w:val="24"/>
                <w:szCs w:val="24"/>
              </w:rPr>
              <w:t>答：</w:t>
            </w:r>
            <w:r>
              <w:rPr>
                <w:rFonts w:hint="eastAsia" w:ascii="宋体" w:hAnsi="宋体"/>
                <w:sz w:val="24"/>
                <w:szCs w:val="24"/>
              </w:rPr>
              <w:t>您好，公司建立了较为完善的研发体系，坚持“以用户体验为本”的设计理念，从新品立项的信息收集到新品设计再到新品试用和反馈改进形成了完整的闭环，同时公司通过大力引进和内部培养建立了由工业设计、结构设计、平面设计和模具设计人员组成的强大的研发设计团队，为新品的持续研发提供了坚实的基础。此外，公司建立了全员参与的研发机制，建立起销售、生产、研发人员之间定期的沟通交流机制，使市场信息能够及时反馈到研发部门，上海研发中心也不断引进优秀的研发设计人才，更快地接收符合国内外市场流行趋势的市场信息，提升对市场的反应速度和新品研发的效率。感谢您对公司的关注。</w:t>
            </w:r>
          </w:p>
          <w:p w14:paraId="4C3133CD">
            <w:pPr>
              <w:pStyle w:val="10"/>
              <w:spacing w:line="460" w:lineRule="exact"/>
              <w:ind w:left="-2" w:leftChars="-1" w:firstLine="480"/>
              <w:rPr>
                <w:rFonts w:hint="eastAsia" w:ascii="宋体" w:hAnsi="宋体"/>
                <w:b/>
                <w:bCs/>
                <w:sz w:val="24"/>
                <w:szCs w:val="24"/>
              </w:rPr>
            </w:pPr>
            <w:r>
              <w:rPr>
                <w:rFonts w:hint="eastAsia" w:ascii="宋体" w:hAnsi="宋体"/>
                <w:b/>
                <w:bCs/>
                <w:sz w:val="24"/>
                <w:szCs w:val="24"/>
              </w:rPr>
              <w:t>4、翁总您好，尽管公司上半年实现了扭亏为盈，但整体净利率仅为0.72%，且毛利率大幅下滑。在当前资本市场对“双主业”转型公司估值较为谨慎的背景下，公司计划通过哪些具体的投资者关系活动（如反向路演、产品体验会等），向市场传递茶花品牌在家居领域的护城河以及电子分销业务的成长性，以修复公司的估值？</w:t>
            </w:r>
          </w:p>
          <w:p w14:paraId="7F751B35">
            <w:pPr>
              <w:pStyle w:val="10"/>
              <w:spacing w:line="460" w:lineRule="exact"/>
              <w:ind w:left="-2" w:leftChars="-1" w:firstLine="480"/>
              <w:rPr>
                <w:rFonts w:ascii="宋体" w:hAnsi="宋体"/>
                <w:sz w:val="24"/>
                <w:szCs w:val="24"/>
              </w:rPr>
            </w:pPr>
            <w:r>
              <w:rPr>
                <w:rFonts w:ascii="宋体" w:hAnsi="宋体"/>
                <w:sz w:val="24"/>
                <w:szCs w:val="24"/>
              </w:rPr>
              <w:t>答：</w:t>
            </w:r>
            <w:r>
              <w:rPr>
                <w:rFonts w:hint="eastAsia" w:ascii="宋体" w:hAnsi="宋体"/>
                <w:sz w:val="24"/>
                <w:szCs w:val="24"/>
              </w:rPr>
              <w:t>您好，公司在不断提升信息披露透明度和精准度的同时，持续强化与投资者的沟通，通过多元化沟通渠道，及时回应投资者，与投资者建立良性互动。通过召开业绩说明会，公开信息披露、接待现场和线上调研、E互动平台问答、邮件与电话交流等方式，使投资者更好地了解公司情况，提升投资者对公司的了解和认同，不断提升公司资本市场形象。感谢您对公司的关注。</w:t>
            </w:r>
          </w:p>
          <w:p w14:paraId="69AAACB2">
            <w:pPr>
              <w:spacing w:line="360" w:lineRule="auto"/>
              <w:ind w:firstLine="482" w:firstLineChars="200"/>
              <w:rPr>
                <w:rFonts w:hint="eastAsia" w:ascii="宋体" w:hAnsi="宋体" w:eastAsia="宋体" w:cs="Times New Roman"/>
                <w:b/>
                <w:bCs/>
                <w:kern w:val="2"/>
                <w:sz w:val="24"/>
                <w:szCs w:val="24"/>
                <w:lang w:val="en-US" w:eastAsia="zh-CN" w:bidi="ar-SA"/>
              </w:rPr>
            </w:pPr>
            <w:r>
              <w:rPr>
                <w:rFonts w:hint="eastAsia" w:ascii="宋体" w:hAnsi="宋体" w:eastAsia="宋体" w:cs="Times New Roman"/>
                <w:b/>
                <w:bCs/>
                <w:kern w:val="2"/>
                <w:sz w:val="24"/>
                <w:szCs w:val="24"/>
                <w:lang w:val="en-US" w:eastAsia="zh-CN" w:bidi="ar-SA"/>
              </w:rPr>
              <w:t>5、</w:t>
            </w:r>
            <w:r>
              <w:rPr>
                <w:rFonts w:hint="default" w:ascii="宋体" w:hAnsi="宋体" w:eastAsia="宋体" w:cs="Times New Roman"/>
                <w:b/>
                <w:bCs/>
                <w:kern w:val="2"/>
                <w:sz w:val="24"/>
                <w:szCs w:val="24"/>
                <w:lang w:val="en-US" w:eastAsia="zh-CN" w:bidi="ar-SA"/>
              </w:rPr>
              <w:t>肖董您好，公司目前电子元器件分销业务贡献了绝大部分利润，而传统家居业务仍在亏损。作为独立董事，您如何评估这种业务结构对公司长期价值的影响？在推进“提质增效重回报”行动方案时，董事会如何确保资源不会过度向低毛利的分销业务倾斜，从而忽视了茶花作为老牌家居品牌的长期核心竞争力与中小股东的利益？</w:t>
            </w:r>
          </w:p>
          <w:p w14:paraId="2963C3DF">
            <w:pPr>
              <w:pStyle w:val="10"/>
              <w:spacing w:line="460" w:lineRule="exact"/>
              <w:ind w:left="0" w:leftChars="0" w:firstLine="480" w:firstLineChars="200"/>
              <w:rPr>
                <w:rFonts w:hint="eastAsia" w:ascii="宋体" w:hAnsi="宋体"/>
                <w:sz w:val="24"/>
                <w:szCs w:val="24"/>
              </w:rPr>
            </w:pPr>
            <w:r>
              <w:rPr>
                <w:rFonts w:hint="eastAsia" w:ascii="宋体" w:hAnsi="宋体"/>
                <w:sz w:val="24"/>
                <w:szCs w:val="24"/>
              </w:rPr>
              <w:t>答：您好，当前国民经济延续总体平稳、向新向优的发展态势，但经济运行的结构性分化特征明显，以人工智能、半导体、新能源为代表的新质生产力加速成长，而传统消费与投资领域仍处于修复阶段。面对市场环境的诸多不确定性，公司积极主动应对市场风险与挑战，坚定推进双主业经营战略。感谢您对公司的关注。</w:t>
            </w:r>
          </w:p>
          <w:p w14:paraId="2C1263B9">
            <w:pPr>
              <w:pStyle w:val="10"/>
              <w:numPr>
                <w:ilvl w:val="0"/>
                <w:numId w:val="1"/>
              </w:numPr>
              <w:spacing w:line="460" w:lineRule="exact"/>
              <w:ind w:left="-2" w:leftChars="-1" w:firstLine="480"/>
              <w:rPr>
                <w:rFonts w:hint="eastAsia" w:ascii="宋体" w:hAnsi="宋体"/>
                <w:b/>
                <w:bCs/>
                <w:sz w:val="24"/>
                <w:szCs w:val="24"/>
              </w:rPr>
            </w:pPr>
            <w:r>
              <w:rPr>
                <w:rFonts w:hint="eastAsia" w:ascii="宋体" w:hAnsi="宋体"/>
                <w:b/>
                <w:bCs/>
                <w:sz w:val="24"/>
                <w:szCs w:val="24"/>
              </w:rPr>
              <w:t>林总您好，半年报显示公司应收账款同比暴增220.81%（达4.62亿元），同时经营活动净现金流为-9602.58万元，与859.66万元的净利润严重背离。这种“有利润无现金”的状况是否意味着我们在电子元器件分销业务中对下游客户放宽了信用政策？针对高达4.62亿的应收账款，公司目前的坏账计提准备是否充分？下半年有何具体的催收计划来改善现金流？</w:t>
            </w:r>
          </w:p>
          <w:p w14:paraId="46228F02">
            <w:pPr>
              <w:pStyle w:val="10"/>
              <w:numPr>
                <w:ilvl w:val="0"/>
                <w:numId w:val="0"/>
              </w:numPr>
              <w:spacing w:line="460" w:lineRule="exact"/>
              <w:ind w:left="17" w:leftChars="8" w:firstLine="398" w:firstLineChars="166"/>
              <w:rPr>
                <w:rFonts w:hint="eastAsia" w:ascii="宋体" w:hAnsi="宋体"/>
                <w:sz w:val="24"/>
                <w:szCs w:val="24"/>
              </w:rPr>
            </w:pPr>
            <w:r>
              <w:rPr>
                <w:rFonts w:ascii="宋体" w:hAnsi="宋体"/>
                <w:sz w:val="24"/>
                <w:szCs w:val="24"/>
              </w:rPr>
              <w:t>答：</w:t>
            </w:r>
            <w:r>
              <w:rPr>
                <w:rFonts w:hint="eastAsia" w:ascii="宋体" w:hAnsi="宋体"/>
                <w:sz w:val="24"/>
                <w:szCs w:val="24"/>
              </w:rPr>
              <w:t>您好，随着电子元器件分销业务的发展，公司应收账款相应增加，为应对应收账款相关风险，公司财务部将加强业务流程管理，对客户的信用状况、信用期限等信息及数据进行分析和精细化管理，动态跟踪，确保应收账款的安全回收。感谢您对公司的关注。</w:t>
            </w:r>
          </w:p>
          <w:p w14:paraId="23164124">
            <w:pPr>
              <w:pStyle w:val="10"/>
              <w:numPr>
                <w:ilvl w:val="0"/>
                <w:numId w:val="0"/>
              </w:numPr>
              <w:spacing w:line="460" w:lineRule="exact"/>
              <w:ind w:left="17" w:leftChars="8" w:firstLine="400" w:firstLineChars="166"/>
              <w:rPr>
                <w:rFonts w:hint="eastAsia" w:ascii="宋体" w:hAnsi="宋体"/>
                <w:b/>
                <w:bCs/>
                <w:sz w:val="24"/>
                <w:szCs w:val="24"/>
                <w:lang w:val="en-US" w:eastAsia="zh-CN"/>
              </w:rPr>
            </w:pPr>
            <w:r>
              <w:rPr>
                <w:rFonts w:hint="eastAsia" w:ascii="宋体" w:hAnsi="宋体"/>
                <w:b/>
                <w:bCs/>
                <w:sz w:val="24"/>
                <w:szCs w:val="24"/>
                <w:lang w:val="en-US" w:eastAsia="zh-CN"/>
              </w:rPr>
              <w:t>7、</w:t>
            </w:r>
            <w:r>
              <w:rPr>
                <w:rFonts w:hint="eastAsia" w:ascii="宋体" w:hAnsi="宋体"/>
                <w:b/>
                <w:bCs/>
                <w:sz w:val="24"/>
                <w:szCs w:val="24"/>
                <w:lang w:val="en-US" w:eastAsia="zh-CN"/>
              </w:rPr>
              <w:t xml:space="preserve">公司提到依托东南亚商超渠道建设茶花品牌专区，线上零售业务也实现了10%以上增长。请问管理层在拓展海外市场和线上渠道时，是否利用了AI技术（如边缘AI计算等分销业务积累的技术）来优化消费者洞察或供应链效率？未来“家居+电子”两大主业在底层技术或渠道上是否有实质性的协同效应？ </w:t>
            </w:r>
          </w:p>
          <w:p w14:paraId="2022DAA0">
            <w:pPr>
              <w:pStyle w:val="10"/>
              <w:numPr>
                <w:ilvl w:val="0"/>
                <w:numId w:val="0"/>
              </w:numPr>
              <w:spacing w:line="460" w:lineRule="exact"/>
              <w:ind w:left="17" w:leftChars="8" w:firstLine="398" w:firstLineChars="166"/>
              <w:rPr>
                <w:rFonts w:hint="eastAsia" w:ascii="宋体" w:hAnsi="宋体"/>
                <w:sz w:val="24"/>
                <w:szCs w:val="24"/>
              </w:rPr>
            </w:pPr>
            <w:r>
              <w:rPr>
                <w:rFonts w:ascii="宋体" w:hAnsi="宋体"/>
                <w:sz w:val="24"/>
                <w:szCs w:val="24"/>
              </w:rPr>
              <w:t>答：</w:t>
            </w:r>
            <w:r>
              <w:rPr>
                <w:rFonts w:hint="eastAsia" w:ascii="宋体" w:hAnsi="宋体"/>
                <w:sz w:val="24"/>
                <w:szCs w:val="24"/>
              </w:rPr>
              <w:t>您好，公司坚定推进双主业经营战略。在家居用品业务板块，公司坚持降本增效的同时，加大对线上业务以及出海业务的资源投入并实现有效增长，进一步巩固了原有业务的市场规模。在电子元器件分销业务板块，公司通过技术支持、应用创新和供应链服务等多维赋能，持续深化与客户的合作粘性，推动业务规模实现快速发展，稳步推进公司整体转型升级。感谢您对公司的关注。</w:t>
            </w:r>
          </w:p>
          <w:p w14:paraId="3AF46537">
            <w:pPr>
              <w:pStyle w:val="10"/>
              <w:numPr>
                <w:ilvl w:val="0"/>
                <w:numId w:val="0"/>
              </w:numPr>
              <w:spacing w:line="460" w:lineRule="exact"/>
              <w:ind w:left="17" w:leftChars="8" w:firstLine="400" w:firstLineChars="166"/>
              <w:rPr>
                <w:rFonts w:hint="eastAsia" w:ascii="宋体" w:hAnsi="宋体"/>
                <w:b/>
                <w:bCs/>
                <w:sz w:val="24"/>
                <w:szCs w:val="24"/>
                <w:lang w:val="en-US" w:eastAsia="zh-CN"/>
              </w:rPr>
            </w:pPr>
            <w:r>
              <w:rPr>
                <w:rFonts w:hint="eastAsia" w:ascii="宋体" w:hAnsi="宋体"/>
                <w:b/>
                <w:bCs/>
                <w:sz w:val="24"/>
                <w:szCs w:val="24"/>
                <w:lang w:val="en-US" w:eastAsia="zh-CN"/>
              </w:rPr>
              <w:t>8、陈总您好，半年报显示公司营收暴增219.4%，但综合毛利率从去年的15.13%骤降至7.56%。这主要是因为低毛利的电子元器件分销业务（营收占比超80%）拉低了整体水平。作为消费者，我非常关心传统家居用品业务的未来。请问目前家居板块的亏损（-167.78万元）何时能彻底扭转？在面临3-6月PP等化工原材料价格上涨35.83%的背景下，公司是否有产品提价或高端化升级的计划，以修复家居板块的毛利空间？</w:t>
            </w:r>
          </w:p>
          <w:p w14:paraId="7CF0A0FC">
            <w:pPr>
              <w:pStyle w:val="10"/>
              <w:numPr>
                <w:ilvl w:val="0"/>
                <w:numId w:val="0"/>
              </w:numPr>
              <w:spacing w:line="460" w:lineRule="exact"/>
              <w:ind w:left="0" w:leftChars="0" w:firstLine="480" w:firstLineChars="200"/>
              <w:rPr>
                <w:rFonts w:hint="default" w:ascii="宋体"/>
                <w:b w:val="0"/>
                <w:bCs w:val="0"/>
                <w:sz w:val="24"/>
                <w:lang w:val="en-US" w:eastAsia="zh-CN"/>
              </w:rPr>
            </w:pPr>
            <w:r>
              <w:rPr>
                <w:rFonts w:hint="eastAsia" w:ascii="宋体" w:hAnsi="宋体"/>
                <w:sz w:val="24"/>
                <w:szCs w:val="24"/>
                <w:lang w:val="en-US" w:eastAsia="zh-CN"/>
              </w:rPr>
              <w:t>答：您好，在家居用品业务板块，公司将加大对线上业务以及出海业务的资源投入，促进业务有效增长，进一步巩固了原有业务的市场规模。在原材料价格上涨的背景下，公司供应链将通过持续降本增效以应对原材料的上涨。感谢您对公司的关注。</w:t>
            </w:r>
          </w:p>
        </w:tc>
      </w:tr>
      <w:tr w14:paraId="783F23C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957" w:hRule="atLeast"/>
          <w:jc w:val="center"/>
        </w:trPr>
        <w:tc>
          <w:tcPr>
            <w:tcW w:w="2465" w:type="dxa"/>
            <w:vAlign w:val="center"/>
          </w:tcPr>
          <w:p w14:paraId="69780279">
            <w:pPr>
              <w:autoSpaceDE w:val="0"/>
              <w:autoSpaceDN w:val="0"/>
              <w:spacing w:line="360" w:lineRule="auto"/>
              <w:jc w:val="center"/>
              <w:rPr>
                <w:rFonts w:ascii="宋体" w:hAnsi="宋体" w:eastAsia="宋体" w:cs="宋体"/>
                <w:b/>
                <w:color w:val="000000"/>
                <w:kern w:val="0"/>
                <w:sz w:val="24"/>
                <w:szCs w:val="24"/>
              </w:rPr>
            </w:pPr>
            <w:r>
              <w:rPr>
                <w:rFonts w:hint="eastAsia" w:ascii="宋体" w:hAnsi="宋体" w:eastAsia="宋体" w:cs="宋体"/>
                <w:b/>
                <w:color w:val="000000"/>
                <w:kern w:val="0"/>
                <w:sz w:val="24"/>
                <w:szCs w:val="24"/>
              </w:rPr>
              <w:t>附件清单（如有）</w:t>
            </w:r>
          </w:p>
        </w:tc>
        <w:tc>
          <w:tcPr>
            <w:tcW w:w="7124" w:type="dxa"/>
            <w:vAlign w:val="center"/>
          </w:tcPr>
          <w:p w14:paraId="3C03C8E7">
            <w:pPr>
              <w:autoSpaceDE w:val="0"/>
              <w:autoSpaceDN w:val="0"/>
              <w:spacing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无</w:t>
            </w:r>
          </w:p>
        </w:tc>
      </w:tr>
      <w:tr w14:paraId="7737555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957" w:hRule="atLeast"/>
          <w:jc w:val="center"/>
        </w:trPr>
        <w:tc>
          <w:tcPr>
            <w:tcW w:w="2465" w:type="dxa"/>
            <w:vAlign w:val="center"/>
          </w:tcPr>
          <w:p w14:paraId="294D602B">
            <w:pPr>
              <w:autoSpaceDE w:val="0"/>
              <w:autoSpaceDN w:val="0"/>
              <w:spacing w:line="360" w:lineRule="auto"/>
              <w:jc w:val="center"/>
              <w:rPr>
                <w:rFonts w:ascii="宋体" w:hAnsi="宋体" w:eastAsia="宋体" w:cs="宋体"/>
                <w:b/>
                <w:color w:val="000000"/>
                <w:kern w:val="0"/>
                <w:sz w:val="24"/>
                <w:szCs w:val="24"/>
              </w:rPr>
            </w:pPr>
            <w:r>
              <w:rPr>
                <w:rFonts w:hint="eastAsia" w:ascii="宋体" w:hAnsi="宋体" w:eastAsia="宋体" w:cs="宋体"/>
                <w:b/>
                <w:color w:val="000000"/>
                <w:kern w:val="0"/>
                <w:sz w:val="24"/>
                <w:szCs w:val="24"/>
              </w:rPr>
              <w:t>日  期</w:t>
            </w:r>
          </w:p>
        </w:tc>
        <w:tc>
          <w:tcPr>
            <w:tcW w:w="7124" w:type="dxa"/>
            <w:vAlign w:val="center"/>
          </w:tcPr>
          <w:p w14:paraId="186F0C4B">
            <w:pPr>
              <w:autoSpaceDE w:val="0"/>
              <w:autoSpaceDN w:val="0"/>
              <w:spacing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202</w:t>
            </w:r>
            <w:r>
              <w:rPr>
                <w:rFonts w:hint="eastAsia" w:ascii="宋体" w:hAnsi="宋体" w:eastAsia="宋体" w:cs="宋体"/>
                <w:color w:val="000000"/>
                <w:kern w:val="0"/>
                <w:sz w:val="24"/>
                <w:szCs w:val="24"/>
                <w:lang w:val="en-US" w:eastAsia="zh-CN"/>
              </w:rPr>
              <w:t>6</w:t>
            </w:r>
            <w:r>
              <w:rPr>
                <w:rFonts w:hint="eastAsia" w:ascii="宋体" w:hAnsi="宋体" w:eastAsia="宋体" w:cs="宋体"/>
                <w:color w:val="000000"/>
                <w:kern w:val="0"/>
                <w:sz w:val="24"/>
                <w:szCs w:val="24"/>
              </w:rPr>
              <w:t>年</w:t>
            </w:r>
            <w:r>
              <w:rPr>
                <w:rFonts w:hint="eastAsia" w:ascii="宋体" w:hAnsi="宋体" w:eastAsia="宋体" w:cs="宋体"/>
                <w:color w:val="000000"/>
                <w:kern w:val="0"/>
                <w:sz w:val="24"/>
                <w:szCs w:val="24"/>
                <w:lang w:val="en-US" w:eastAsia="zh-CN"/>
              </w:rPr>
              <w:t>8</w:t>
            </w:r>
            <w:r>
              <w:rPr>
                <w:rFonts w:hint="eastAsia" w:ascii="宋体" w:hAnsi="宋体" w:eastAsia="宋体" w:cs="宋体"/>
                <w:color w:val="000000"/>
                <w:kern w:val="0"/>
                <w:sz w:val="24"/>
                <w:szCs w:val="24"/>
              </w:rPr>
              <w:t>月</w:t>
            </w:r>
            <w:r>
              <w:rPr>
                <w:rFonts w:hint="eastAsia" w:ascii="宋体" w:hAnsi="宋体" w:eastAsia="宋体" w:cs="宋体"/>
                <w:color w:val="000000"/>
                <w:kern w:val="0"/>
                <w:sz w:val="24"/>
                <w:szCs w:val="24"/>
                <w:lang w:val="en-US" w:eastAsia="zh-CN"/>
              </w:rPr>
              <w:t>21</w:t>
            </w:r>
            <w:r>
              <w:rPr>
                <w:rFonts w:hint="eastAsia" w:ascii="宋体" w:hAnsi="宋体" w:eastAsia="宋体" w:cs="宋体"/>
                <w:color w:val="000000"/>
                <w:kern w:val="0"/>
                <w:sz w:val="24"/>
                <w:szCs w:val="24"/>
              </w:rPr>
              <w:t>日</w:t>
            </w:r>
          </w:p>
        </w:tc>
      </w:tr>
    </w:tbl>
    <w:p w14:paraId="68FCD001"/>
    <w:sectPr>
      <w:footerReference r:id="rId3" w:type="default"/>
      <w:pgSz w:w="11906" w:h="16838"/>
      <w:pgMar w:top="1134" w:right="1800" w:bottom="141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Symbol">
    <w:panose1 w:val="020B0502040204020203"/>
    <w:charset w:val="00"/>
    <w:family w:val="swiss"/>
    <w:pitch w:val="default"/>
    <w:sig w:usb0="800001E3" w:usb1="1200FFEF" w:usb2="00040000" w:usb3="04000000" w:csb0="00000001" w:csb1="4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D128D">
    <w:pPr>
      <w:pStyle w:val="2"/>
      <w:jc w:val="center"/>
      <w:rPr>
        <w:rFonts w:ascii="Times New Roman" w:hAnsi="Times New Roman"/>
        <w:sz w:val="20"/>
      </w:rPr>
    </w:pPr>
    <w:r>
      <w:rPr>
        <w:rFonts w:ascii="Times New Roman" w:hAnsi="Times New Roman"/>
        <w:sz w:val="20"/>
      </w:rPr>
      <w:fldChar w:fldCharType="begin"/>
    </w:r>
    <w:r>
      <w:rPr>
        <w:rFonts w:ascii="Times New Roman" w:hAnsi="Times New Roman"/>
        <w:sz w:val="20"/>
      </w:rPr>
      <w:instrText xml:space="preserve"> PAGE   \* MERGEFORMAT </w:instrText>
    </w:r>
    <w:r>
      <w:rPr>
        <w:rFonts w:ascii="Times New Roman" w:hAnsi="Times New Roman"/>
        <w:sz w:val="20"/>
      </w:rPr>
      <w:fldChar w:fldCharType="separate"/>
    </w:r>
    <w:r>
      <w:rPr>
        <w:rFonts w:ascii="Times New Roman" w:hAnsi="Times New Roman"/>
        <w:sz w:val="20"/>
        <w:lang w:val="zh-CN"/>
      </w:rPr>
      <w:t>2</w:t>
    </w:r>
    <w:r>
      <w:rPr>
        <w:rFonts w:ascii="Times New Roman" w:hAnsi="Times New Roman"/>
        <w:sz w:val="20"/>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3E2102"/>
    <w:multiLevelType w:val="singleLevel"/>
    <w:tmpl w:val="143E2102"/>
    <w:lvl w:ilvl="0" w:tentative="0">
      <w:start w:val="6"/>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3NWE5NmJiMjg4MTY4M2VhYTU1ZDdkNWM4OTgxMzUifQ=="/>
  </w:docVars>
  <w:rsids>
    <w:rsidRoot w:val="00EB3ED3"/>
    <w:rsid w:val="00006F40"/>
    <w:rsid w:val="0000768E"/>
    <w:rsid w:val="000250D4"/>
    <w:rsid w:val="000270A4"/>
    <w:rsid w:val="00027370"/>
    <w:rsid w:val="000320F6"/>
    <w:rsid w:val="00037B8F"/>
    <w:rsid w:val="00060658"/>
    <w:rsid w:val="000746F9"/>
    <w:rsid w:val="000808F2"/>
    <w:rsid w:val="00085438"/>
    <w:rsid w:val="00093DF0"/>
    <w:rsid w:val="000941D2"/>
    <w:rsid w:val="00096274"/>
    <w:rsid w:val="00097CB0"/>
    <w:rsid w:val="000A0C11"/>
    <w:rsid w:val="000A3683"/>
    <w:rsid w:val="000C17BC"/>
    <w:rsid w:val="000E1561"/>
    <w:rsid w:val="000E36DA"/>
    <w:rsid w:val="000E39F1"/>
    <w:rsid w:val="0011504D"/>
    <w:rsid w:val="00147459"/>
    <w:rsid w:val="00162BB3"/>
    <w:rsid w:val="00163F4A"/>
    <w:rsid w:val="00170494"/>
    <w:rsid w:val="001708A0"/>
    <w:rsid w:val="00175BE7"/>
    <w:rsid w:val="001855A7"/>
    <w:rsid w:val="001A7BD0"/>
    <w:rsid w:val="001B1E79"/>
    <w:rsid w:val="0021113E"/>
    <w:rsid w:val="00220319"/>
    <w:rsid w:val="00223CC5"/>
    <w:rsid w:val="00245D3B"/>
    <w:rsid w:val="00260C4A"/>
    <w:rsid w:val="00264C1D"/>
    <w:rsid w:val="00273E4C"/>
    <w:rsid w:val="0029093F"/>
    <w:rsid w:val="00295F4B"/>
    <w:rsid w:val="002C7140"/>
    <w:rsid w:val="002E2E8C"/>
    <w:rsid w:val="002E4B55"/>
    <w:rsid w:val="002E5CF9"/>
    <w:rsid w:val="002E7FEE"/>
    <w:rsid w:val="00304EAA"/>
    <w:rsid w:val="00317A84"/>
    <w:rsid w:val="00327A18"/>
    <w:rsid w:val="0033048E"/>
    <w:rsid w:val="003363E0"/>
    <w:rsid w:val="00355E80"/>
    <w:rsid w:val="00362D29"/>
    <w:rsid w:val="00370E20"/>
    <w:rsid w:val="00372F41"/>
    <w:rsid w:val="00374BB0"/>
    <w:rsid w:val="003829E9"/>
    <w:rsid w:val="003842EB"/>
    <w:rsid w:val="003A15E6"/>
    <w:rsid w:val="003A2DA2"/>
    <w:rsid w:val="003A3086"/>
    <w:rsid w:val="003B3123"/>
    <w:rsid w:val="003C1D5E"/>
    <w:rsid w:val="003D19C6"/>
    <w:rsid w:val="003D39BE"/>
    <w:rsid w:val="003E00FB"/>
    <w:rsid w:val="003E0A78"/>
    <w:rsid w:val="00405AAD"/>
    <w:rsid w:val="00416A8A"/>
    <w:rsid w:val="004216BF"/>
    <w:rsid w:val="00437A0A"/>
    <w:rsid w:val="00451528"/>
    <w:rsid w:val="00463170"/>
    <w:rsid w:val="00470D5C"/>
    <w:rsid w:val="00476173"/>
    <w:rsid w:val="004A36FD"/>
    <w:rsid w:val="004A6846"/>
    <w:rsid w:val="004B1AFC"/>
    <w:rsid w:val="004B3EF1"/>
    <w:rsid w:val="004B415A"/>
    <w:rsid w:val="004C0785"/>
    <w:rsid w:val="004C406D"/>
    <w:rsid w:val="004D678B"/>
    <w:rsid w:val="004F4D7C"/>
    <w:rsid w:val="004F54DD"/>
    <w:rsid w:val="00501442"/>
    <w:rsid w:val="00517BCA"/>
    <w:rsid w:val="00522975"/>
    <w:rsid w:val="005820B1"/>
    <w:rsid w:val="00583D9D"/>
    <w:rsid w:val="00586CE5"/>
    <w:rsid w:val="005C5458"/>
    <w:rsid w:val="005E30EB"/>
    <w:rsid w:val="005E5990"/>
    <w:rsid w:val="005E62B8"/>
    <w:rsid w:val="005E6B28"/>
    <w:rsid w:val="005F27AE"/>
    <w:rsid w:val="005F7B3D"/>
    <w:rsid w:val="00643756"/>
    <w:rsid w:val="00647D90"/>
    <w:rsid w:val="00664ADB"/>
    <w:rsid w:val="006A3C67"/>
    <w:rsid w:val="006B001A"/>
    <w:rsid w:val="006B6E66"/>
    <w:rsid w:val="006C0648"/>
    <w:rsid w:val="006C17DC"/>
    <w:rsid w:val="006C2906"/>
    <w:rsid w:val="006C488F"/>
    <w:rsid w:val="006C7E90"/>
    <w:rsid w:val="006D2B69"/>
    <w:rsid w:val="006E0159"/>
    <w:rsid w:val="006E0DC1"/>
    <w:rsid w:val="006E4844"/>
    <w:rsid w:val="006E4C5A"/>
    <w:rsid w:val="006E609E"/>
    <w:rsid w:val="00717D8D"/>
    <w:rsid w:val="00724743"/>
    <w:rsid w:val="0074003F"/>
    <w:rsid w:val="00756305"/>
    <w:rsid w:val="007742E7"/>
    <w:rsid w:val="00774B2C"/>
    <w:rsid w:val="00781490"/>
    <w:rsid w:val="00784AB0"/>
    <w:rsid w:val="00785C17"/>
    <w:rsid w:val="007A0E69"/>
    <w:rsid w:val="007A381C"/>
    <w:rsid w:val="007B1C1C"/>
    <w:rsid w:val="007B2F4C"/>
    <w:rsid w:val="007C590E"/>
    <w:rsid w:val="007C65CD"/>
    <w:rsid w:val="007C6861"/>
    <w:rsid w:val="00816B7A"/>
    <w:rsid w:val="00820A5C"/>
    <w:rsid w:val="00826E9C"/>
    <w:rsid w:val="008524BC"/>
    <w:rsid w:val="008731B1"/>
    <w:rsid w:val="00873E8E"/>
    <w:rsid w:val="00883AA2"/>
    <w:rsid w:val="008B222F"/>
    <w:rsid w:val="008B5ED0"/>
    <w:rsid w:val="008C0398"/>
    <w:rsid w:val="008C0699"/>
    <w:rsid w:val="008D5806"/>
    <w:rsid w:val="008F7931"/>
    <w:rsid w:val="00902F80"/>
    <w:rsid w:val="00941BC2"/>
    <w:rsid w:val="00951978"/>
    <w:rsid w:val="009616D0"/>
    <w:rsid w:val="00963E0C"/>
    <w:rsid w:val="00963ECD"/>
    <w:rsid w:val="009723F2"/>
    <w:rsid w:val="0097335E"/>
    <w:rsid w:val="00974D86"/>
    <w:rsid w:val="0099081F"/>
    <w:rsid w:val="009C11AC"/>
    <w:rsid w:val="009C17FE"/>
    <w:rsid w:val="009E3424"/>
    <w:rsid w:val="009E4A50"/>
    <w:rsid w:val="009F4705"/>
    <w:rsid w:val="00A009A0"/>
    <w:rsid w:val="00A02191"/>
    <w:rsid w:val="00A0296C"/>
    <w:rsid w:val="00A07B6F"/>
    <w:rsid w:val="00A5298E"/>
    <w:rsid w:val="00A535CE"/>
    <w:rsid w:val="00A61BF5"/>
    <w:rsid w:val="00A61C0C"/>
    <w:rsid w:val="00A647B6"/>
    <w:rsid w:val="00A73AC8"/>
    <w:rsid w:val="00A75549"/>
    <w:rsid w:val="00A7570E"/>
    <w:rsid w:val="00A845F7"/>
    <w:rsid w:val="00AB32E6"/>
    <w:rsid w:val="00AB43CF"/>
    <w:rsid w:val="00AC038E"/>
    <w:rsid w:val="00AC617B"/>
    <w:rsid w:val="00AD624B"/>
    <w:rsid w:val="00B068AA"/>
    <w:rsid w:val="00B2473F"/>
    <w:rsid w:val="00B371DD"/>
    <w:rsid w:val="00B40018"/>
    <w:rsid w:val="00B45228"/>
    <w:rsid w:val="00B50213"/>
    <w:rsid w:val="00B56FAC"/>
    <w:rsid w:val="00B66164"/>
    <w:rsid w:val="00B707E3"/>
    <w:rsid w:val="00B738CB"/>
    <w:rsid w:val="00B8035E"/>
    <w:rsid w:val="00B95C74"/>
    <w:rsid w:val="00B962A1"/>
    <w:rsid w:val="00BA4250"/>
    <w:rsid w:val="00BC5ABB"/>
    <w:rsid w:val="00BC61E2"/>
    <w:rsid w:val="00BD3AA5"/>
    <w:rsid w:val="00BD3E8A"/>
    <w:rsid w:val="00BD4B78"/>
    <w:rsid w:val="00BF17DB"/>
    <w:rsid w:val="00C17CAF"/>
    <w:rsid w:val="00C2106F"/>
    <w:rsid w:val="00C249EF"/>
    <w:rsid w:val="00C3477E"/>
    <w:rsid w:val="00C37EF5"/>
    <w:rsid w:val="00C46162"/>
    <w:rsid w:val="00C472FC"/>
    <w:rsid w:val="00C6132C"/>
    <w:rsid w:val="00C62E4B"/>
    <w:rsid w:val="00C83802"/>
    <w:rsid w:val="00C87F6A"/>
    <w:rsid w:val="00CA18DA"/>
    <w:rsid w:val="00CE0382"/>
    <w:rsid w:val="00D10472"/>
    <w:rsid w:val="00D16DFF"/>
    <w:rsid w:val="00D174AE"/>
    <w:rsid w:val="00D175A9"/>
    <w:rsid w:val="00D20CB8"/>
    <w:rsid w:val="00D223D0"/>
    <w:rsid w:val="00D46FE4"/>
    <w:rsid w:val="00D732D9"/>
    <w:rsid w:val="00D75214"/>
    <w:rsid w:val="00D755E3"/>
    <w:rsid w:val="00D75688"/>
    <w:rsid w:val="00D843B1"/>
    <w:rsid w:val="00D858A1"/>
    <w:rsid w:val="00D92B15"/>
    <w:rsid w:val="00D93148"/>
    <w:rsid w:val="00DA16A2"/>
    <w:rsid w:val="00DC0583"/>
    <w:rsid w:val="00DC117C"/>
    <w:rsid w:val="00DD64F3"/>
    <w:rsid w:val="00DE3102"/>
    <w:rsid w:val="00E06D24"/>
    <w:rsid w:val="00E23DAF"/>
    <w:rsid w:val="00E24412"/>
    <w:rsid w:val="00E264BA"/>
    <w:rsid w:val="00E26D4E"/>
    <w:rsid w:val="00E52CA8"/>
    <w:rsid w:val="00E55353"/>
    <w:rsid w:val="00E63EE2"/>
    <w:rsid w:val="00EB1777"/>
    <w:rsid w:val="00EB3ED3"/>
    <w:rsid w:val="00EC1137"/>
    <w:rsid w:val="00EC2A2F"/>
    <w:rsid w:val="00EE03FA"/>
    <w:rsid w:val="00EF5298"/>
    <w:rsid w:val="00F04A20"/>
    <w:rsid w:val="00F1128C"/>
    <w:rsid w:val="00F124C6"/>
    <w:rsid w:val="00F16B24"/>
    <w:rsid w:val="00F17A06"/>
    <w:rsid w:val="00F63BF6"/>
    <w:rsid w:val="00F828CE"/>
    <w:rsid w:val="00F86BA1"/>
    <w:rsid w:val="00F86BF3"/>
    <w:rsid w:val="00F919FF"/>
    <w:rsid w:val="00F94873"/>
    <w:rsid w:val="00F95418"/>
    <w:rsid w:val="00FB2296"/>
    <w:rsid w:val="00FD0230"/>
    <w:rsid w:val="00FF62C2"/>
    <w:rsid w:val="09B63701"/>
    <w:rsid w:val="09D61CB2"/>
    <w:rsid w:val="0A4E2340"/>
    <w:rsid w:val="15BE5794"/>
    <w:rsid w:val="168077F8"/>
    <w:rsid w:val="26026F78"/>
    <w:rsid w:val="2F8C0890"/>
    <w:rsid w:val="33EE3B99"/>
    <w:rsid w:val="38F616E1"/>
    <w:rsid w:val="3A1B0664"/>
    <w:rsid w:val="3E407E52"/>
    <w:rsid w:val="3F747261"/>
    <w:rsid w:val="48C26BE5"/>
    <w:rsid w:val="57205936"/>
    <w:rsid w:val="6A8F7376"/>
    <w:rsid w:val="799022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 w:type="paragraph" w:styleId="9">
    <w:name w:val="List Paragraph"/>
    <w:basedOn w:val="1"/>
    <w:qFormat/>
    <w:uiPriority w:val="34"/>
    <w:pPr>
      <w:ind w:firstLine="420" w:firstLineChars="200"/>
    </w:pPr>
  </w:style>
  <w:style w:type="paragraph" w:customStyle="1" w:styleId="10">
    <w:name w:val="_Style 6"/>
    <w:basedOn w:val="1"/>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4</Pages>
  <Words>2582</Words>
  <Characters>2750</Characters>
  <Lines>9</Lines>
  <Paragraphs>2</Paragraphs>
  <TotalTime>51</TotalTime>
  <ScaleCrop>false</ScaleCrop>
  <LinksUpToDate>false</LinksUpToDate>
  <CharactersWithSpaces>2828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2020-08-19T01:31:00Z</dcterms:created>
  <dc:creator>Administrator</dc:creator>
  <cp:lastModifiedBy>Living</cp:lastModifiedBy>
  <dcterms:modified xsi:type="dcterms:W3CDTF">2026-08-21T07:03:07Z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91ECCE57528B4BE0A100E0ACFF3CD036_13</vt:lpwstr>
  </property>
  <property fmtid="{D5CDD505-2E9C-101B-9397-08002B2CF9AE}" pid="4" name="KSOTemplateDocerSaveRecord">
    <vt:lpwstr>eyJoZGlkIjoiNmM3NWE5NmJiMjg4MTY4M2VhYTU1ZDdkNWM4OTgxMzUiLCJ1c2VySWQiOiIyNzczMDEyNTgifQ==</vt:lpwstr>
  </property>
</Properties>
</file>