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0E2445">
      <w:pPr>
        <w:pStyle w:val="2"/>
        <w:rPr>
          <w:rFonts w:ascii="宋体" w:hAnsi="宋体" w:eastAsia="宋体" w:cs="宋体"/>
          <w:sz w:val="20"/>
          <w:szCs w:val="20"/>
          <w:lang w:val="en-US"/>
        </w:rPr>
      </w:pPr>
      <w:r>
        <w:rPr>
          <w:rFonts w:hint="eastAsia" w:ascii="宋体" w:hAnsi="宋体" w:eastAsia="宋体" w:cs="宋体"/>
          <w:sz w:val="20"/>
          <w:szCs w:val="20"/>
          <w:lang w:val="en-US"/>
        </w:rPr>
        <w:t xml:space="preserve">证券代码：600872   </w:t>
      </w:r>
      <w:r>
        <w:rPr>
          <w:rFonts w:hint="eastAsia" w:ascii="宋体" w:hAnsi="宋体" w:eastAsia="宋体" w:cs="宋体"/>
          <w:sz w:val="21"/>
          <w:szCs w:val="21"/>
          <w:lang w:val="en-US"/>
        </w:rPr>
        <w:t xml:space="preserve">                                      </w:t>
      </w:r>
      <w:r>
        <w:rPr>
          <w:rFonts w:hint="eastAsia" w:ascii="宋体" w:hAnsi="宋体" w:eastAsia="宋体" w:cs="宋体"/>
          <w:sz w:val="20"/>
          <w:szCs w:val="20"/>
          <w:lang w:val="en-US"/>
        </w:rPr>
        <w:t>证券简称：中炬高新</w:t>
      </w:r>
    </w:p>
    <w:p w14:paraId="491F5763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</w:p>
    <w:p w14:paraId="388CADFD">
      <w:pPr>
        <w:spacing w:line="360" w:lineRule="auto"/>
        <w:jc w:val="center"/>
        <w:rPr>
          <w:rFonts w:ascii="宋体" w:hAnsi="宋体" w:eastAsia="宋体" w:cs="宋体"/>
          <w:b/>
          <w:bCs/>
          <w:sz w:val="44"/>
          <w:szCs w:val="44"/>
        </w:rPr>
      </w:pPr>
      <w:bookmarkStart w:id="0" w:name="OLE_LINK2"/>
      <w:r>
        <w:rPr>
          <w:rFonts w:hint="eastAsia" w:ascii="宋体" w:hAnsi="宋体" w:eastAsia="宋体" w:cs="宋体"/>
          <w:b/>
          <w:bCs/>
          <w:sz w:val="44"/>
          <w:szCs w:val="44"/>
        </w:rPr>
        <w:t>中炬高新技术实业（集团）股份有限公司</w:t>
      </w:r>
    </w:p>
    <w:p w14:paraId="3C634895">
      <w:pPr>
        <w:spacing w:line="360" w:lineRule="auto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</w:rPr>
        <w:t>投资者关系活动记录表</w:t>
      </w:r>
    </w:p>
    <w:bookmarkEnd w:id="0"/>
    <w:tbl>
      <w:tblPr>
        <w:tblStyle w:val="10"/>
        <w:tblW w:w="852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0" w:type="dxa"/>
        </w:tblCellMar>
      </w:tblPr>
      <w:tblGrid>
        <w:gridCol w:w="2580"/>
        <w:gridCol w:w="5945"/>
      </w:tblGrid>
      <w:tr w14:paraId="30C63F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2801" w:hRule="atLeast"/>
          <w:jc w:val="center"/>
        </w:trPr>
        <w:tc>
          <w:tcPr>
            <w:tcW w:w="2580" w:type="dxa"/>
          </w:tcPr>
          <w:p w14:paraId="67CAF809">
            <w:pPr>
              <w:pStyle w:val="14"/>
              <w:spacing w:before="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680865A0">
            <w:pPr>
              <w:pStyle w:val="14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投资者关系活动类别</w:t>
            </w:r>
          </w:p>
        </w:tc>
        <w:tc>
          <w:tcPr>
            <w:tcW w:w="5945" w:type="dxa"/>
          </w:tcPr>
          <w:p w14:paraId="6AC4C6C3">
            <w:pPr>
              <w:pStyle w:val="14"/>
              <w:spacing w:before="7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5D589E3D">
            <w:pPr>
              <w:pStyle w:val="14"/>
              <w:tabs>
                <w:tab w:val="left" w:pos="2418"/>
              </w:tabs>
              <w:spacing w:before="1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2497804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对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象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调研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416875725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分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析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师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议</w:t>
            </w:r>
          </w:p>
          <w:p w14:paraId="025158A1">
            <w:pPr>
              <w:pStyle w:val="14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74D3EEDE">
            <w:pPr>
              <w:pStyle w:val="14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120690601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媒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体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采访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666589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业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绩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说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明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</w:p>
          <w:p w14:paraId="19A66069">
            <w:pPr>
              <w:pStyle w:val="14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13F5975C">
            <w:pPr>
              <w:pStyle w:val="14"/>
              <w:tabs>
                <w:tab w:val="left" w:pos="2418"/>
              </w:tabs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8481674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新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闻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发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布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会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ab/>
            </w: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1204969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路</w:t>
            </w:r>
            <w:r>
              <w:rPr>
                <w:rFonts w:hint="eastAsia" w:ascii="宋体" w:hAnsi="宋体" w:eastAsia="宋体" w:cs="宋体"/>
                <w:spacing w:val="-3"/>
                <w:sz w:val="20"/>
                <w:szCs w:val="20"/>
              </w:rPr>
              <w:t>演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活动</w:t>
            </w:r>
          </w:p>
          <w:p w14:paraId="4044D681">
            <w:pPr>
              <w:pStyle w:val="14"/>
              <w:spacing w:before="8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04F4A372">
            <w:pPr>
              <w:pStyle w:val="14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-13333669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MS Gothic" w:hAnsi="MS Gothic" w:eastAsia="MS Gothic" w:cs="宋体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现场参观</w:t>
            </w:r>
          </w:p>
          <w:p w14:paraId="6AE9DC84">
            <w:pPr>
              <w:pStyle w:val="14"/>
              <w:spacing w:before="11"/>
              <w:rPr>
                <w:rFonts w:ascii="宋体" w:hAnsi="宋体" w:eastAsia="宋体" w:cs="宋体"/>
                <w:sz w:val="20"/>
                <w:szCs w:val="20"/>
              </w:rPr>
            </w:pPr>
          </w:p>
          <w:p w14:paraId="25B0D0BB">
            <w:pPr>
              <w:pStyle w:val="14"/>
              <w:ind w:left="107"/>
              <w:rPr>
                <w:rFonts w:ascii="宋体" w:hAnsi="宋体" w:eastAsia="宋体" w:cs="宋体"/>
                <w:sz w:val="20"/>
                <w:szCs w:val="20"/>
              </w:rPr>
            </w:pPr>
            <w:sdt>
              <w:sdtPr>
                <w:rPr>
                  <w:rFonts w:hint="eastAsia" w:ascii="宋体" w:hAnsi="宋体" w:eastAsia="宋体" w:cs="宋体"/>
                  <w:sz w:val="20"/>
                  <w:szCs w:val="20"/>
                </w:rPr>
                <w:id w:val="400885218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宋体" w:hAnsi="宋体" w:eastAsia="宋体" w:cs="宋体"/>
                  <w:sz w:val="20"/>
                  <w:szCs w:val="20"/>
                </w:rPr>
              </w:sdtEndPr>
              <w:sdtContent>
                <w:r>
                  <w:rPr>
                    <w:rFonts w:hint="eastAsia" w:ascii="Wingdings 2" w:hAnsi="Wingdings 2" w:eastAsia="MS Gothic" w:cs="宋体"/>
                    <w:sz w:val="20"/>
                    <w:szCs w:val="20"/>
                  </w:rPr>
                  <w:t>R</w:t>
                </w:r>
              </w:sdtContent>
            </w:sdt>
            <w:r>
              <w:rPr>
                <w:rFonts w:hint="eastAsia" w:ascii="宋体" w:hAnsi="宋体" w:eastAsia="宋体" w:cs="宋体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/>
              </w:rPr>
              <w:t xml:space="preserve"> </w:t>
            </w:r>
            <w:bookmarkStart w:id="1" w:name="OLE_LINK1"/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/>
              </w:rPr>
              <w:t>202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/>
              </w:rPr>
              <w:t>年</w:t>
            </w:r>
            <w:bookmarkEnd w:id="1"/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 w:eastAsia="zh-CN"/>
              </w:rPr>
              <w:t>半年度业绩</w:t>
            </w:r>
            <w:r>
              <w:rPr>
                <w:rFonts w:hint="eastAsia" w:ascii="宋体" w:hAnsi="宋体" w:eastAsia="宋体" w:cs="宋体"/>
                <w:sz w:val="20"/>
                <w:szCs w:val="20"/>
                <w:u w:val="single"/>
                <w:lang w:val="en-US"/>
              </w:rPr>
              <w:t>交流会</w:t>
            </w:r>
          </w:p>
        </w:tc>
      </w:tr>
      <w:tr w14:paraId="167C1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1120" w:hRule="atLeast"/>
          <w:jc w:val="center"/>
        </w:trPr>
        <w:tc>
          <w:tcPr>
            <w:tcW w:w="2580" w:type="dxa"/>
            <w:vAlign w:val="center"/>
          </w:tcPr>
          <w:p w14:paraId="626C2BF7">
            <w:pPr>
              <w:pStyle w:val="14"/>
              <w:spacing w:line="560" w:lineRule="exact"/>
              <w:ind w:left="107" w:right="96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参与单位名称及人员姓名</w:t>
            </w:r>
          </w:p>
        </w:tc>
        <w:tc>
          <w:tcPr>
            <w:tcW w:w="5945" w:type="dxa"/>
            <w:vAlign w:val="center"/>
          </w:tcPr>
          <w:p w14:paraId="49B00CD1">
            <w:pPr>
              <w:pStyle w:val="14"/>
              <w:spacing w:before="100" w:beforeAutospacing="1" w:line="360" w:lineRule="auto"/>
              <w:rPr>
                <w:rFonts w:cs="宋体" w:asciiTheme="minorEastAsia" w:hAnsiTheme="minorEastAsia" w:eastAsiaTheme="minorEastAsia"/>
                <w:sz w:val="20"/>
                <w:szCs w:val="20"/>
                <w:lang w:val="en-US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 w:eastAsia="zh-CN"/>
              </w:rPr>
              <w:t>财通证券、创金合信基金、开源证券、天风证券、国晖投资、交银施罗德基金、上海恒穗资产、递归资产、国投证券、高盛、国都证券、申万宏源证券、光大证券、高毅资产、安盛资产、银河基金、景顺长城基金、APS、富瑞金融、东方基金、瑞银、浙商证券、国盛证券、平安银行、广发证券、东方财富、国泰海通、中信证券、花旗、华源证券、开源证券、中邮证券、东兴证券、中信建投等116家机构，超100人参会（注：以上机构顺序排名不分先后）</w:t>
            </w:r>
          </w:p>
        </w:tc>
      </w:tr>
      <w:tr w14:paraId="2FB529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1A94252A">
            <w:pPr>
              <w:pStyle w:val="14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时间</w:t>
            </w:r>
          </w:p>
        </w:tc>
        <w:tc>
          <w:tcPr>
            <w:tcW w:w="5945" w:type="dxa"/>
            <w:vAlign w:val="center"/>
          </w:tcPr>
          <w:p w14:paraId="13DDD00A">
            <w:pPr>
              <w:spacing w:before="100" w:beforeAutospacing="1" w:line="360" w:lineRule="auto"/>
              <w:rPr>
                <w:rFonts w:hint="default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月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20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 xml:space="preserve">日 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: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00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-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: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00</w:t>
            </w:r>
          </w:p>
        </w:tc>
      </w:tr>
      <w:tr w14:paraId="4B76C9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61" w:hRule="atLeast"/>
          <w:jc w:val="center"/>
        </w:trPr>
        <w:tc>
          <w:tcPr>
            <w:tcW w:w="2580" w:type="dxa"/>
            <w:vAlign w:val="center"/>
          </w:tcPr>
          <w:p w14:paraId="6338A5F1">
            <w:pPr>
              <w:pStyle w:val="14"/>
              <w:ind w:left="107"/>
              <w:rPr>
                <w:rFonts w:hint="default" w:cs="宋体" w:asciiTheme="minorEastAsia" w:hAnsiTheme="minorEastAsia" w:eastAsia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  <w:lang w:val="en-US" w:eastAsia="zh-CN"/>
              </w:rPr>
              <w:t>交流平台</w:t>
            </w:r>
          </w:p>
        </w:tc>
        <w:tc>
          <w:tcPr>
            <w:tcW w:w="5945" w:type="dxa"/>
            <w:vAlign w:val="center"/>
          </w:tcPr>
          <w:p w14:paraId="32295466">
            <w:pPr>
              <w:pStyle w:val="14"/>
              <w:spacing w:before="100" w:beforeAutospacing="1" w:line="360" w:lineRule="auto"/>
              <w:rPr>
                <w:rFonts w:hint="default" w:cs="宋体" w:asciiTheme="minorEastAsia" w:hAnsiTheme="minorEastAsia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  <w:lang w:val="en-US"/>
              </w:rPr>
              <w:t>中信建投入门财经平台</w:t>
            </w:r>
          </w:p>
        </w:tc>
      </w:tr>
      <w:tr w14:paraId="143919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578B2188">
            <w:pPr>
              <w:pStyle w:val="14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上市公司接待人员姓名</w:t>
            </w:r>
          </w:p>
        </w:tc>
        <w:tc>
          <w:tcPr>
            <w:tcW w:w="5945" w:type="dxa"/>
            <w:vAlign w:val="center"/>
          </w:tcPr>
          <w:p w14:paraId="56431133">
            <w:pPr>
              <w:pStyle w:val="14"/>
              <w:spacing w:before="100" w:beforeAutospacing="1" w:line="360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副董事长 余健华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总经理 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余向阳</w:t>
            </w:r>
            <w:r>
              <w:rPr>
                <w:rFonts w:ascii="宋体" w:hAnsi="宋体" w:eastAsia="宋体" w:cs="宋体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sz w:val="20"/>
                <w:szCs w:val="20"/>
              </w:rPr>
              <w:t>董事、常务副总经理兼财务负责人 林颖</w:t>
            </w:r>
          </w:p>
        </w:tc>
      </w:tr>
      <w:tr w14:paraId="6A768E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2580" w:type="dxa"/>
          </w:tcPr>
          <w:p w14:paraId="0999588D">
            <w:pPr>
              <w:pStyle w:val="14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5C5EC949">
            <w:pPr>
              <w:pStyle w:val="14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4CAF49FA">
            <w:pPr>
              <w:pStyle w:val="14"/>
              <w:spacing w:before="5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</w:p>
          <w:p w14:paraId="1C039D5E">
            <w:pPr>
              <w:pStyle w:val="14"/>
              <w:spacing w:before="1" w:line="499" w:lineRule="auto"/>
              <w:ind w:left="107" w:right="96"/>
              <w:jc w:val="center"/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投资者关系活动</w:t>
            </w:r>
          </w:p>
          <w:p w14:paraId="6D6E328F">
            <w:pPr>
              <w:pStyle w:val="14"/>
              <w:spacing w:before="1" w:line="499" w:lineRule="auto"/>
              <w:ind w:left="107" w:right="96"/>
              <w:jc w:val="center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主要内容介绍</w:t>
            </w:r>
          </w:p>
        </w:tc>
        <w:tc>
          <w:tcPr>
            <w:tcW w:w="5945" w:type="dxa"/>
          </w:tcPr>
          <w:p w14:paraId="4DB52A81">
            <w:pPr>
              <w:numPr>
                <w:ilvl w:val="0"/>
                <w:numId w:val="0"/>
              </w:numPr>
              <w:spacing w:line="400" w:lineRule="exact"/>
              <w:ind w:firstLine="400"/>
              <w:jc w:val="both"/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/>
                <w:bCs/>
                <w:sz w:val="20"/>
                <w:lang w:val="en-US" w:eastAsia="zh-CN"/>
              </w:rPr>
              <w:t>今年以来尤其是二季度，基于“两套表”工具，公司在渠道、动销、库存等方面观察到哪些变化？</w:t>
            </w:r>
          </w:p>
          <w:p w14:paraId="413DD991">
            <w:pPr>
              <w:numPr>
                <w:ilvl w:val="0"/>
                <w:numId w:val="0"/>
              </w:numPr>
              <w:spacing w:line="400" w:lineRule="exact"/>
              <w:ind w:left="0" w:leftChars="0" w:firstLine="400" w:firstLineChars="2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bookmarkStart w:id="2" w:name="_GoBack"/>
            <w:r>
              <w:rPr>
                <w:rFonts w:hint="eastAsia" w:ascii="宋体" w:hAnsi="宋体" w:eastAsia="宋体" w:cs="宋体"/>
                <w:sz w:val="20"/>
                <w:lang w:val="en-US"/>
              </w:rPr>
              <w:t>公司营销体系向精细化、数字化转型，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打造</w:t>
            </w:r>
            <w:bookmarkEnd w:id="2"/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“</w:t>
            </w:r>
            <w:r>
              <w:rPr>
                <w:rFonts w:hint="eastAsia" w:ascii="宋体" w:hAnsi="宋体" w:eastAsia="宋体" w:cs="宋体"/>
                <w:sz w:val="20"/>
                <w:lang w:val="en-US"/>
              </w:rPr>
              <w:t>Healthy+Efficiency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”</w:t>
            </w:r>
            <w:r>
              <w:rPr>
                <w:rFonts w:hint="eastAsia" w:ascii="宋体" w:hAnsi="宋体" w:eastAsia="宋体" w:cs="宋体"/>
                <w:sz w:val="20"/>
                <w:lang w:val="en-US"/>
              </w:rPr>
              <w:t>厨邦2Y市场管理体系</w:t>
            </w: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，</w:t>
            </w:r>
            <w:r>
              <w:rPr>
                <w:rFonts w:hint="default" w:ascii="宋体" w:hAnsi="宋体" w:eastAsia="宋体" w:cs="宋体"/>
                <w:b w:val="0"/>
                <w:bCs w:val="0"/>
                <w:sz w:val="20"/>
                <w:lang w:val="en-US" w:eastAsia="zh-CN"/>
              </w:rPr>
              <w:t>“</w:t>
            </w:r>
            <w:r>
              <w:rPr>
                <w:rFonts w:hint="eastAsia" w:ascii="宋体" w:hAnsi="宋体" w:eastAsia="宋体" w:cs="宋体"/>
                <w:sz w:val="20"/>
                <w:lang w:val="en-US"/>
              </w:rPr>
              <w:t>经销商经营体检表</w:t>
            </w:r>
            <w:r>
              <w:rPr>
                <w:rFonts w:hint="default" w:ascii="宋体" w:hAnsi="宋体" w:eastAsia="宋体" w:cs="宋体"/>
                <w:b w:val="0"/>
                <w:bCs w:val="0"/>
                <w:sz w:val="20"/>
                <w:lang w:val="en-US" w:eastAsia="zh-CN"/>
              </w:rPr>
              <w:t>”工具当前重点用于提升售点的精准覆盖与有效覆盖，同时辅助分析品类组合的发展趋势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；市场联盟管理委员会主要搭建厂商共商、共创、共建、共管平台，建立经销商分级服务体系，构建长期稳定、互利共赢的厂商合作关系。</w:t>
            </w:r>
          </w:p>
          <w:p w14:paraId="23A699A9">
            <w:pPr>
              <w:numPr>
                <w:ilvl w:val="0"/>
                <w:numId w:val="0"/>
              </w:numPr>
              <w:spacing w:line="400" w:lineRule="exact"/>
              <w:ind w:left="0" w:leftChars="0" w:firstLine="400" w:firstLineChars="200"/>
              <w:jc w:val="both"/>
              <w:rPr>
                <w:rFonts w:hint="default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0"/>
                <w:lang w:val="en-US" w:eastAsia="zh-CN"/>
              </w:rPr>
              <w:t>当前影响品类表现的因素较多，如价格修复、行业情况等因素影响，后续公司会进一步拓宽分析维度，更精准地把握市场健康发展大趋势。</w:t>
            </w:r>
          </w:p>
          <w:p w14:paraId="591DA43C">
            <w:pPr>
              <w:numPr>
                <w:ilvl w:val="0"/>
                <w:numId w:val="0"/>
              </w:numPr>
              <w:spacing w:line="400" w:lineRule="exact"/>
              <w:ind w:left="0" w:leftChars="0" w:firstLine="402" w:firstLineChars="200"/>
              <w:jc w:val="both"/>
              <w:rPr>
                <w:rFonts w:hint="default" w:ascii="宋体" w:hAnsi="宋体" w:eastAsia="宋体" w:cs="宋体"/>
                <w:b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0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b/>
                <w:sz w:val="20"/>
                <w:lang w:val="en-US" w:eastAsia="zh-CN"/>
              </w:rPr>
              <w:t>2026年二季度公司分品类的业务表现如何？其中酱油品类的具体表现及后续发展展望是怎样的？</w:t>
            </w:r>
          </w:p>
          <w:p w14:paraId="60748162">
            <w:pPr>
              <w:numPr>
                <w:ilvl w:val="0"/>
                <w:numId w:val="0"/>
              </w:numPr>
              <w:spacing w:line="400" w:lineRule="exact"/>
              <w:ind w:left="0" w:leftChars="0" w:firstLine="0"/>
              <w:jc w:val="both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 xml:space="preserve">    自2024年公司主动变革以来，经营节奏发生调整，仅依靠发货端的同比、环比数据，不足以完整反映酱油业务真实经营态势，从已获取的动销数据来看，酱油品类的整体动销趋势没有出现下降。</w:t>
            </w:r>
          </w:p>
          <w:p w14:paraId="7300C84D">
            <w:pPr>
              <w:numPr>
                <w:ilvl w:val="0"/>
                <w:numId w:val="0"/>
              </w:numPr>
              <w:spacing w:line="400" w:lineRule="exact"/>
              <w:ind w:left="0" w:leftChars="0" w:firstLine="400" w:firstLineChars="0"/>
              <w:jc w:val="both"/>
              <w:rPr>
                <w:rFonts w:hint="default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同时，行业内餐饮端用量减少、复合调味产品替代等因素都对基础调味品市场形成了一定冲击。后续公司将搭建多维度分析体系和分析工具，持续关注酱油等核心大单品的健康发展和成长的路径，保障基本盘稳定。</w:t>
            </w:r>
          </w:p>
          <w:p w14:paraId="35BB6C2A">
            <w:pPr>
              <w:numPr>
                <w:ilvl w:val="0"/>
                <w:numId w:val="0"/>
              </w:numPr>
              <w:spacing w:line="400" w:lineRule="exact"/>
              <w:ind w:left="0" w:leftChars="0" w:firstLine="400" w:firstLineChars="0"/>
              <w:jc w:val="both"/>
              <w:rPr>
                <w:rFonts w:ascii="宋体" w:hAnsi="宋体" w:eastAsia="宋体" w:cs="宋体"/>
                <w:b/>
                <w:bCs/>
                <w:sz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/>
                <w:bCs/>
                <w:sz w:val="20"/>
              </w:rPr>
              <w:t>并购味滋美后，公司复调相关新品的规划进展是怎样的？下半年酱油品类的展望、相关目标及新品规划情况如何？</w:t>
            </w:r>
          </w:p>
          <w:p w14:paraId="007CC0A2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通过与味滋美战略合作、资本投入，获得相应的组织能力提升。味滋美在B端业务的组织能力、生产效率、质量、风味、产品研发等方面具备行业内较强的竞争力，从战略定位上，并购后公司将日常运营管理充分授权给原有团队，公司以财务和战略管控为主，营销、产品、品控等部门为其提供体系化建设的赋能和帮扶。目前已完成不同渠道平台的接触、营销策略制定、价格体系设定、经销商选择、供应链搭建等前置性筹备工作，后续需要继续探索，找到一个合适的发展模型。</w:t>
            </w:r>
          </w:p>
          <w:p w14:paraId="6EE6DE38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lang w:val="en-US" w:eastAsia="zh-CN"/>
              </w:rPr>
              <w:t>复合调味新品分渠道推进节奏在电商渠道、餐饮渠道及优势区域试点均取得一定的进展。以上重点工作核心在于人和组织，目前主销区的经销商及人员组织架构准备工作已完成。</w:t>
            </w:r>
          </w:p>
          <w:p w14:paraId="2C1B9084">
            <w:pPr>
              <w:numPr>
                <w:ilvl w:val="0"/>
                <w:numId w:val="0"/>
              </w:numPr>
              <w:spacing w:line="400" w:lineRule="exact"/>
              <w:ind w:left="0" w:leftChars="0" w:firstLine="400" w:firstLineChars="0"/>
              <w:jc w:val="both"/>
              <w:rPr>
                <w:rFonts w:hint="default" w:ascii="宋体" w:hAnsi="宋体" w:eastAsia="宋体" w:cs="宋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b/>
                <w:bCs/>
                <w:sz w:val="20"/>
                <w:lang w:val="en-US" w:eastAsia="zh-CN"/>
              </w:rPr>
              <w:t>第一，当前餐饮大盘恢复偏慢的背景下，公司餐饮渠道（包括家庭渠道、即时零售、量贩折扣连锁等渠道）有哪些布局和进展？今年上半年酱油品类增长偏弱，餐饮端对其影响有多大？其他增速较好的品类，增长更多来自To C端还是To B端？第二，味滋美上半年并表贡献、利润率和后续渠道铺设、售点及年底复调铺货蓝图？</w:t>
            </w:r>
          </w:p>
          <w:p w14:paraId="37806AFF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公司通过渠道布局、组织能力建设等方式应对市场挑战，公司根据组织能力分级和体系建设，制定“五角星”增长计划，相关工作正在有条不紊推进。</w:t>
            </w:r>
          </w:p>
          <w:p w14:paraId="6011886C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“五角星”增长计划：复合调味料是五角星中最重要的一角，通过并购味滋美正式切入复调赛道，战略优先级最高；餐饮业务在参考行业优秀经验并结合自身实际进行新的思考和布局；渠道补强重点落实经销商分级管理，按渠道诉求匹配供应链和产品能力；电商仍是新产品测试与推广的主途径，正在与合作伙伴深化战略协同，打通从消费者洞察到线上线下联动的完整链路；团餐方面，已与技术企业达成合作，继续深耕团餐渠道。</w:t>
            </w:r>
          </w:p>
          <w:p w14:paraId="659EFAD7">
            <w:pPr>
              <w:numPr>
                <w:ilvl w:val="0"/>
                <w:numId w:val="0"/>
              </w:numPr>
              <w:spacing w:line="400" w:lineRule="exact"/>
              <w:ind w:left="0" w:leftChars="0" w:firstLine="400" w:firstLineChars="0"/>
              <w:jc w:val="both"/>
              <w:rPr>
                <w:rFonts w:hint="default" w:ascii="宋体" w:hAnsi="宋体" w:eastAsia="宋体" w:cs="宋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b/>
                <w:bCs/>
                <w:sz w:val="20"/>
                <w:lang w:val="en-US" w:eastAsia="zh-CN"/>
              </w:rPr>
              <w:t>公司未来产品端或渠道端的核心突破点在哪里？</w:t>
            </w:r>
          </w:p>
          <w:p w14:paraId="670E7EE1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从公司来看，按照目前市场容量、消费趋势等，不同的企业都会制定各自的战略，但大方向都是往附加值高、容量大、消费趋势好的方向，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highlight w:val="none"/>
                <w:lang w:val="en-US" w:eastAsia="zh-CN"/>
              </w:rPr>
              <w:t>现阶段电商的核心职责是消费者洞察、产品概念把握和产品测试，而非单纯追求销量增长</w:t>
            </w: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。结合公司的战略分析，企业发展需要结合自身所处阶段分步推进。综合战略规划、市场洞察以及宏观、微观市场情况判断，公司资源投放将侧重贴合消费者趋势变化，同步匹配适配的组织能力，避免在未来的市场竞争中掉队。</w:t>
            </w:r>
          </w:p>
          <w:p w14:paraId="54729686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公司不同发展阶段的战略重点存在差异，今年上半年的业绩更多是数据上的体现，当前的核心工作首先是基本盘修复，让基本盘结构更加健康。公司目前基础管理体系已经搭建完成，接下来将进入基础夯实期，只有稳健的基本盘才能支撑“五角星”增长计划的落实。</w:t>
            </w:r>
          </w:p>
          <w:p w14:paraId="02308CF6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公司的管理主题为强基、多元、高效：首先，调味品终端需求多元化、碎片化、变化快，公司将重点建设供应链对市场需求的密切响应能力，这是高效主题下的核心工作。</w:t>
            </w:r>
          </w:p>
          <w:p w14:paraId="574145F0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其次，公司更要强调的是两套表工具，必须从终端出发，根据终端摸排市场、提高终端覆盖率，匹配健康的动销金额。未来公司目标从“回升企稳”转向“企稳回升”，届时会在产品、场景上推出更多元化的打法，相关模式的打造是2026年工作的重点，2027年将成为重要的增长抓手。</w:t>
            </w:r>
          </w:p>
          <w:p w14:paraId="11C5FCBF">
            <w:pPr>
              <w:numPr>
                <w:ilvl w:val="0"/>
                <w:numId w:val="0"/>
              </w:numPr>
              <w:spacing w:line="400" w:lineRule="exact"/>
              <w:ind w:left="0" w:leftChars="0" w:firstLine="400" w:firstLineChars="0"/>
              <w:jc w:val="both"/>
              <w:rPr>
                <w:rFonts w:hint="default" w:ascii="宋体" w:hAnsi="宋体" w:eastAsia="宋体" w:cs="宋体"/>
                <w:b/>
                <w:bCs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b/>
                <w:bCs/>
                <w:sz w:val="20"/>
                <w:lang w:val="en-US" w:eastAsia="zh-CN"/>
              </w:rPr>
              <w:t>公司对后续大宗原材料走势有何展望？成本上升后的提价预期是怎样的？公司土地收储后续的规划进展如何？2026年土地收储对业绩的贡献情况是怎样的？</w:t>
            </w:r>
          </w:p>
          <w:p w14:paraId="4804E09A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原材料监测与应对方面，2026年公司已建立比过往更多的大宗原材料监测路径和分析路径，从目前监测情况来看，2027年大宗原材料整体趋势上升对公司无太大波动。成本压力与提价规划方面，2027年新国标实施会带来成本增加，公司已提前预估该影响，并计划优化产品结构。以上措施将有效缓解成本压力，暂未达到需要对大单品涨价的程度。若后续因外部因素导致大宗原料价格出现超预期变化，公司将采取两条应对路径：一是以完成预算目标为核心，灵活调整包括是否调价及营销策略；二是参考行业消除成本影响的通用路径，结合行业情况选择通过调价或降本等其他方式达成预算目标。</w:t>
            </w:r>
          </w:p>
          <w:p w14:paraId="79CBC02F">
            <w:pPr>
              <w:numPr>
                <w:ilvl w:val="0"/>
                <w:numId w:val="0"/>
              </w:numPr>
              <w:spacing w:line="400" w:lineRule="exact"/>
              <w:ind w:left="0" w:leftChars="0" w:firstLine="400"/>
              <w:jc w:val="both"/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0"/>
                <w:lang w:val="en-US" w:eastAsia="zh-CN"/>
              </w:rPr>
              <w:t>土地收储进度与当地政府城市建设、财政情况密切相关，土地回收规划会根据城市建设方向推进。公司会持续和相关部门密切沟通，除土地收储外，公司正在全面梳理存量资源，将空置或低成本空间重新盘活利用。</w:t>
            </w:r>
          </w:p>
        </w:tc>
      </w:tr>
      <w:tr w14:paraId="633AFD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999" w:hRule="atLeast"/>
          <w:jc w:val="center"/>
        </w:trPr>
        <w:tc>
          <w:tcPr>
            <w:tcW w:w="2580" w:type="dxa"/>
            <w:vAlign w:val="center"/>
          </w:tcPr>
          <w:p w14:paraId="038D6150">
            <w:pPr>
              <w:pStyle w:val="14"/>
              <w:spacing w:before="1"/>
              <w:ind w:left="107"/>
              <w:rPr>
                <w:rFonts w:cs="宋体" w:asciiTheme="minorEastAsia" w:hAnsiTheme="minorEastAsia" w:eastAsiaTheme="minorEastAsia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关于本次活动是否涉及应</w:t>
            </w:r>
          </w:p>
          <w:p w14:paraId="1AEF61C4">
            <w:pPr>
              <w:pStyle w:val="14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bCs/>
                <w:sz w:val="20"/>
                <w:szCs w:val="20"/>
              </w:rPr>
              <w:t>披露重大信息的说明</w:t>
            </w:r>
          </w:p>
        </w:tc>
        <w:tc>
          <w:tcPr>
            <w:tcW w:w="5945" w:type="dxa"/>
            <w:vAlign w:val="center"/>
          </w:tcPr>
          <w:p w14:paraId="519F5C6B">
            <w:pPr>
              <w:pStyle w:val="14"/>
              <w:spacing w:before="100" w:beforeAutospacing="1" w:line="360" w:lineRule="auto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hint="eastAsia" w:cs="宋体" w:asciiTheme="minorEastAsia" w:hAnsiTheme="minorEastAsia" w:eastAsiaTheme="minorEastAsia"/>
                <w:sz w:val="20"/>
                <w:szCs w:val="20"/>
              </w:rPr>
              <w:t>本次活动不涉及未公开披露的重大信息。</w:t>
            </w:r>
          </w:p>
        </w:tc>
      </w:tr>
      <w:tr w14:paraId="03FDF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3D1189F7">
            <w:pPr>
              <w:pStyle w:val="14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附件清单（如有）</w:t>
            </w:r>
          </w:p>
        </w:tc>
        <w:tc>
          <w:tcPr>
            <w:tcW w:w="5945" w:type="dxa"/>
            <w:vAlign w:val="center"/>
          </w:tcPr>
          <w:p w14:paraId="328D0823">
            <w:pPr>
              <w:pStyle w:val="14"/>
              <w:spacing w:before="100" w:beforeAutospacing="1" w:line="360" w:lineRule="auto"/>
              <w:rPr>
                <w:rFonts w:ascii="宋体" w:hAnsi="宋体" w:eastAsia="宋体" w:cs="宋体"/>
                <w:sz w:val="20"/>
                <w:szCs w:val="20"/>
                <w:lang w:val="en-US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>无</w:t>
            </w:r>
          </w:p>
        </w:tc>
      </w:tr>
      <w:tr w14:paraId="7DEFBC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2580" w:type="dxa"/>
            <w:vAlign w:val="center"/>
          </w:tcPr>
          <w:p w14:paraId="462248D3">
            <w:pPr>
              <w:pStyle w:val="14"/>
              <w:spacing w:before="1"/>
              <w:ind w:left="107"/>
              <w:rPr>
                <w:rFonts w:ascii="宋体" w:hAnsi="宋体" w:eastAsia="宋体" w:cs="宋体"/>
                <w:b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0"/>
                <w:szCs w:val="20"/>
              </w:rPr>
              <w:t>日期</w:t>
            </w:r>
          </w:p>
        </w:tc>
        <w:tc>
          <w:tcPr>
            <w:tcW w:w="5945" w:type="dxa"/>
            <w:vAlign w:val="center"/>
          </w:tcPr>
          <w:p w14:paraId="4C9BF4F0">
            <w:pPr>
              <w:pStyle w:val="14"/>
              <w:spacing w:before="100" w:beforeAutospacing="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202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/>
              </w:rPr>
              <w:t>6</w:t>
            </w: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8</w:t>
            </w:r>
            <w:r>
              <w:rPr>
                <w:rFonts w:ascii="宋体" w:hAnsi="宋体" w:eastAsia="宋体" w:cs="宋体"/>
                <w:sz w:val="20"/>
                <w:szCs w:val="20"/>
              </w:rPr>
              <w:t>月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20</w:t>
            </w:r>
            <w:r>
              <w:rPr>
                <w:rFonts w:ascii="宋体" w:hAnsi="宋体" w:eastAsia="宋体" w:cs="宋体"/>
                <w:sz w:val="20"/>
                <w:szCs w:val="20"/>
              </w:rPr>
              <w:t>日</w:t>
            </w:r>
          </w:p>
        </w:tc>
      </w:tr>
    </w:tbl>
    <w:p w14:paraId="1279E9BC">
      <w:pPr>
        <w:rPr>
          <w:rFonts w:ascii="宋体" w:hAnsi="宋体" w:eastAsia="宋体" w:cs="宋体"/>
          <w:sz w:val="28"/>
          <w:szCs w:val="36"/>
        </w:rPr>
      </w:pPr>
    </w:p>
    <w:sectPr>
      <w:type w:val="continuous"/>
      <w:pgSz w:w="11910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KSOFA61C387F">
    <w:panose1 w:val="020B0604030504040204"/>
    <w:charset w:val="88"/>
    <w:family w:val="auto"/>
    <w:pitch w:val="default"/>
    <w:sig w:usb0="00000001" w:usb1="00000000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FjZTMyMTIzOWRhOGU0MjczYmIyOWM2MjgxNGY3OTcifQ=="/>
  </w:docVars>
  <w:rsids>
    <w:rsidRoot w:val="00301D32"/>
    <w:rsid w:val="00026CC3"/>
    <w:rsid w:val="00036089"/>
    <w:rsid w:val="00053CFA"/>
    <w:rsid w:val="000633EC"/>
    <w:rsid w:val="00063804"/>
    <w:rsid w:val="000665A2"/>
    <w:rsid w:val="000877AB"/>
    <w:rsid w:val="000B7C08"/>
    <w:rsid w:val="000D12CF"/>
    <w:rsid w:val="000D2D88"/>
    <w:rsid w:val="000E28C2"/>
    <w:rsid w:val="000E4B20"/>
    <w:rsid w:val="0011418F"/>
    <w:rsid w:val="00172C24"/>
    <w:rsid w:val="001E59D1"/>
    <w:rsid w:val="001E5EA4"/>
    <w:rsid w:val="002042A7"/>
    <w:rsid w:val="00205911"/>
    <w:rsid w:val="002146AD"/>
    <w:rsid w:val="00275CB6"/>
    <w:rsid w:val="002800B5"/>
    <w:rsid w:val="00295B29"/>
    <w:rsid w:val="002D4073"/>
    <w:rsid w:val="002E7098"/>
    <w:rsid w:val="00301D32"/>
    <w:rsid w:val="00366FAD"/>
    <w:rsid w:val="0037105B"/>
    <w:rsid w:val="003975BA"/>
    <w:rsid w:val="003A74E6"/>
    <w:rsid w:val="003B73DD"/>
    <w:rsid w:val="003D011C"/>
    <w:rsid w:val="004108C7"/>
    <w:rsid w:val="00412DC2"/>
    <w:rsid w:val="00440041"/>
    <w:rsid w:val="00451268"/>
    <w:rsid w:val="004515AD"/>
    <w:rsid w:val="00451857"/>
    <w:rsid w:val="00453516"/>
    <w:rsid w:val="00457548"/>
    <w:rsid w:val="00470DB2"/>
    <w:rsid w:val="004925E7"/>
    <w:rsid w:val="00495B11"/>
    <w:rsid w:val="004F6FF3"/>
    <w:rsid w:val="00571B49"/>
    <w:rsid w:val="005743AE"/>
    <w:rsid w:val="00574B7A"/>
    <w:rsid w:val="005D64CA"/>
    <w:rsid w:val="005E5717"/>
    <w:rsid w:val="005E6DB2"/>
    <w:rsid w:val="0061433E"/>
    <w:rsid w:val="0062751D"/>
    <w:rsid w:val="006354AA"/>
    <w:rsid w:val="00661AFA"/>
    <w:rsid w:val="006726BF"/>
    <w:rsid w:val="00677B77"/>
    <w:rsid w:val="0068718A"/>
    <w:rsid w:val="006A2739"/>
    <w:rsid w:val="006B5C95"/>
    <w:rsid w:val="006E14B0"/>
    <w:rsid w:val="006F0108"/>
    <w:rsid w:val="00704AE6"/>
    <w:rsid w:val="007153A2"/>
    <w:rsid w:val="00724552"/>
    <w:rsid w:val="00724A68"/>
    <w:rsid w:val="007271BF"/>
    <w:rsid w:val="00730DD3"/>
    <w:rsid w:val="00733224"/>
    <w:rsid w:val="00764128"/>
    <w:rsid w:val="007824B8"/>
    <w:rsid w:val="007910DD"/>
    <w:rsid w:val="007A3EC1"/>
    <w:rsid w:val="007B3368"/>
    <w:rsid w:val="007D0A69"/>
    <w:rsid w:val="007D6DC4"/>
    <w:rsid w:val="00853463"/>
    <w:rsid w:val="00893F25"/>
    <w:rsid w:val="00895035"/>
    <w:rsid w:val="008B2B14"/>
    <w:rsid w:val="008C6AED"/>
    <w:rsid w:val="008C7604"/>
    <w:rsid w:val="008E1B27"/>
    <w:rsid w:val="00903379"/>
    <w:rsid w:val="00906975"/>
    <w:rsid w:val="00917F0B"/>
    <w:rsid w:val="00917F8B"/>
    <w:rsid w:val="00960964"/>
    <w:rsid w:val="00965E4D"/>
    <w:rsid w:val="009B1D5C"/>
    <w:rsid w:val="009C2E31"/>
    <w:rsid w:val="009E1955"/>
    <w:rsid w:val="00A527AA"/>
    <w:rsid w:val="00A5684D"/>
    <w:rsid w:val="00A75C61"/>
    <w:rsid w:val="00A9601B"/>
    <w:rsid w:val="00AD100E"/>
    <w:rsid w:val="00AD42C4"/>
    <w:rsid w:val="00AE1E36"/>
    <w:rsid w:val="00AF74AA"/>
    <w:rsid w:val="00B03C2F"/>
    <w:rsid w:val="00B15064"/>
    <w:rsid w:val="00B340A3"/>
    <w:rsid w:val="00B410F5"/>
    <w:rsid w:val="00B6280C"/>
    <w:rsid w:val="00B671A4"/>
    <w:rsid w:val="00B72CD4"/>
    <w:rsid w:val="00B85B00"/>
    <w:rsid w:val="00BF132F"/>
    <w:rsid w:val="00C13878"/>
    <w:rsid w:val="00C56715"/>
    <w:rsid w:val="00CA1705"/>
    <w:rsid w:val="00CB03E2"/>
    <w:rsid w:val="00CE1A54"/>
    <w:rsid w:val="00CF5FB6"/>
    <w:rsid w:val="00D02518"/>
    <w:rsid w:val="00D17454"/>
    <w:rsid w:val="00D33FBC"/>
    <w:rsid w:val="00D7535C"/>
    <w:rsid w:val="00D76302"/>
    <w:rsid w:val="00DA5CE2"/>
    <w:rsid w:val="00DE10E8"/>
    <w:rsid w:val="00E16FDA"/>
    <w:rsid w:val="00E35F58"/>
    <w:rsid w:val="00E45BD9"/>
    <w:rsid w:val="00E66FFC"/>
    <w:rsid w:val="00E73860"/>
    <w:rsid w:val="00E759D6"/>
    <w:rsid w:val="00E84A8C"/>
    <w:rsid w:val="00E976DE"/>
    <w:rsid w:val="00EC0F83"/>
    <w:rsid w:val="00EE3187"/>
    <w:rsid w:val="00EF499B"/>
    <w:rsid w:val="00F14977"/>
    <w:rsid w:val="00FB4A08"/>
    <w:rsid w:val="00FC0C2A"/>
    <w:rsid w:val="00FD7F8E"/>
    <w:rsid w:val="00FF11E4"/>
    <w:rsid w:val="04B072D4"/>
    <w:rsid w:val="05F575D4"/>
    <w:rsid w:val="064249C6"/>
    <w:rsid w:val="06A72A7B"/>
    <w:rsid w:val="08641132"/>
    <w:rsid w:val="08B82D1E"/>
    <w:rsid w:val="09186774"/>
    <w:rsid w:val="0945438F"/>
    <w:rsid w:val="0A337547"/>
    <w:rsid w:val="0A5847B8"/>
    <w:rsid w:val="0A71587A"/>
    <w:rsid w:val="0A751D26"/>
    <w:rsid w:val="0ADE3D74"/>
    <w:rsid w:val="0B5F3925"/>
    <w:rsid w:val="0B792C38"/>
    <w:rsid w:val="0C28640C"/>
    <w:rsid w:val="0DF30354"/>
    <w:rsid w:val="0E90599A"/>
    <w:rsid w:val="0E9C383D"/>
    <w:rsid w:val="0ED720CD"/>
    <w:rsid w:val="0F026E4E"/>
    <w:rsid w:val="108B5805"/>
    <w:rsid w:val="11BC73C0"/>
    <w:rsid w:val="12070CAE"/>
    <w:rsid w:val="1279565D"/>
    <w:rsid w:val="1309291A"/>
    <w:rsid w:val="13CB5FFB"/>
    <w:rsid w:val="145F688C"/>
    <w:rsid w:val="14A34D02"/>
    <w:rsid w:val="14CB3DD9"/>
    <w:rsid w:val="14D47131"/>
    <w:rsid w:val="15680001"/>
    <w:rsid w:val="15DD2205"/>
    <w:rsid w:val="16432DA6"/>
    <w:rsid w:val="17072842"/>
    <w:rsid w:val="17A67110"/>
    <w:rsid w:val="1864189B"/>
    <w:rsid w:val="18D73A7D"/>
    <w:rsid w:val="19557370"/>
    <w:rsid w:val="1A8C60A2"/>
    <w:rsid w:val="1BD06B6A"/>
    <w:rsid w:val="1DA5789A"/>
    <w:rsid w:val="1DE75F4B"/>
    <w:rsid w:val="1E1D38F7"/>
    <w:rsid w:val="1E340C41"/>
    <w:rsid w:val="1E59500A"/>
    <w:rsid w:val="1F782BDE"/>
    <w:rsid w:val="204A6A53"/>
    <w:rsid w:val="20F756A2"/>
    <w:rsid w:val="23317869"/>
    <w:rsid w:val="239D27AB"/>
    <w:rsid w:val="25624D7D"/>
    <w:rsid w:val="25650CAE"/>
    <w:rsid w:val="256718FC"/>
    <w:rsid w:val="26406598"/>
    <w:rsid w:val="2686568A"/>
    <w:rsid w:val="28080056"/>
    <w:rsid w:val="28734C1A"/>
    <w:rsid w:val="28C72DDD"/>
    <w:rsid w:val="29CF7DCA"/>
    <w:rsid w:val="29EE0E64"/>
    <w:rsid w:val="2BC4020A"/>
    <w:rsid w:val="2C884799"/>
    <w:rsid w:val="2EF90F16"/>
    <w:rsid w:val="2F125C63"/>
    <w:rsid w:val="302C3D0A"/>
    <w:rsid w:val="30670A02"/>
    <w:rsid w:val="3104598F"/>
    <w:rsid w:val="33DE31BB"/>
    <w:rsid w:val="33FF3F3C"/>
    <w:rsid w:val="359C73A0"/>
    <w:rsid w:val="36760AA0"/>
    <w:rsid w:val="36DE32A5"/>
    <w:rsid w:val="37647314"/>
    <w:rsid w:val="3882670E"/>
    <w:rsid w:val="389C49C0"/>
    <w:rsid w:val="38EC7806"/>
    <w:rsid w:val="38F67BB7"/>
    <w:rsid w:val="39BC78F4"/>
    <w:rsid w:val="3B35486F"/>
    <w:rsid w:val="3B365BA1"/>
    <w:rsid w:val="3D8C7CFA"/>
    <w:rsid w:val="3E8C293B"/>
    <w:rsid w:val="3EF1250A"/>
    <w:rsid w:val="3F397A0D"/>
    <w:rsid w:val="40567DB0"/>
    <w:rsid w:val="40604E40"/>
    <w:rsid w:val="40FC361F"/>
    <w:rsid w:val="40FF5CD2"/>
    <w:rsid w:val="42DB40B0"/>
    <w:rsid w:val="4360498D"/>
    <w:rsid w:val="43B71B0A"/>
    <w:rsid w:val="43C2182F"/>
    <w:rsid w:val="44FA0589"/>
    <w:rsid w:val="45A663E3"/>
    <w:rsid w:val="469F09AF"/>
    <w:rsid w:val="4A293CBE"/>
    <w:rsid w:val="4A5C6B0C"/>
    <w:rsid w:val="4B756271"/>
    <w:rsid w:val="4C8E1CA8"/>
    <w:rsid w:val="4CA71D77"/>
    <w:rsid w:val="4D1D77E4"/>
    <w:rsid w:val="4D6D36A4"/>
    <w:rsid w:val="4FD23C92"/>
    <w:rsid w:val="510903EF"/>
    <w:rsid w:val="53F137F4"/>
    <w:rsid w:val="543A6906"/>
    <w:rsid w:val="56301712"/>
    <w:rsid w:val="565921E0"/>
    <w:rsid w:val="56850CBB"/>
    <w:rsid w:val="587B0A6D"/>
    <w:rsid w:val="58E91B7C"/>
    <w:rsid w:val="59D80F30"/>
    <w:rsid w:val="59D8738A"/>
    <w:rsid w:val="5A666D76"/>
    <w:rsid w:val="5A814857"/>
    <w:rsid w:val="5B2253C2"/>
    <w:rsid w:val="5B8A284D"/>
    <w:rsid w:val="5CF02E0F"/>
    <w:rsid w:val="5D2E002E"/>
    <w:rsid w:val="5EEA40E6"/>
    <w:rsid w:val="603269D2"/>
    <w:rsid w:val="60A24FBB"/>
    <w:rsid w:val="60A81824"/>
    <w:rsid w:val="61655490"/>
    <w:rsid w:val="61A52BCA"/>
    <w:rsid w:val="61A92379"/>
    <w:rsid w:val="64F445D7"/>
    <w:rsid w:val="651A5A67"/>
    <w:rsid w:val="67095496"/>
    <w:rsid w:val="67ED7463"/>
    <w:rsid w:val="681A546A"/>
    <w:rsid w:val="68507D37"/>
    <w:rsid w:val="69CB37D4"/>
    <w:rsid w:val="6A0D5B9B"/>
    <w:rsid w:val="6A3B23B1"/>
    <w:rsid w:val="6AEA32DC"/>
    <w:rsid w:val="6C8A403A"/>
    <w:rsid w:val="6CC24AB5"/>
    <w:rsid w:val="6D9271B2"/>
    <w:rsid w:val="6D966F11"/>
    <w:rsid w:val="6E3D27C7"/>
    <w:rsid w:val="6E872E47"/>
    <w:rsid w:val="6F134790"/>
    <w:rsid w:val="6FE81F5F"/>
    <w:rsid w:val="71C80A97"/>
    <w:rsid w:val="72446028"/>
    <w:rsid w:val="73076EC0"/>
    <w:rsid w:val="73CA68AB"/>
    <w:rsid w:val="73EC4A73"/>
    <w:rsid w:val="74210CA6"/>
    <w:rsid w:val="74323004"/>
    <w:rsid w:val="746F4E76"/>
    <w:rsid w:val="74EE58F2"/>
    <w:rsid w:val="75685BEA"/>
    <w:rsid w:val="76430096"/>
    <w:rsid w:val="774C1F07"/>
    <w:rsid w:val="7798281C"/>
    <w:rsid w:val="781B097C"/>
    <w:rsid w:val="78474A20"/>
    <w:rsid w:val="788C25F5"/>
    <w:rsid w:val="79F72AA9"/>
    <w:rsid w:val="7A144529"/>
    <w:rsid w:val="7D7745C5"/>
    <w:rsid w:val="7DD37FAE"/>
    <w:rsid w:val="7E6A3164"/>
    <w:rsid w:val="7E96166F"/>
    <w:rsid w:val="7F4D3BFD"/>
    <w:rsid w:val="7F6D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outlineLvl w:val="0"/>
    </w:pPr>
    <w:rPr>
      <w:rFonts w:ascii="PMingLiU" w:hAnsi="PMingLiU" w:eastAsia="PMingLiU" w:cs="PMingLiU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qFormat/>
    <w:uiPriority w:val="0"/>
  </w:style>
  <w:style w:type="paragraph" w:styleId="4">
    <w:name w:val="Body Text"/>
    <w:basedOn w:val="1"/>
    <w:qFormat/>
    <w:uiPriority w:val="1"/>
    <w:pPr>
      <w:ind w:left="220"/>
    </w:pPr>
    <w:rPr>
      <w:sz w:val="32"/>
      <w:szCs w:val="32"/>
    </w:r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</w:rPr>
  </w:style>
  <w:style w:type="paragraph" w:styleId="9">
    <w:name w:val="annotation subject"/>
    <w:basedOn w:val="3"/>
    <w:next w:val="3"/>
    <w:link w:val="18"/>
    <w:qFormat/>
    <w:uiPriority w:val="0"/>
    <w:rPr>
      <w:b/>
      <w:bCs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annotation reference"/>
    <w:basedOn w:val="11"/>
    <w:qFormat/>
    <w:uiPriority w:val="0"/>
    <w:rPr>
      <w:sz w:val="21"/>
      <w:szCs w:val="21"/>
    </w:rPr>
  </w:style>
  <w:style w:type="paragraph" w:customStyle="1" w:styleId="14">
    <w:name w:val="Table Paragraph"/>
    <w:basedOn w:val="1"/>
    <w:qFormat/>
    <w:uiPriority w:val="1"/>
  </w:style>
  <w:style w:type="character" w:customStyle="1" w:styleId="15">
    <w:name w:val="页眉 字符"/>
    <w:basedOn w:val="11"/>
    <w:link w:val="7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6">
    <w:name w:val="页脚 字符"/>
    <w:basedOn w:val="11"/>
    <w:link w:val="6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17">
    <w:name w:val="批注文字 字符"/>
    <w:basedOn w:val="11"/>
    <w:link w:val="3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18">
    <w:name w:val="批注主题 字符"/>
    <w:basedOn w:val="17"/>
    <w:link w:val="9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  <w:style w:type="character" w:customStyle="1" w:styleId="19">
    <w:name w:val="批注框文本 字符"/>
    <w:basedOn w:val="11"/>
    <w:link w:val="5"/>
    <w:qFormat/>
    <w:uiPriority w:val="0"/>
    <w:rPr>
      <w:rFonts w:ascii="仿宋" w:hAnsi="仿宋" w:eastAsia="仿宋" w:cs="仿宋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ontractReview xmlns="http://schemas.wps.cn/vas-ai-hub/contract-review">
  <reviewItems>
    <reviewItem>
      <errorID>d2f5517b-4186-493a-9f2e-d73470ef2d1d</errorID>
      <errorWord>打</errorWord>
      <group>L1_Word</group>
      <groupName>字词问题</groupName>
      <ability>L2_Typo</ability>
      <abilityName>字词错误</abilityName>
      <candidateList>
        <item>打造</item>
      </candidateList>
      <explain/>
      <paraID>413DD991</paraID>
      <start>17</start>
      <end>20</end>
      <status>modified</status>
      <modifiedWord>打造</modifiedWord>
      <trackRevisions>true</trackRevisions>
    </reviewItem>
    <reviewItem>
      <errorID>3a826d13-102a-4fd1-b75f-4c58ece8e911</errorID>
      <errorWord>业务在</errorWord>
      <group>L1_Word</group>
      <groupName>字词问题</groupName>
      <ability>L2_Typo</ability>
      <abilityName>字词错误</abilityName>
      <candidateList>
        <item>业务</item>
      </candidateList>
      <explain/>
      <paraID>6011886C</paraID>
      <start>53</start>
      <end>56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2416454-D52C-4974-A468-5D02FFFCA6D4}">
  <ds:schemaRefs/>
</ds:datastoreItem>
</file>

<file path=customXml/itemProps2.xml><?xml version="1.0" encoding="utf-8"?>
<ds:datastoreItem xmlns:ds="http://schemas.openxmlformats.org/officeDocument/2006/customXml" ds:itemID="{efa8c964-15f0-477e-a04d-11702f9c69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4321</Words>
  <Characters>4446</Characters>
  <Lines>26</Lines>
  <Paragraphs>7</Paragraphs>
  <TotalTime>6</TotalTime>
  <ScaleCrop>false</ScaleCrop>
  <LinksUpToDate>false</LinksUpToDate>
  <CharactersWithSpaces>4510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2026-04-20T10:13:00Z</dcterms:created>
  <dc:creator>jie.huang</dc:creator>
  <cp:lastModifiedBy>方方</cp:lastModifiedBy>
  <dcterms:modified xsi:type="dcterms:W3CDTF">2026-08-24T00:50:24Z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543138FC771B43F387D08288F8FA283D_13</vt:lpwstr>
  </property>
  <property fmtid="{D5CDD505-2E9C-101B-9397-08002B2CF9AE}" pid="4" name="KSOTemplateDocerSaveRecord">
    <vt:lpwstr>eyJoZGlkIjoiZGU5M2FmY2ZhMDRiYmQ3NzIyOTc4MTY3NzZkNmMxYjIiLCJ1c2VySWQiOiIxOTUzMjY0OTUifQ==</vt:lpwstr>
  </property>
</Properties>
</file>