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A17C8">
      <w:pPr>
        <w:keepNext/>
        <w:keepLines/>
        <w:spacing w:before="260" w:after="260"/>
        <w:jc w:val="left"/>
        <w:outlineLvl w:val="1"/>
        <w:rPr>
          <w:rFonts w:ascii="Times New Roman" w:hAnsi="Times New Roman" w:eastAsia="宋体" w:cs="Times New Roman"/>
          <w:b/>
          <w:bCs/>
          <w:iCs/>
          <w:sz w:val="24"/>
          <w:szCs w:val="24"/>
        </w:rPr>
      </w:pPr>
      <w:r>
        <w:rPr>
          <w:rFonts w:ascii="Times New Roman" w:hAnsi="Times New Roman" w:eastAsia="宋体" w:cs="Times New Roman"/>
          <w:b/>
          <w:bCs/>
          <w:iCs/>
          <w:sz w:val="24"/>
          <w:szCs w:val="24"/>
        </w:rPr>
        <w:t>证券代码：605007</w:t>
      </w:r>
      <w:r>
        <w:rPr>
          <w:rFonts w:hint="eastAsia" w:ascii="Times New Roman" w:hAnsi="Times New Roman" w:eastAsia="宋体" w:cs="Times New Roman"/>
          <w:b/>
          <w:bCs/>
          <w:iCs/>
          <w:sz w:val="24"/>
          <w:szCs w:val="24"/>
          <w:lang w:val="en-US" w:eastAsia="zh-CN"/>
        </w:rPr>
        <w:t xml:space="preserve">                                </w:t>
      </w:r>
      <w:r>
        <w:rPr>
          <w:rFonts w:ascii="Times New Roman" w:hAnsi="Times New Roman" w:eastAsia="宋体" w:cs="Times New Roman"/>
          <w:b/>
          <w:bCs/>
          <w:iCs/>
          <w:sz w:val="24"/>
          <w:szCs w:val="24"/>
        </w:rPr>
        <w:t>证券简称：五洲特纸</w:t>
      </w:r>
    </w:p>
    <w:p w14:paraId="528B9AAE">
      <w:pPr>
        <w:keepNext/>
        <w:keepLines/>
        <w:spacing w:before="260" w:after="260"/>
        <w:jc w:val="left"/>
        <w:outlineLvl w:val="1"/>
        <w:rPr>
          <w:rFonts w:ascii="Times New Roman" w:hAnsi="Times New Roman" w:eastAsia="宋体" w:cs="Times New Roman"/>
          <w:b/>
          <w:bCs/>
          <w:iCs/>
          <w:sz w:val="24"/>
          <w:szCs w:val="24"/>
        </w:rPr>
      </w:pPr>
      <w:r>
        <w:rPr>
          <w:rFonts w:ascii="Times New Roman" w:hAnsi="Times New Roman" w:eastAsia="宋体" w:cs="Times New Roman"/>
          <w:b/>
          <w:bCs/>
          <w:iCs/>
          <w:sz w:val="24"/>
          <w:szCs w:val="24"/>
        </w:rPr>
        <w:t>债券代码：111002</w:t>
      </w:r>
      <w:r>
        <w:rPr>
          <w:rFonts w:hint="eastAsia" w:ascii="Times New Roman" w:hAnsi="Times New Roman" w:eastAsia="宋体" w:cs="Times New Roman"/>
          <w:b/>
          <w:bCs/>
          <w:iCs/>
          <w:sz w:val="24"/>
          <w:szCs w:val="24"/>
          <w:lang w:val="en-US" w:eastAsia="zh-CN"/>
        </w:rPr>
        <w:t xml:space="preserve">                                </w:t>
      </w:r>
      <w:r>
        <w:rPr>
          <w:rFonts w:ascii="Times New Roman" w:hAnsi="Times New Roman" w:eastAsia="宋体" w:cs="Times New Roman"/>
          <w:b/>
          <w:bCs/>
          <w:iCs/>
          <w:sz w:val="24"/>
          <w:szCs w:val="24"/>
        </w:rPr>
        <w:t>债券简称：特纸转债</w:t>
      </w:r>
    </w:p>
    <w:p w14:paraId="7CDEA645">
      <w:pPr>
        <w:keepNext/>
        <w:keepLines/>
        <w:spacing w:before="156" w:beforeLines="50" w:after="156" w:afterLines="50"/>
        <w:jc w:val="center"/>
        <w:outlineLvl w:val="1"/>
        <w:rPr>
          <w:rFonts w:ascii="Times New Roman" w:hAnsi="Times New Roman" w:eastAsia="宋体" w:cs="Times New Roman"/>
          <w:b/>
          <w:bCs/>
          <w:sz w:val="36"/>
          <w:szCs w:val="36"/>
        </w:rPr>
      </w:pPr>
      <w:r>
        <w:rPr>
          <w:rFonts w:ascii="Times New Roman" w:hAnsi="Times New Roman" w:eastAsia="宋体" w:cs="Times New Roman"/>
          <w:b/>
          <w:bCs/>
          <w:sz w:val="36"/>
          <w:szCs w:val="36"/>
        </w:rPr>
        <w:t>五洲特种纸业集团股份有限公司</w:t>
      </w:r>
    </w:p>
    <w:p w14:paraId="5925F313">
      <w:pPr>
        <w:keepNext/>
        <w:keepLines/>
        <w:spacing w:before="156" w:beforeLines="50" w:after="156" w:afterLines="50"/>
        <w:jc w:val="center"/>
        <w:outlineLvl w:val="1"/>
        <w:rPr>
          <w:rFonts w:ascii="Times New Roman" w:hAnsi="Times New Roman" w:eastAsia="宋体" w:cs="Times New Roman"/>
          <w:b/>
          <w:bCs/>
          <w:sz w:val="36"/>
          <w:szCs w:val="36"/>
        </w:rPr>
      </w:pPr>
      <w:r>
        <w:rPr>
          <w:rFonts w:ascii="Times New Roman" w:hAnsi="Times New Roman" w:eastAsia="宋体" w:cs="Times New Roman"/>
          <w:b/>
          <w:bCs/>
          <w:sz w:val="36"/>
          <w:szCs w:val="36"/>
        </w:rPr>
        <w:t>投资者关系活动记录表</w:t>
      </w:r>
    </w:p>
    <w:p w14:paraId="16EF1A6E">
      <w:pPr>
        <w:keepNext/>
        <w:keepLines/>
        <w:spacing w:before="260" w:after="260" w:line="360" w:lineRule="auto"/>
        <w:jc w:val="left"/>
        <w:outlineLvl w:val="1"/>
        <w:rPr>
          <w:rFonts w:hint="default" w:ascii="Times New Roman" w:hAnsi="Times New Roman" w:eastAsia="宋体" w:cs="Times New Roman"/>
          <w:b/>
          <w:bCs/>
          <w:sz w:val="24"/>
          <w:szCs w:val="24"/>
          <w:lang w:val="en-US" w:eastAsia="zh-CN"/>
        </w:rPr>
      </w:pPr>
      <w:r>
        <w:rPr>
          <w:rFonts w:ascii="Times New Roman" w:hAnsi="Times New Roman" w:eastAsia="宋体" w:cs="Times New Roman"/>
          <w:b/>
          <w:bCs/>
          <w:sz w:val="24"/>
          <w:szCs w:val="24"/>
        </w:rPr>
        <w:t>编号：</w:t>
      </w:r>
      <w:r>
        <w:rPr>
          <w:rFonts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6082101</w:t>
      </w:r>
    </w:p>
    <w:tbl>
      <w:tblPr>
        <w:tblStyle w:val="10"/>
        <w:tblW w:w="889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7200"/>
      </w:tblGrid>
      <w:tr w14:paraId="41A9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692" w:type="dxa"/>
            <w:shd w:val="clear" w:color="auto" w:fill="auto"/>
            <w:vAlign w:val="center"/>
          </w:tcPr>
          <w:p w14:paraId="4E793B3B">
            <w:pPr>
              <w:spacing w:line="360" w:lineRule="auto"/>
              <w:jc w:val="center"/>
              <w:rPr>
                <w:rFonts w:hint="default" w:ascii="Times New Roman" w:hAnsi="Times New Roman" w:eastAsia="宋体" w:cs="Times New Roman"/>
                <w:b/>
                <w:bCs/>
                <w:iCs/>
                <w:sz w:val="24"/>
                <w:szCs w:val="24"/>
              </w:rPr>
            </w:pPr>
            <w:r>
              <w:rPr>
                <w:rFonts w:hint="default" w:ascii="Times New Roman" w:hAnsi="Times New Roman" w:eastAsia="宋体" w:cs="Times New Roman"/>
                <w:b/>
                <w:bCs/>
                <w:iCs/>
                <w:sz w:val="24"/>
                <w:szCs w:val="24"/>
              </w:rPr>
              <w:t>投资者关系活动类别</w:t>
            </w:r>
          </w:p>
        </w:tc>
        <w:tc>
          <w:tcPr>
            <w:tcW w:w="7200" w:type="dxa"/>
            <w:shd w:val="clear" w:color="auto" w:fill="auto"/>
            <w:vAlign w:val="center"/>
          </w:tcPr>
          <w:p w14:paraId="6660E48D">
            <w:pPr>
              <w:tabs>
                <w:tab w:val="center" w:pos="3199"/>
              </w:tabs>
              <w:spacing w:line="360" w:lineRule="auto"/>
              <w:jc w:val="both"/>
              <w:rPr>
                <w:rFonts w:hint="default" w:ascii="Times New Roman" w:hAnsi="Times New Roman" w:eastAsia="宋体" w:cs="Times New Roman"/>
                <w:bCs/>
                <w:iCs/>
                <w:sz w:val="24"/>
                <w:szCs w:val="24"/>
                <w:lang w:val="en-US" w:eastAsia="zh-CN"/>
              </w:rPr>
            </w:pPr>
            <w:r>
              <w:rPr>
                <w:rFonts w:hint="eastAsia" w:ascii="Times New Roman" w:hAnsi="Times New Roman" w:eastAsia="宋体" w:cs="Times New Roman"/>
                <w:bCs/>
                <w:iCs/>
                <w:sz w:val="24"/>
                <w:szCs w:val="24"/>
                <w:lang w:val="en-US" w:eastAsia="zh-CN"/>
              </w:rPr>
              <w:t>业绩说明会</w:t>
            </w:r>
          </w:p>
        </w:tc>
      </w:tr>
      <w:tr w14:paraId="1E9D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692" w:type="dxa"/>
            <w:shd w:val="clear" w:color="auto" w:fill="auto"/>
            <w:vAlign w:val="center"/>
          </w:tcPr>
          <w:p w14:paraId="444C07A1">
            <w:pPr>
              <w:jc w:val="center"/>
              <w:rPr>
                <w:rFonts w:hint="default" w:asciiTheme="minorHAnsi" w:hAnsiTheme="minorHAnsi" w:eastAsiaTheme="minorEastAsia" w:cstheme="minorBidi"/>
                <w:kern w:val="2"/>
                <w:sz w:val="24"/>
                <w:szCs w:val="24"/>
                <w:lang w:val="en-US" w:eastAsia="zh-CN" w:bidi="ar-SA"/>
              </w:rPr>
            </w:pPr>
            <w:r>
              <w:rPr>
                <w:rFonts w:hint="eastAsia" w:ascii="Times New Roman" w:hAnsi="Times New Roman" w:eastAsia="宋体" w:cs="Times New Roman"/>
                <w:b/>
                <w:bCs/>
                <w:iCs/>
                <w:sz w:val="24"/>
                <w:szCs w:val="24"/>
              </w:rPr>
              <w:t>活动主题</w:t>
            </w:r>
          </w:p>
        </w:tc>
        <w:tc>
          <w:tcPr>
            <w:tcW w:w="7200" w:type="dxa"/>
            <w:shd w:val="clear" w:color="auto" w:fill="auto"/>
            <w:vAlign w:val="center"/>
          </w:tcPr>
          <w:p w14:paraId="2835FCEC">
            <w:pPr>
              <w:rPr>
                <w:rFonts w:hint="eastAsia" w:asciiTheme="minorHAnsi" w:hAnsiTheme="minorHAnsi" w:eastAsiaTheme="minorEastAsia" w:cstheme="minorBidi"/>
                <w:kern w:val="2"/>
                <w:sz w:val="24"/>
                <w:szCs w:val="24"/>
                <w:lang w:val="en-US" w:eastAsia="zh-CN" w:bidi="ar-SA"/>
              </w:rPr>
            </w:pPr>
            <w:r>
              <w:rPr>
                <w:rFonts w:hint="eastAsia" w:ascii="宋体" w:hAnsi="宋体" w:eastAsia="宋体" w:cs="宋体"/>
                <w:bCs/>
                <w:iCs/>
                <w:color w:val="000000"/>
                <w:sz w:val="24"/>
                <w:highlight w:val="none"/>
                <w:lang w:val="en-GB"/>
              </w:rPr>
              <w:t>五洲</w:t>
            </w:r>
            <w:r>
              <w:rPr>
                <w:rFonts w:hint="default" w:ascii="Times New Roman" w:hAnsi="Times New Roman" w:eastAsia="宋体" w:cs="Times New Roman"/>
                <w:bCs/>
                <w:iCs/>
                <w:color w:val="000000"/>
                <w:sz w:val="24"/>
                <w:highlight w:val="none"/>
                <w:lang w:val="en-GB"/>
              </w:rPr>
              <w:t>特纸2026年半年度</w:t>
            </w:r>
            <w:r>
              <w:rPr>
                <w:rFonts w:hint="eastAsia" w:ascii="宋体" w:hAnsi="宋体" w:eastAsia="宋体" w:cs="宋体"/>
                <w:bCs/>
                <w:iCs/>
                <w:color w:val="000000"/>
                <w:sz w:val="24"/>
                <w:highlight w:val="none"/>
                <w:lang w:val="en-GB"/>
              </w:rPr>
              <w:t>业绩说明会</w:t>
            </w:r>
          </w:p>
        </w:tc>
      </w:tr>
      <w:tr w14:paraId="66FB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692" w:type="dxa"/>
            <w:shd w:val="clear" w:color="auto" w:fill="auto"/>
            <w:vAlign w:val="center"/>
          </w:tcPr>
          <w:p w14:paraId="5BE07BE3">
            <w:pPr>
              <w:spacing w:line="360" w:lineRule="auto"/>
              <w:jc w:val="center"/>
              <w:rPr>
                <w:rFonts w:hint="default" w:ascii="Times New Roman" w:hAnsi="Times New Roman" w:eastAsia="宋体" w:cs="Times New Roman"/>
                <w:b/>
                <w:bCs/>
                <w:iCs/>
                <w:kern w:val="2"/>
                <w:sz w:val="24"/>
                <w:szCs w:val="24"/>
                <w:lang w:val="en-US" w:eastAsia="zh-CN" w:bidi="ar-SA"/>
              </w:rPr>
            </w:pPr>
            <w:r>
              <w:rPr>
                <w:rFonts w:hint="default" w:ascii="Times New Roman" w:hAnsi="Times New Roman" w:eastAsia="宋体" w:cs="Times New Roman"/>
                <w:b/>
                <w:bCs/>
                <w:iCs/>
                <w:sz w:val="24"/>
                <w:szCs w:val="24"/>
              </w:rPr>
              <w:t>时间</w:t>
            </w:r>
          </w:p>
        </w:tc>
        <w:tc>
          <w:tcPr>
            <w:tcW w:w="7200" w:type="dxa"/>
            <w:shd w:val="clear" w:color="auto" w:fill="auto"/>
            <w:vAlign w:val="center"/>
          </w:tcPr>
          <w:p w14:paraId="74635594">
            <w:pPr>
              <w:spacing w:line="360" w:lineRule="auto"/>
              <w:jc w:val="left"/>
              <w:rPr>
                <w:rFonts w:hint="eastAsia" w:ascii="Times New Roman" w:hAnsi="Times New Roman" w:eastAsia="宋体" w:cs="Times New Roman"/>
                <w:bCs/>
                <w:iCs/>
                <w:kern w:val="2"/>
                <w:sz w:val="24"/>
                <w:szCs w:val="24"/>
                <w:lang w:val="en-US" w:eastAsia="zh-CN" w:bidi="ar-SA"/>
              </w:rPr>
            </w:pPr>
            <w:r>
              <w:rPr>
                <w:rFonts w:hint="default" w:ascii="Times New Roman" w:hAnsi="Times New Roman" w:eastAsia="宋体" w:cs="Times New Roman"/>
                <w:bCs/>
                <w:iCs/>
                <w:sz w:val="24"/>
                <w:szCs w:val="24"/>
              </w:rPr>
              <w:t>202</w:t>
            </w:r>
            <w:r>
              <w:rPr>
                <w:rFonts w:hint="eastAsia" w:ascii="Times New Roman" w:hAnsi="Times New Roman" w:eastAsia="宋体" w:cs="Times New Roman"/>
                <w:bCs/>
                <w:iCs/>
                <w:sz w:val="24"/>
                <w:szCs w:val="24"/>
                <w:lang w:val="en-US" w:eastAsia="zh-CN"/>
              </w:rPr>
              <w:t>6</w:t>
            </w:r>
            <w:r>
              <w:rPr>
                <w:rFonts w:hint="default" w:ascii="Times New Roman" w:hAnsi="Times New Roman" w:eastAsia="宋体" w:cs="Times New Roman"/>
                <w:bCs/>
                <w:iCs/>
                <w:sz w:val="24"/>
                <w:szCs w:val="24"/>
              </w:rPr>
              <w:t>年</w:t>
            </w:r>
            <w:r>
              <w:rPr>
                <w:rFonts w:hint="default" w:ascii="Times New Roman" w:hAnsi="Times New Roman" w:eastAsia="宋体" w:cs="Times New Roman"/>
                <w:bCs/>
                <w:iCs/>
                <w:sz w:val="24"/>
                <w:szCs w:val="24"/>
                <w:lang w:val="en-US" w:eastAsia="zh-CN"/>
              </w:rPr>
              <w:t>8</w:t>
            </w:r>
            <w:r>
              <w:rPr>
                <w:rFonts w:hint="default" w:ascii="Times New Roman" w:hAnsi="Times New Roman" w:eastAsia="宋体" w:cs="Times New Roman"/>
                <w:bCs/>
                <w:iCs/>
                <w:sz w:val="24"/>
                <w:szCs w:val="24"/>
              </w:rPr>
              <w:t>月</w:t>
            </w:r>
            <w:r>
              <w:rPr>
                <w:rFonts w:hint="default" w:ascii="Times New Roman" w:hAnsi="Times New Roman" w:eastAsia="宋体" w:cs="Times New Roman"/>
                <w:bCs/>
                <w:iCs/>
                <w:sz w:val="24"/>
                <w:szCs w:val="24"/>
                <w:lang w:val="en-US" w:eastAsia="zh-CN"/>
              </w:rPr>
              <w:t>2</w:t>
            </w:r>
            <w:r>
              <w:rPr>
                <w:rFonts w:hint="eastAsia" w:ascii="Times New Roman" w:hAnsi="Times New Roman" w:eastAsia="宋体" w:cs="Times New Roman"/>
                <w:bCs/>
                <w:iCs/>
                <w:sz w:val="24"/>
                <w:szCs w:val="24"/>
                <w:lang w:val="en-US" w:eastAsia="zh-CN"/>
              </w:rPr>
              <w:t>1</w:t>
            </w:r>
            <w:r>
              <w:rPr>
                <w:rFonts w:hint="default" w:ascii="Times New Roman" w:hAnsi="Times New Roman" w:eastAsia="宋体" w:cs="Times New Roman"/>
                <w:bCs/>
                <w:iCs/>
                <w:sz w:val="24"/>
                <w:szCs w:val="24"/>
              </w:rPr>
              <w:t>日</w:t>
            </w:r>
            <w:r>
              <w:rPr>
                <w:rFonts w:hint="eastAsia" w:ascii="Times New Roman" w:hAnsi="Times New Roman" w:eastAsia="宋体" w:cs="Times New Roman"/>
                <w:bCs/>
                <w:iCs/>
                <w:sz w:val="24"/>
                <w:szCs w:val="24"/>
                <w:lang w:val="en-US" w:eastAsia="zh-CN"/>
              </w:rPr>
              <w:t>14:00-15:00</w:t>
            </w:r>
          </w:p>
        </w:tc>
      </w:tr>
      <w:tr w14:paraId="3D7A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692" w:type="dxa"/>
            <w:shd w:val="clear" w:color="auto" w:fill="auto"/>
            <w:vAlign w:val="center"/>
          </w:tcPr>
          <w:p w14:paraId="1BA36D89">
            <w:pPr>
              <w:spacing w:line="360" w:lineRule="auto"/>
              <w:jc w:val="center"/>
              <w:rPr>
                <w:rFonts w:hint="default" w:ascii="Times New Roman" w:hAnsi="Times New Roman" w:eastAsia="宋体" w:cs="Times New Roman"/>
                <w:b/>
                <w:bCs/>
                <w:iCs/>
                <w:sz w:val="24"/>
                <w:szCs w:val="24"/>
              </w:rPr>
            </w:pPr>
            <w:r>
              <w:rPr>
                <w:rFonts w:hint="eastAsia" w:ascii="Times New Roman" w:hAnsi="Times New Roman" w:eastAsia="宋体" w:cs="Times New Roman"/>
                <w:b/>
                <w:bCs/>
                <w:iCs/>
                <w:sz w:val="24"/>
                <w:szCs w:val="24"/>
              </w:rPr>
              <w:t>地点/方式</w:t>
            </w:r>
          </w:p>
        </w:tc>
        <w:tc>
          <w:tcPr>
            <w:tcW w:w="7200" w:type="dxa"/>
            <w:shd w:val="clear" w:color="auto" w:fill="auto"/>
            <w:vAlign w:val="center"/>
          </w:tcPr>
          <w:p w14:paraId="753FEC77">
            <w:pPr>
              <w:rPr>
                <w:rFonts w:hint="default" w:ascii="Times New Roman" w:hAnsi="Times New Roman" w:cs="Times New Roman" w:eastAsiaTheme="minorEastAsia"/>
                <w:bCs/>
                <w:color w:val="auto"/>
                <w:sz w:val="24"/>
                <w:u w:val="none"/>
                <w:lang w:eastAsia="zh-CN"/>
              </w:rPr>
            </w:pPr>
            <w:r>
              <w:rPr>
                <w:rFonts w:hint="eastAsia" w:ascii="宋体" w:hAnsi="宋体"/>
                <w:bCs/>
                <w:sz w:val="24"/>
              </w:rPr>
              <w:t>上证路演中心</w:t>
            </w:r>
            <w:r>
              <w:rPr>
                <w:rFonts w:hint="default" w:ascii="Times New Roman" w:hAnsi="Times New Roman" w:cs="Times New Roman"/>
                <w:bCs/>
                <w:color w:val="auto"/>
                <w:sz w:val="24"/>
                <w:u w:val="none"/>
                <w:lang w:eastAsia="zh-CN"/>
              </w:rPr>
              <w:t>（</w:t>
            </w:r>
            <w:r>
              <w:rPr>
                <w:rFonts w:hint="default" w:ascii="Times New Roman" w:hAnsi="Times New Roman" w:cs="Times New Roman"/>
                <w:color w:val="auto"/>
                <w:u w:val="none"/>
              </w:rPr>
              <w:fldChar w:fldCharType="begin"/>
            </w:r>
            <w:r>
              <w:rPr>
                <w:rFonts w:hint="default" w:ascii="Times New Roman" w:hAnsi="Times New Roman" w:cs="Times New Roman"/>
                <w:color w:val="auto"/>
                <w:u w:val="none"/>
              </w:rPr>
              <w:instrText xml:space="preserve"> HYPERLINK "https://roadshow.sseinfo.com" </w:instrText>
            </w:r>
            <w:r>
              <w:rPr>
                <w:rFonts w:hint="default" w:ascii="Times New Roman" w:hAnsi="Times New Roman" w:cs="Times New Roman"/>
                <w:color w:val="auto"/>
                <w:u w:val="none"/>
              </w:rPr>
              <w:fldChar w:fldCharType="separate"/>
            </w:r>
            <w:r>
              <w:rPr>
                <w:rStyle w:val="13"/>
                <w:rFonts w:hint="default" w:ascii="Times New Roman" w:hAnsi="Times New Roman" w:cs="Times New Roman"/>
                <w:bCs/>
                <w:color w:val="auto"/>
                <w:sz w:val="24"/>
                <w:u w:val="none"/>
              </w:rPr>
              <w:t>https://roadshow.sseinfo.com</w:t>
            </w:r>
            <w:r>
              <w:rPr>
                <w:rStyle w:val="13"/>
                <w:rFonts w:hint="default" w:ascii="Times New Roman" w:hAnsi="Times New Roman" w:cs="Times New Roman"/>
                <w:bCs/>
                <w:color w:val="auto"/>
                <w:sz w:val="24"/>
                <w:u w:val="none"/>
              </w:rPr>
              <w:fldChar w:fldCharType="end"/>
            </w:r>
            <w:r>
              <w:rPr>
                <w:rStyle w:val="13"/>
                <w:rFonts w:hint="eastAsia" w:ascii="Times New Roman" w:hAnsi="Times New Roman" w:cs="Times New Roman"/>
                <w:bCs/>
                <w:color w:val="auto"/>
                <w:sz w:val="24"/>
                <w:u w:val="none"/>
                <w:lang w:val="en-US" w:eastAsia="zh-CN"/>
              </w:rPr>
              <w:t>/</w:t>
            </w:r>
            <w:r>
              <w:rPr>
                <w:rStyle w:val="13"/>
                <w:rFonts w:hint="default" w:ascii="Times New Roman" w:hAnsi="Times New Roman" w:cs="Times New Roman"/>
                <w:bCs/>
                <w:color w:val="auto"/>
                <w:sz w:val="24"/>
                <w:u w:val="none"/>
                <w:lang w:eastAsia="zh-CN"/>
              </w:rPr>
              <w:t>）</w:t>
            </w:r>
          </w:p>
          <w:p w14:paraId="6CBC30B6">
            <w:pPr>
              <w:spacing w:line="360" w:lineRule="auto"/>
              <w:jc w:val="left"/>
              <w:rPr>
                <w:rFonts w:hint="default" w:ascii="Times New Roman" w:hAnsi="Times New Roman" w:eastAsia="宋体" w:cs="Times New Roman"/>
                <w:bCs/>
                <w:iCs/>
                <w:sz w:val="24"/>
                <w:szCs w:val="24"/>
              </w:rPr>
            </w:pPr>
            <w:r>
              <w:rPr>
                <w:rFonts w:hint="default" w:ascii="Times New Roman" w:hAnsi="Times New Roman" w:cs="Times New Roman"/>
                <w:bCs/>
                <w:color w:val="auto"/>
                <w:sz w:val="24"/>
                <w:u w:val="none"/>
              </w:rPr>
              <w:t>网络文字互动</w:t>
            </w:r>
          </w:p>
        </w:tc>
      </w:tr>
      <w:tr w14:paraId="55BE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692" w:type="dxa"/>
            <w:shd w:val="clear" w:color="auto" w:fill="auto"/>
            <w:vAlign w:val="center"/>
          </w:tcPr>
          <w:p w14:paraId="0D54572D">
            <w:pPr>
              <w:spacing w:line="360" w:lineRule="auto"/>
              <w:jc w:val="center"/>
              <w:rPr>
                <w:rFonts w:hint="default" w:ascii="Times New Roman" w:hAnsi="Times New Roman" w:eastAsia="宋体" w:cs="Times New Roman"/>
                <w:b/>
                <w:bCs/>
                <w:iCs/>
                <w:sz w:val="24"/>
                <w:szCs w:val="24"/>
              </w:rPr>
            </w:pPr>
            <w:r>
              <w:rPr>
                <w:rFonts w:hint="default" w:ascii="Times New Roman" w:hAnsi="Times New Roman" w:eastAsia="宋体" w:cs="Times New Roman"/>
                <w:b/>
                <w:bCs/>
                <w:iCs/>
                <w:sz w:val="24"/>
                <w:szCs w:val="24"/>
              </w:rPr>
              <w:t>参与单位名称</w:t>
            </w:r>
          </w:p>
        </w:tc>
        <w:tc>
          <w:tcPr>
            <w:tcW w:w="7200" w:type="dxa"/>
            <w:shd w:val="clear" w:color="auto" w:fill="auto"/>
            <w:vAlign w:val="center"/>
          </w:tcPr>
          <w:p w14:paraId="5614E2CF">
            <w:pPr>
              <w:widowControl/>
              <w:spacing w:line="360" w:lineRule="auto"/>
              <w:jc w:val="left"/>
              <w:rPr>
                <w:rFonts w:hint="default" w:ascii="Times New Roman" w:hAnsi="Times New Roman" w:eastAsia="宋体" w:cs="Times New Roman"/>
                <w:bCs/>
                <w:iCs/>
                <w:sz w:val="24"/>
                <w:szCs w:val="24"/>
                <w:lang w:val="en-US" w:eastAsia="zh-CN"/>
              </w:rPr>
            </w:pPr>
            <w:r>
              <w:rPr>
                <w:rFonts w:hint="eastAsia" w:ascii="Times New Roman" w:hAnsi="Times New Roman" w:eastAsia="宋体" w:cs="Times New Roman"/>
                <w:bCs/>
                <w:iCs/>
                <w:sz w:val="24"/>
                <w:szCs w:val="24"/>
                <w:lang w:val="en-US" w:eastAsia="zh-CN"/>
              </w:rPr>
              <w:t>通过上海证券交易所上证路演中心（h</w:t>
            </w:r>
            <w:r>
              <w:rPr>
                <w:rFonts w:hint="default" w:ascii="Times New Roman" w:hAnsi="Times New Roman" w:eastAsia="宋体" w:cs="Times New Roman"/>
                <w:bCs/>
                <w:iCs/>
                <w:sz w:val="24"/>
                <w:szCs w:val="24"/>
                <w:lang w:val="en-US" w:eastAsia="zh-CN"/>
              </w:rPr>
              <w:t>ttps://roadshow.sseinfo.com/）</w:t>
            </w:r>
            <w:r>
              <w:rPr>
                <w:rFonts w:hint="eastAsia" w:ascii="Times New Roman" w:hAnsi="Times New Roman" w:eastAsia="宋体" w:cs="Times New Roman"/>
                <w:bCs/>
                <w:iCs/>
                <w:sz w:val="24"/>
                <w:szCs w:val="24"/>
                <w:lang w:val="en-US" w:eastAsia="zh-CN"/>
              </w:rPr>
              <w:t>在线参与公司2026年半年度业绩说明会的全体投资者</w:t>
            </w:r>
          </w:p>
        </w:tc>
      </w:tr>
      <w:tr w14:paraId="5146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trPr>
        <w:tc>
          <w:tcPr>
            <w:tcW w:w="1692" w:type="dxa"/>
            <w:shd w:val="clear" w:color="auto" w:fill="auto"/>
            <w:vAlign w:val="center"/>
          </w:tcPr>
          <w:p w14:paraId="6B9CC251">
            <w:pPr>
              <w:spacing w:line="360" w:lineRule="auto"/>
              <w:jc w:val="center"/>
              <w:rPr>
                <w:rFonts w:hint="default" w:ascii="Times New Roman" w:hAnsi="Times New Roman" w:eastAsia="宋体" w:cs="Times New Roman"/>
                <w:b/>
                <w:bCs/>
                <w:iCs/>
                <w:sz w:val="24"/>
                <w:szCs w:val="24"/>
                <w:lang w:val="en-US" w:eastAsia="zh-CN"/>
              </w:rPr>
            </w:pPr>
            <w:r>
              <w:rPr>
                <w:rFonts w:hint="eastAsia" w:ascii="Times New Roman" w:hAnsi="Times New Roman" w:eastAsia="宋体" w:cs="Times New Roman"/>
                <w:b/>
                <w:bCs/>
                <w:iCs/>
                <w:sz w:val="24"/>
                <w:szCs w:val="24"/>
                <w:lang w:val="en-US" w:eastAsia="zh-CN"/>
              </w:rPr>
              <w:t>参会人员</w:t>
            </w:r>
          </w:p>
        </w:tc>
        <w:tc>
          <w:tcPr>
            <w:tcW w:w="7200" w:type="dxa"/>
            <w:shd w:val="clear" w:color="auto" w:fill="auto"/>
            <w:vAlign w:val="center"/>
          </w:tcPr>
          <w:p w14:paraId="7BCFF449">
            <w:pPr>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iCs/>
                <w:sz w:val="24"/>
                <w:szCs w:val="24"/>
                <w:lang w:val="en-US" w:eastAsia="zh-CN"/>
              </w:rPr>
            </w:pPr>
            <w:r>
              <w:rPr>
                <w:rFonts w:hint="eastAsia" w:ascii="Times New Roman" w:hAnsi="Times New Roman" w:eastAsia="宋体" w:cs="Times New Roman"/>
                <w:bCs/>
                <w:iCs/>
                <w:sz w:val="24"/>
                <w:szCs w:val="24"/>
                <w:lang w:val="en-US" w:eastAsia="zh-CN"/>
              </w:rPr>
              <w:t>董事长兼总经理：赵磊先生</w:t>
            </w:r>
          </w:p>
          <w:p w14:paraId="5830F462">
            <w:pPr>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iCs/>
                <w:sz w:val="24"/>
                <w:szCs w:val="24"/>
              </w:rPr>
            </w:pPr>
            <w:r>
              <w:rPr>
                <w:rFonts w:hint="default" w:ascii="Times New Roman" w:hAnsi="Times New Roman" w:eastAsia="宋体" w:cs="Times New Roman"/>
                <w:bCs/>
                <w:iCs/>
                <w:sz w:val="24"/>
                <w:szCs w:val="24"/>
              </w:rPr>
              <w:t>董事会秘书</w:t>
            </w:r>
            <w:r>
              <w:rPr>
                <w:rFonts w:hint="eastAsia" w:ascii="Times New Roman" w:hAnsi="Times New Roman" w:eastAsia="宋体" w:cs="Times New Roman"/>
                <w:bCs/>
                <w:iCs/>
                <w:sz w:val="24"/>
                <w:szCs w:val="24"/>
                <w:lang w:val="en-US" w:eastAsia="zh-CN"/>
              </w:rPr>
              <w:t>兼财务总监</w:t>
            </w:r>
            <w:r>
              <w:rPr>
                <w:rFonts w:hint="default" w:ascii="Times New Roman" w:hAnsi="Times New Roman" w:eastAsia="宋体" w:cs="Times New Roman"/>
                <w:bCs/>
                <w:iCs/>
                <w:sz w:val="24"/>
                <w:szCs w:val="24"/>
              </w:rPr>
              <w:t>：张海峡先生</w:t>
            </w:r>
          </w:p>
          <w:p w14:paraId="4915BFD2">
            <w:pPr>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Cs/>
                <w:iCs/>
                <w:sz w:val="24"/>
                <w:szCs w:val="24"/>
                <w:lang w:val="en-US" w:eastAsia="zh-CN"/>
              </w:rPr>
            </w:pPr>
            <w:r>
              <w:rPr>
                <w:rFonts w:hint="eastAsia" w:ascii="Times New Roman" w:hAnsi="Times New Roman" w:eastAsia="宋体" w:cs="Times New Roman"/>
                <w:bCs/>
                <w:iCs/>
                <w:sz w:val="24"/>
                <w:szCs w:val="24"/>
                <w:lang w:val="en-US" w:eastAsia="zh-CN"/>
              </w:rPr>
              <w:t>独立董事：李英女士</w:t>
            </w:r>
          </w:p>
          <w:p w14:paraId="130C0B26">
            <w:pPr>
              <w:keepNext/>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iCs/>
                <w:sz w:val="24"/>
                <w:szCs w:val="24"/>
                <w:lang w:val="en-US" w:eastAsia="zh-CN"/>
              </w:rPr>
            </w:pPr>
            <w:r>
              <w:rPr>
                <w:rFonts w:hint="eastAsia" w:ascii="Times New Roman" w:hAnsi="Times New Roman" w:eastAsia="宋体" w:cs="Times New Roman"/>
                <w:bCs/>
                <w:iCs/>
                <w:sz w:val="24"/>
                <w:szCs w:val="24"/>
                <w:lang w:val="en-US" w:eastAsia="zh-CN"/>
              </w:rPr>
              <w:t>副总经理：曹亮先生</w:t>
            </w:r>
          </w:p>
        </w:tc>
      </w:tr>
      <w:tr w14:paraId="43E2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trPr>
        <w:tc>
          <w:tcPr>
            <w:tcW w:w="1692" w:type="dxa"/>
            <w:shd w:val="clear" w:color="auto" w:fill="auto"/>
            <w:vAlign w:val="center"/>
          </w:tcPr>
          <w:p w14:paraId="0FEB3449">
            <w:pPr>
              <w:spacing w:line="360" w:lineRule="auto"/>
              <w:jc w:val="center"/>
              <w:rPr>
                <w:rFonts w:hint="default" w:ascii="Times New Roman" w:hAnsi="Times New Roman" w:eastAsia="宋体" w:cs="Times New Roman"/>
                <w:b/>
                <w:bCs/>
                <w:iCs/>
                <w:sz w:val="24"/>
                <w:szCs w:val="24"/>
              </w:rPr>
            </w:pPr>
            <w:r>
              <w:rPr>
                <w:rFonts w:hint="default" w:ascii="Times New Roman" w:hAnsi="Times New Roman" w:eastAsia="宋体" w:cs="Times New Roman"/>
                <w:b/>
                <w:bCs/>
                <w:iCs/>
                <w:sz w:val="24"/>
                <w:szCs w:val="24"/>
              </w:rPr>
              <w:t>投资者关系活动主要内容介绍</w:t>
            </w:r>
          </w:p>
        </w:tc>
        <w:tc>
          <w:tcPr>
            <w:tcW w:w="7200" w:type="dxa"/>
            <w:shd w:val="clear" w:color="auto" w:fill="auto"/>
          </w:tcPr>
          <w:p w14:paraId="7EEAB2A2">
            <w:pPr>
              <w:keepNext/>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rPr>
            </w:pPr>
            <w:bookmarkStart w:id="0" w:name="A2rU-1694599505935"/>
            <w:bookmarkEnd w:id="0"/>
            <w:bookmarkStart w:id="1" w:name="DQao-1662045086574"/>
            <w:bookmarkEnd w:id="1"/>
            <w:bookmarkStart w:id="2" w:name="tmyt-1694590311221"/>
            <w:bookmarkEnd w:id="2"/>
            <w:bookmarkStart w:id="3" w:name="KHPU-1662045086578"/>
            <w:bookmarkEnd w:id="3"/>
            <w:bookmarkStart w:id="4" w:name="JJSk-1663656205810"/>
            <w:bookmarkEnd w:id="4"/>
            <w:bookmarkStart w:id="5" w:name="KR0P-1662045086576"/>
            <w:bookmarkEnd w:id="5"/>
            <w:r>
              <w:rPr>
                <w:rFonts w:hint="default" w:ascii="Times New Roman" w:hAnsi="Times New Roman" w:eastAsia="宋体" w:cs="Times New Roman"/>
                <w:b/>
                <w:bCs/>
                <w:sz w:val="24"/>
                <w:lang w:val="en-US"/>
              </w:rPr>
              <w:t>1、公司产能利用率上半年处于什么水平，是否存在产能过剩或者产能瓶颈？</w:t>
            </w:r>
          </w:p>
          <w:p w14:paraId="369C0E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尊敬的投资者您好，上半年公司各产品线产能利用率存在结构性差异，公司根据下游客户订单、市场需求情况组织柔性生产。在产能投放方面，公司结合行业景气度审慎推进，兼顾市场消化能力，避免盲目扩产。感谢您的关注。</w:t>
            </w:r>
          </w:p>
          <w:p w14:paraId="5F85AD7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sz w:val="24"/>
                <w:lang w:val="en-US"/>
              </w:rPr>
              <w:t>2、公司后续有进行新一轮股权激励的计划吗？</w:t>
            </w:r>
          </w:p>
          <w:p w14:paraId="53E3E9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尊敬的投资者您好，股权激励是公司绑定核心人才、完善长效激励约束机制的重要工具。截至目前，公司暂未形成新一轮股权激励的相关方案，亦未提交董事会审议。若未来公司拟推出股权激励计划，将严格遵照《上市公司股权激励管理办法》及交易所相关规则，履行薪酬与考核委员会、董事会等内部审议流程，及时履行信息披露义务。请投资者一切以公司公开披露的公告内容为准。感谢您的关注。</w:t>
            </w:r>
          </w:p>
          <w:p w14:paraId="349321A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sz w:val="24"/>
                <w:lang w:val="en-US"/>
              </w:rPr>
              <w:t>3、二季度单季相比一季度，收入、毛利率变化的情况以及主要原因是什么？</w:t>
            </w:r>
          </w:p>
          <w:p w14:paraId="042478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尊敬的投资者您好，2026年第二季度公司营收26.15亿元，环比增长14.73%，毛利率10.88%，环比增加1.48个百分点，主要系公司湖北基地全面投产，公司产能逐步释放，规模化效应有效摊薄了单位固定成本，同时产品市场销售规模扩大直接带动了营业收入及相应毛利额的增长。感谢您的关注。</w:t>
            </w:r>
          </w:p>
          <w:p w14:paraId="7C80C58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sz w:val="24"/>
                <w:lang w:val="en-US"/>
              </w:rPr>
              <w:t>4、请问公司海外业务上半年表现如何？</w:t>
            </w:r>
          </w:p>
          <w:p w14:paraId="754CEE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尊敬的投资者您好，上半年公司境外收入4.89亿元，与上年同期基本持平。海外业务受海外市场需求、地缘及汇率等多重因素共同影响。感谢您的关注。</w:t>
            </w:r>
          </w:p>
          <w:p w14:paraId="5B851FE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rPr>
            </w:pPr>
            <w:r>
              <w:rPr>
                <w:rFonts w:hint="default" w:ascii="Times New Roman" w:hAnsi="Times New Roman" w:eastAsia="宋体" w:cs="Times New Roman"/>
                <w:b/>
                <w:bCs/>
                <w:sz w:val="24"/>
                <w:lang w:val="en-US"/>
              </w:rPr>
              <w:t>5、江西化学浆、湖北包装纸项目目前进度如何，投产后对自给率、毛利率提升预期多少，产能如何消化？</w:t>
            </w:r>
          </w:p>
          <w:p w14:paraId="1384B9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尊敬的投资者您好，湖北基地工业包装纸目前已有5条产线投入生产，另有1条30万吨工业包装纸在建，预计2027年上半年投入生产，2026年上半年度工业包装纸产销比已超过100%。江西基地60万吨化学浆项目目前已开始土建施工以及部分设备安装，预计2027年上半年投入生产，全部投产后将较大解决公司外购浆的局限和成本节约，相关经营数据需投入生产后根据相关数据再核算。感谢您的关注。</w:t>
            </w:r>
          </w:p>
          <w:p w14:paraId="49D4ED5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sz w:val="24"/>
                <w:lang w:val="en-US"/>
              </w:rPr>
              <w:t>6、面对木浆、废纸周期波动，公司主要对冲手段是什么？下半年核心经营风险有哪些？</w:t>
            </w:r>
          </w:p>
          <w:p w14:paraId="544758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尊敬的投资者您好，木浆和废纸作为公司产品的主要原材料，公司已建立较完善的管控机制，通过长协、合理管控库存等方式优化原材料成本。下半年以及未来可能面临的风险有：新增产能消化风险、高负债与现金流压力、原材料价格波动风险、行业竞争加剧风险、环保与政策合规风险等，公司将通过不断优化工艺、拓展产品赛道、优化产品结构等方式抵御相关风险。感谢您的关注！</w:t>
            </w:r>
          </w:p>
          <w:p w14:paraId="0BA378F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sz w:val="24"/>
                <w:lang w:val="en-US"/>
              </w:rPr>
              <w:t>7、上半年食品包装纸收入下滑原因，下半年各纸种展望？</w:t>
            </w:r>
          </w:p>
          <w:p w14:paraId="78F7CB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尊敬的投资者您好，2026年上半年度食品包装材料系列收入同比下滑主要是公司根据市场供需情况，调整产品结构，主动优化低毛利订单所致。展望下半年行业趋势：供需格局方面：行业整体新增产能投放有限，三季度中秋、四季度通常为销售旺季，主流纸价有望维持偏强运行；原料成本方面：海外浆厂减产，木浆价格有望触底回升，具备浆纸一体化产能的龙头企业盈利稳定性将显著优于纯外采浆企业；产品结构方面：行业产品升级趋势明确，头部纸企将持续缩减低端同质化产能，行业内卷格局逐步缓解。感谢您的关注。</w:t>
            </w:r>
          </w:p>
          <w:p w14:paraId="28CAC73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sz w:val="24"/>
                <w:lang w:val="en-US"/>
              </w:rPr>
              <w:t>8、公司半年度营业收入增幅较小，但是净利润增长比较大，原因是什么？</w:t>
            </w:r>
          </w:p>
          <w:p w14:paraId="6AC46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rPr>
              <w:t>尊敬的投资者您好，报告期内公司实现营业收入48.95亿元，同比增长18.76%；实现归属于上市公司股东的净利润2.30亿元，同比上升88.95%。业绩增长核心原因：一是湖北基地工业包装纸产线全面投产，包装纸产销量同比大幅提升，成为营收新增量；二是高毛利特种纸产品销售占比持续提升，除文化纸外，其余全系纸种盈利能力同比改善；三是浆纸一体化优势凸显，原料采购策略优化，有效对冲木浆价格波动风险。同时公司持续推进降本增效专项整治工作，多措并举严控原材料采购成本，整体生产运营效能实现稳步提升。感谢您的关注。</w:t>
            </w:r>
          </w:p>
          <w:p w14:paraId="0163C91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rPr>
            </w:pPr>
            <w:r>
              <w:rPr>
                <w:rFonts w:hint="default" w:ascii="Times New Roman" w:hAnsi="Times New Roman" w:eastAsia="宋体" w:cs="Times New Roman"/>
                <w:b/>
                <w:bCs/>
                <w:sz w:val="24"/>
                <w:lang w:val="en-US"/>
              </w:rPr>
              <w:t>9、公司上半年的产品销量和价格如何？</w:t>
            </w:r>
          </w:p>
          <w:p w14:paraId="010DB8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iCs/>
                <w:sz w:val="24"/>
                <w:szCs w:val="24"/>
                <w:lang w:val="en-US" w:eastAsia="zh-CN"/>
              </w:rPr>
            </w:pPr>
            <w:r>
              <w:rPr>
                <w:rFonts w:hint="default" w:ascii="Times New Roman" w:hAnsi="Times New Roman" w:eastAsia="宋体" w:cs="Times New Roman"/>
                <w:sz w:val="24"/>
                <w:lang w:val="en-US"/>
              </w:rPr>
              <w:t>尊敬的投资者您好，上半年公司各类产品总销量121.55万吨，其中：食品包装材料系列销量23.12万吨、日用消费材料系列销量23.30万吨、出版印刷材料系列销量12.54万吨、工业配套材料系列销量0.98万吨、工业包装材料系列销量61.61万吨。产品价格方面，上半年公司木浆系产品销售均价5,449元/吨，同比降低3.60%；废纸系产品销售均价2,618元/吨，同比提升9.46%。感谢您的关注。</w:t>
            </w:r>
          </w:p>
        </w:tc>
      </w:tr>
      <w:tr w14:paraId="39A6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2" w:type="dxa"/>
            <w:shd w:val="clear" w:color="auto" w:fill="auto"/>
            <w:vAlign w:val="center"/>
          </w:tcPr>
          <w:p w14:paraId="16F6DF8C">
            <w:pPr>
              <w:spacing w:line="360" w:lineRule="auto"/>
              <w:jc w:val="center"/>
              <w:rPr>
                <w:rFonts w:hint="default" w:ascii="Times New Roman" w:hAnsi="Times New Roman" w:eastAsia="宋体" w:cs="Times New Roman"/>
                <w:b/>
                <w:bCs/>
                <w:iCs/>
                <w:sz w:val="24"/>
                <w:szCs w:val="24"/>
              </w:rPr>
            </w:pPr>
            <w:r>
              <w:rPr>
                <w:rFonts w:hint="default" w:ascii="Times New Roman" w:hAnsi="Times New Roman" w:eastAsia="宋体" w:cs="Times New Roman"/>
                <w:b/>
                <w:bCs/>
                <w:iCs/>
                <w:sz w:val="24"/>
                <w:szCs w:val="24"/>
              </w:rPr>
              <w:t>是否涉及应当披露的重大信息</w:t>
            </w:r>
          </w:p>
        </w:tc>
        <w:tc>
          <w:tcPr>
            <w:tcW w:w="7200" w:type="dxa"/>
            <w:shd w:val="clear" w:color="auto" w:fill="auto"/>
            <w:vAlign w:val="center"/>
          </w:tcPr>
          <w:p w14:paraId="4E64DE96">
            <w:pPr>
              <w:spacing w:line="360" w:lineRule="auto"/>
              <w:rPr>
                <w:rFonts w:hint="default" w:ascii="Times New Roman" w:hAnsi="Times New Roman" w:eastAsia="宋体" w:cs="Times New Roman"/>
                <w:bCs/>
                <w:iCs/>
                <w:sz w:val="24"/>
                <w:szCs w:val="24"/>
              </w:rPr>
            </w:pPr>
            <w:r>
              <w:rPr>
                <w:rFonts w:hint="default" w:ascii="Times New Roman" w:hAnsi="Times New Roman" w:eastAsia="宋体" w:cs="Times New Roman"/>
                <w:bCs/>
                <w:iCs/>
                <w:sz w:val="24"/>
                <w:szCs w:val="24"/>
              </w:rPr>
              <w:t>否</w:t>
            </w:r>
          </w:p>
        </w:tc>
      </w:tr>
      <w:tr w14:paraId="5C89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692" w:type="dxa"/>
            <w:shd w:val="clear" w:color="auto" w:fill="auto"/>
            <w:vAlign w:val="center"/>
          </w:tcPr>
          <w:p w14:paraId="290C44A8">
            <w:pPr>
              <w:spacing w:line="360" w:lineRule="auto"/>
              <w:jc w:val="center"/>
              <w:rPr>
                <w:rFonts w:hint="default" w:ascii="Times New Roman" w:hAnsi="Times New Roman" w:eastAsia="宋体" w:cs="Times New Roman"/>
                <w:b/>
                <w:bCs/>
                <w:iCs/>
                <w:sz w:val="24"/>
                <w:szCs w:val="24"/>
              </w:rPr>
            </w:pPr>
            <w:r>
              <w:rPr>
                <w:rFonts w:hint="default" w:ascii="Times New Roman" w:hAnsi="Times New Roman" w:eastAsia="宋体" w:cs="Times New Roman"/>
                <w:b/>
                <w:bCs/>
                <w:iCs/>
                <w:sz w:val="24"/>
                <w:szCs w:val="24"/>
              </w:rPr>
              <w:t>附件清单</w:t>
            </w:r>
          </w:p>
          <w:p w14:paraId="5B78F052">
            <w:pPr>
              <w:spacing w:line="360" w:lineRule="auto"/>
              <w:jc w:val="center"/>
              <w:rPr>
                <w:rFonts w:hint="default" w:ascii="Times New Roman" w:hAnsi="Times New Roman" w:eastAsia="宋体" w:cs="Times New Roman"/>
                <w:b/>
                <w:bCs/>
                <w:iCs/>
                <w:sz w:val="24"/>
                <w:szCs w:val="24"/>
              </w:rPr>
            </w:pPr>
            <w:r>
              <w:rPr>
                <w:rFonts w:hint="default" w:ascii="Times New Roman" w:hAnsi="Times New Roman" w:eastAsia="宋体" w:cs="Times New Roman"/>
                <w:b/>
                <w:bCs/>
                <w:iCs/>
                <w:sz w:val="24"/>
                <w:szCs w:val="24"/>
              </w:rPr>
              <w:t>（如有）</w:t>
            </w:r>
          </w:p>
        </w:tc>
        <w:tc>
          <w:tcPr>
            <w:tcW w:w="7200" w:type="dxa"/>
            <w:shd w:val="clear" w:color="auto" w:fill="auto"/>
            <w:vAlign w:val="center"/>
          </w:tcPr>
          <w:p w14:paraId="7A7997AD">
            <w:pPr>
              <w:spacing w:line="360" w:lineRule="auto"/>
              <w:jc w:val="both"/>
              <w:rPr>
                <w:rFonts w:hint="default" w:ascii="Times New Roman" w:hAnsi="Times New Roman" w:eastAsia="宋体" w:cs="Times New Roman"/>
                <w:bCs/>
                <w:iCs/>
                <w:sz w:val="24"/>
                <w:szCs w:val="24"/>
              </w:rPr>
            </w:pPr>
            <w:r>
              <w:rPr>
                <w:rFonts w:hint="default" w:ascii="Times New Roman" w:hAnsi="Times New Roman" w:eastAsia="宋体" w:cs="Times New Roman"/>
                <w:bCs/>
                <w:iCs/>
                <w:sz w:val="24"/>
                <w:szCs w:val="24"/>
              </w:rPr>
              <w:t>无</w:t>
            </w:r>
          </w:p>
        </w:tc>
      </w:tr>
      <w:tr w14:paraId="16BC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692" w:type="dxa"/>
            <w:shd w:val="clear" w:color="auto" w:fill="auto"/>
            <w:vAlign w:val="center"/>
          </w:tcPr>
          <w:p w14:paraId="4A22811F">
            <w:pPr>
              <w:spacing w:line="360" w:lineRule="auto"/>
              <w:jc w:val="center"/>
              <w:rPr>
                <w:rFonts w:hint="default" w:ascii="Times New Roman" w:hAnsi="Times New Roman" w:eastAsia="宋体" w:cs="Times New Roman"/>
                <w:b/>
                <w:bCs/>
                <w:iCs/>
                <w:sz w:val="24"/>
                <w:szCs w:val="24"/>
              </w:rPr>
            </w:pPr>
            <w:r>
              <w:rPr>
                <w:rFonts w:hint="default" w:ascii="Times New Roman" w:hAnsi="Times New Roman" w:eastAsia="宋体" w:cs="Times New Roman"/>
                <w:b/>
                <w:bCs/>
                <w:iCs/>
                <w:sz w:val="24"/>
                <w:szCs w:val="24"/>
              </w:rPr>
              <w:t>日期</w:t>
            </w:r>
          </w:p>
        </w:tc>
        <w:tc>
          <w:tcPr>
            <w:tcW w:w="7200" w:type="dxa"/>
            <w:shd w:val="clear" w:color="auto" w:fill="auto"/>
            <w:vAlign w:val="center"/>
          </w:tcPr>
          <w:p w14:paraId="2A2785BC">
            <w:pPr>
              <w:spacing w:line="360" w:lineRule="auto"/>
              <w:rPr>
                <w:rFonts w:hint="default" w:ascii="Times New Roman" w:hAnsi="Times New Roman" w:eastAsia="宋体" w:cs="Times New Roman"/>
                <w:iCs/>
                <w:sz w:val="24"/>
                <w:szCs w:val="24"/>
              </w:rPr>
            </w:pPr>
            <w:r>
              <w:rPr>
                <w:rFonts w:hint="default" w:ascii="Times New Roman" w:hAnsi="Times New Roman" w:eastAsia="宋体" w:cs="Times New Roman"/>
                <w:iCs/>
                <w:sz w:val="24"/>
                <w:szCs w:val="24"/>
              </w:rPr>
              <w:t>202</w:t>
            </w:r>
            <w:r>
              <w:rPr>
                <w:rFonts w:hint="eastAsia" w:ascii="Times New Roman" w:hAnsi="Times New Roman" w:eastAsia="宋体" w:cs="Times New Roman"/>
                <w:iCs/>
                <w:sz w:val="24"/>
                <w:szCs w:val="24"/>
                <w:lang w:val="en-US" w:eastAsia="zh-CN"/>
              </w:rPr>
              <w:t>6</w:t>
            </w:r>
            <w:r>
              <w:rPr>
                <w:rFonts w:hint="default" w:ascii="Times New Roman" w:hAnsi="Times New Roman" w:eastAsia="宋体" w:cs="Times New Roman"/>
                <w:iCs/>
                <w:sz w:val="24"/>
                <w:szCs w:val="24"/>
              </w:rPr>
              <w:t>年</w:t>
            </w:r>
            <w:r>
              <w:rPr>
                <w:rFonts w:hint="default" w:ascii="Times New Roman" w:hAnsi="Times New Roman" w:eastAsia="宋体" w:cs="Times New Roman"/>
                <w:iCs/>
                <w:sz w:val="24"/>
                <w:szCs w:val="24"/>
                <w:lang w:val="en-US" w:eastAsia="zh-CN"/>
              </w:rPr>
              <w:t>8</w:t>
            </w:r>
            <w:r>
              <w:rPr>
                <w:rFonts w:hint="default" w:ascii="Times New Roman" w:hAnsi="Times New Roman" w:eastAsia="宋体" w:cs="Times New Roman"/>
                <w:iCs/>
                <w:sz w:val="24"/>
                <w:szCs w:val="24"/>
              </w:rPr>
              <w:t>月</w:t>
            </w:r>
            <w:r>
              <w:rPr>
                <w:rFonts w:hint="default" w:ascii="Times New Roman" w:hAnsi="Times New Roman" w:eastAsia="宋体" w:cs="Times New Roman"/>
                <w:iCs/>
                <w:sz w:val="24"/>
                <w:szCs w:val="24"/>
                <w:lang w:val="en-US" w:eastAsia="zh-CN"/>
              </w:rPr>
              <w:t>2</w:t>
            </w:r>
            <w:r>
              <w:rPr>
                <w:rFonts w:hint="eastAsia" w:ascii="Times New Roman" w:hAnsi="Times New Roman" w:eastAsia="宋体" w:cs="Times New Roman"/>
                <w:iCs/>
                <w:sz w:val="24"/>
                <w:szCs w:val="24"/>
                <w:lang w:val="en-US" w:eastAsia="zh-CN"/>
              </w:rPr>
              <w:t>1</w:t>
            </w:r>
            <w:r>
              <w:rPr>
                <w:rFonts w:hint="default" w:ascii="Times New Roman" w:hAnsi="Times New Roman" w:eastAsia="宋体" w:cs="Times New Roman"/>
                <w:iCs/>
                <w:sz w:val="24"/>
                <w:szCs w:val="24"/>
              </w:rPr>
              <w:t>日</w:t>
            </w:r>
          </w:p>
        </w:tc>
      </w:tr>
    </w:tbl>
    <w:p w14:paraId="013E4C82">
      <w:pPr>
        <w:rPr>
          <w:rFonts w:ascii="Times New Roman" w:hAnsi="Times New Roman" w:cs="Times New Roman"/>
        </w:rPr>
      </w:pP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1YTg1ZDVlOGYxMWYwODgwOThiM2I1ZjAzY2I2MDUifQ=="/>
  </w:docVars>
  <w:rsids>
    <w:rsidRoot w:val="150361F0"/>
    <w:rsid w:val="0003613B"/>
    <w:rsid w:val="000A43DC"/>
    <w:rsid w:val="000B0AD4"/>
    <w:rsid w:val="000C25C9"/>
    <w:rsid w:val="00110400"/>
    <w:rsid w:val="00183087"/>
    <w:rsid w:val="00185742"/>
    <w:rsid w:val="00213050"/>
    <w:rsid w:val="00260D0F"/>
    <w:rsid w:val="002C0B24"/>
    <w:rsid w:val="002D0A15"/>
    <w:rsid w:val="00343A85"/>
    <w:rsid w:val="00366327"/>
    <w:rsid w:val="00495430"/>
    <w:rsid w:val="004A426B"/>
    <w:rsid w:val="005762C8"/>
    <w:rsid w:val="0057790F"/>
    <w:rsid w:val="005C455C"/>
    <w:rsid w:val="006322BA"/>
    <w:rsid w:val="006371A2"/>
    <w:rsid w:val="00643C3C"/>
    <w:rsid w:val="00707D37"/>
    <w:rsid w:val="00753E26"/>
    <w:rsid w:val="008B3426"/>
    <w:rsid w:val="008C4B9C"/>
    <w:rsid w:val="008E7E12"/>
    <w:rsid w:val="009558FF"/>
    <w:rsid w:val="00A37A1B"/>
    <w:rsid w:val="00A66730"/>
    <w:rsid w:val="00A82B85"/>
    <w:rsid w:val="00AB10AE"/>
    <w:rsid w:val="00AC5444"/>
    <w:rsid w:val="00B1647F"/>
    <w:rsid w:val="00B67A26"/>
    <w:rsid w:val="00B90C13"/>
    <w:rsid w:val="00BE4D74"/>
    <w:rsid w:val="00C80F0F"/>
    <w:rsid w:val="00CF4D2B"/>
    <w:rsid w:val="00CF7383"/>
    <w:rsid w:val="00D13E3A"/>
    <w:rsid w:val="00D44B96"/>
    <w:rsid w:val="00D50B29"/>
    <w:rsid w:val="00D61413"/>
    <w:rsid w:val="00D70735"/>
    <w:rsid w:val="00DA0D93"/>
    <w:rsid w:val="00DA5C88"/>
    <w:rsid w:val="00DF219E"/>
    <w:rsid w:val="00F01EE3"/>
    <w:rsid w:val="01212C77"/>
    <w:rsid w:val="01277E1F"/>
    <w:rsid w:val="01B25B71"/>
    <w:rsid w:val="01DD7779"/>
    <w:rsid w:val="01DE1F65"/>
    <w:rsid w:val="01F23E8A"/>
    <w:rsid w:val="02DB5D1B"/>
    <w:rsid w:val="04367A06"/>
    <w:rsid w:val="044C0C16"/>
    <w:rsid w:val="047535AB"/>
    <w:rsid w:val="04CC611F"/>
    <w:rsid w:val="05D25154"/>
    <w:rsid w:val="05D37841"/>
    <w:rsid w:val="05DA5924"/>
    <w:rsid w:val="0725012E"/>
    <w:rsid w:val="07325CA6"/>
    <w:rsid w:val="077A21D5"/>
    <w:rsid w:val="078D6C24"/>
    <w:rsid w:val="07FC5041"/>
    <w:rsid w:val="082559B6"/>
    <w:rsid w:val="087A444D"/>
    <w:rsid w:val="08AA3470"/>
    <w:rsid w:val="0B42400D"/>
    <w:rsid w:val="0BAC0749"/>
    <w:rsid w:val="0C315C49"/>
    <w:rsid w:val="0C760F26"/>
    <w:rsid w:val="0C773197"/>
    <w:rsid w:val="0D2A5F35"/>
    <w:rsid w:val="0D6936E2"/>
    <w:rsid w:val="0D7232E4"/>
    <w:rsid w:val="0E245887"/>
    <w:rsid w:val="0E9F40E0"/>
    <w:rsid w:val="0F104F93"/>
    <w:rsid w:val="0FF20D73"/>
    <w:rsid w:val="102F4259"/>
    <w:rsid w:val="10A264CD"/>
    <w:rsid w:val="11AE217B"/>
    <w:rsid w:val="11E06912"/>
    <w:rsid w:val="12BD2791"/>
    <w:rsid w:val="138003AD"/>
    <w:rsid w:val="14042055"/>
    <w:rsid w:val="140A7529"/>
    <w:rsid w:val="150361F0"/>
    <w:rsid w:val="15673897"/>
    <w:rsid w:val="15927101"/>
    <w:rsid w:val="15CE217C"/>
    <w:rsid w:val="18161EDA"/>
    <w:rsid w:val="181C076B"/>
    <w:rsid w:val="18A35F07"/>
    <w:rsid w:val="1950251E"/>
    <w:rsid w:val="1A277E63"/>
    <w:rsid w:val="1A707E03"/>
    <w:rsid w:val="1A7C56C6"/>
    <w:rsid w:val="1A861E6D"/>
    <w:rsid w:val="1AE34A85"/>
    <w:rsid w:val="1C01575D"/>
    <w:rsid w:val="1C76444E"/>
    <w:rsid w:val="1CC04CD2"/>
    <w:rsid w:val="1CC25AC1"/>
    <w:rsid w:val="1CC6445D"/>
    <w:rsid w:val="1F637DD0"/>
    <w:rsid w:val="1F7D031E"/>
    <w:rsid w:val="1F84355F"/>
    <w:rsid w:val="207277FE"/>
    <w:rsid w:val="212B099D"/>
    <w:rsid w:val="21570FA4"/>
    <w:rsid w:val="22075398"/>
    <w:rsid w:val="229B1148"/>
    <w:rsid w:val="22A85C94"/>
    <w:rsid w:val="22C31FE2"/>
    <w:rsid w:val="22ED6565"/>
    <w:rsid w:val="240E51A8"/>
    <w:rsid w:val="241779ED"/>
    <w:rsid w:val="248F4E23"/>
    <w:rsid w:val="24AA57B9"/>
    <w:rsid w:val="255D16B3"/>
    <w:rsid w:val="25DD66A4"/>
    <w:rsid w:val="25ED10BC"/>
    <w:rsid w:val="270F7B55"/>
    <w:rsid w:val="27111B1F"/>
    <w:rsid w:val="27783267"/>
    <w:rsid w:val="277851F0"/>
    <w:rsid w:val="282B654A"/>
    <w:rsid w:val="287B3F23"/>
    <w:rsid w:val="28E77036"/>
    <w:rsid w:val="292C362F"/>
    <w:rsid w:val="29D258A0"/>
    <w:rsid w:val="29D66254"/>
    <w:rsid w:val="29DD3EA8"/>
    <w:rsid w:val="2A2C6AA5"/>
    <w:rsid w:val="2A77613D"/>
    <w:rsid w:val="2BCE4A2D"/>
    <w:rsid w:val="2C8145D8"/>
    <w:rsid w:val="2D03015C"/>
    <w:rsid w:val="2D1D7363"/>
    <w:rsid w:val="2D556C3A"/>
    <w:rsid w:val="2D6E26F7"/>
    <w:rsid w:val="2D861E2F"/>
    <w:rsid w:val="2D9A608B"/>
    <w:rsid w:val="2E175F08"/>
    <w:rsid w:val="2E3D5E70"/>
    <w:rsid w:val="2E4612F2"/>
    <w:rsid w:val="2EE84A10"/>
    <w:rsid w:val="2FA00A37"/>
    <w:rsid w:val="3082359E"/>
    <w:rsid w:val="30850E88"/>
    <w:rsid w:val="30FF1613"/>
    <w:rsid w:val="31455897"/>
    <w:rsid w:val="317C3F2E"/>
    <w:rsid w:val="31BD083F"/>
    <w:rsid w:val="331845C3"/>
    <w:rsid w:val="342B56BF"/>
    <w:rsid w:val="345D53D3"/>
    <w:rsid w:val="34EF48E0"/>
    <w:rsid w:val="35AB6B9C"/>
    <w:rsid w:val="35B55930"/>
    <w:rsid w:val="37F967E1"/>
    <w:rsid w:val="385F5093"/>
    <w:rsid w:val="388E2039"/>
    <w:rsid w:val="39BC4A50"/>
    <w:rsid w:val="3A147C15"/>
    <w:rsid w:val="3A187284"/>
    <w:rsid w:val="3A666D2F"/>
    <w:rsid w:val="3A8910C2"/>
    <w:rsid w:val="3A9E3272"/>
    <w:rsid w:val="3AEA64B7"/>
    <w:rsid w:val="3C1A50DA"/>
    <w:rsid w:val="3D0803B2"/>
    <w:rsid w:val="3D530769"/>
    <w:rsid w:val="3E5F3778"/>
    <w:rsid w:val="3E8D7F75"/>
    <w:rsid w:val="3EA0511F"/>
    <w:rsid w:val="3EE761A3"/>
    <w:rsid w:val="3F0A6FBE"/>
    <w:rsid w:val="3F263BD9"/>
    <w:rsid w:val="3FC22C85"/>
    <w:rsid w:val="40064E55"/>
    <w:rsid w:val="41265C15"/>
    <w:rsid w:val="41EE3441"/>
    <w:rsid w:val="427322D0"/>
    <w:rsid w:val="42B07FE6"/>
    <w:rsid w:val="42CE32F1"/>
    <w:rsid w:val="434753D7"/>
    <w:rsid w:val="436761B3"/>
    <w:rsid w:val="44231564"/>
    <w:rsid w:val="44431F40"/>
    <w:rsid w:val="445D7FCE"/>
    <w:rsid w:val="44865588"/>
    <w:rsid w:val="449C25B8"/>
    <w:rsid w:val="44BF5846"/>
    <w:rsid w:val="44DF1C07"/>
    <w:rsid w:val="45264590"/>
    <w:rsid w:val="455200F2"/>
    <w:rsid w:val="46673421"/>
    <w:rsid w:val="46D321AA"/>
    <w:rsid w:val="472E0107"/>
    <w:rsid w:val="477C543C"/>
    <w:rsid w:val="49C07776"/>
    <w:rsid w:val="49E113CD"/>
    <w:rsid w:val="4A55606D"/>
    <w:rsid w:val="4AA1157D"/>
    <w:rsid w:val="4B430F0F"/>
    <w:rsid w:val="4C0C2AA1"/>
    <w:rsid w:val="4C906CB8"/>
    <w:rsid w:val="4D41105E"/>
    <w:rsid w:val="4D5648B5"/>
    <w:rsid w:val="4D7A382B"/>
    <w:rsid w:val="4D963D2D"/>
    <w:rsid w:val="4DC24585"/>
    <w:rsid w:val="4DDB4AB8"/>
    <w:rsid w:val="4ECF3096"/>
    <w:rsid w:val="4F005941"/>
    <w:rsid w:val="4F0376F3"/>
    <w:rsid w:val="4F980780"/>
    <w:rsid w:val="501F65C7"/>
    <w:rsid w:val="50915B19"/>
    <w:rsid w:val="50BE28DC"/>
    <w:rsid w:val="511701B4"/>
    <w:rsid w:val="5167040A"/>
    <w:rsid w:val="527D73D4"/>
    <w:rsid w:val="52CA6197"/>
    <w:rsid w:val="52EE76B5"/>
    <w:rsid w:val="52F43107"/>
    <w:rsid w:val="532506B0"/>
    <w:rsid w:val="5398408D"/>
    <w:rsid w:val="53A6284F"/>
    <w:rsid w:val="544C43FA"/>
    <w:rsid w:val="54EA29C4"/>
    <w:rsid w:val="56243C43"/>
    <w:rsid w:val="570D1BAB"/>
    <w:rsid w:val="58696CB7"/>
    <w:rsid w:val="586D05F0"/>
    <w:rsid w:val="58894DE8"/>
    <w:rsid w:val="58EF782B"/>
    <w:rsid w:val="597109B8"/>
    <w:rsid w:val="599740B7"/>
    <w:rsid w:val="59BD6CED"/>
    <w:rsid w:val="59F00825"/>
    <w:rsid w:val="5A53263F"/>
    <w:rsid w:val="5B017C2B"/>
    <w:rsid w:val="5B6F4A8B"/>
    <w:rsid w:val="5BB76C98"/>
    <w:rsid w:val="5BC97600"/>
    <w:rsid w:val="5C2A5105"/>
    <w:rsid w:val="5CCE3A33"/>
    <w:rsid w:val="5D005823"/>
    <w:rsid w:val="5D250D7F"/>
    <w:rsid w:val="5E0F1C0D"/>
    <w:rsid w:val="5E9C04DB"/>
    <w:rsid w:val="5FA52039"/>
    <w:rsid w:val="60143F17"/>
    <w:rsid w:val="6041262A"/>
    <w:rsid w:val="60496758"/>
    <w:rsid w:val="60790555"/>
    <w:rsid w:val="60E87B8F"/>
    <w:rsid w:val="61B33F69"/>
    <w:rsid w:val="61C52FE1"/>
    <w:rsid w:val="621D0B8C"/>
    <w:rsid w:val="636E73D6"/>
    <w:rsid w:val="639C02F0"/>
    <w:rsid w:val="64167EF8"/>
    <w:rsid w:val="64557CAD"/>
    <w:rsid w:val="64B67523"/>
    <w:rsid w:val="65906C95"/>
    <w:rsid w:val="665C724C"/>
    <w:rsid w:val="66A938A3"/>
    <w:rsid w:val="66B54A67"/>
    <w:rsid w:val="66FC1E2B"/>
    <w:rsid w:val="6733093D"/>
    <w:rsid w:val="67CD648C"/>
    <w:rsid w:val="67E97973"/>
    <w:rsid w:val="68782D29"/>
    <w:rsid w:val="68D02565"/>
    <w:rsid w:val="69C27A6F"/>
    <w:rsid w:val="69E66D34"/>
    <w:rsid w:val="69F56293"/>
    <w:rsid w:val="69F76CCD"/>
    <w:rsid w:val="6A3D0D21"/>
    <w:rsid w:val="6B7C7F2B"/>
    <w:rsid w:val="6B9032EF"/>
    <w:rsid w:val="6BE75CC7"/>
    <w:rsid w:val="6D1948A3"/>
    <w:rsid w:val="6D5D432A"/>
    <w:rsid w:val="6D6C64A7"/>
    <w:rsid w:val="6DC8240A"/>
    <w:rsid w:val="6E33150F"/>
    <w:rsid w:val="6E804461"/>
    <w:rsid w:val="6EB61792"/>
    <w:rsid w:val="71593474"/>
    <w:rsid w:val="71A63D40"/>
    <w:rsid w:val="71CB78EE"/>
    <w:rsid w:val="738156B4"/>
    <w:rsid w:val="741048BC"/>
    <w:rsid w:val="745172F8"/>
    <w:rsid w:val="754C4082"/>
    <w:rsid w:val="75892693"/>
    <w:rsid w:val="762C7A10"/>
    <w:rsid w:val="76AA37DA"/>
    <w:rsid w:val="76B00B90"/>
    <w:rsid w:val="77441A7A"/>
    <w:rsid w:val="7771703D"/>
    <w:rsid w:val="783C3374"/>
    <w:rsid w:val="785F7EE6"/>
    <w:rsid w:val="78B518CD"/>
    <w:rsid w:val="79411948"/>
    <w:rsid w:val="795F1843"/>
    <w:rsid w:val="7A0B785D"/>
    <w:rsid w:val="7A737C5C"/>
    <w:rsid w:val="7A824159"/>
    <w:rsid w:val="7AD3268C"/>
    <w:rsid w:val="7B322C9F"/>
    <w:rsid w:val="7B9316AC"/>
    <w:rsid w:val="7C4F0289"/>
    <w:rsid w:val="7C5910B5"/>
    <w:rsid w:val="7CE26B90"/>
    <w:rsid w:val="7CFE75C5"/>
    <w:rsid w:val="7D4857A1"/>
    <w:rsid w:val="7E497C72"/>
    <w:rsid w:val="7E67109B"/>
    <w:rsid w:val="7E977CD1"/>
    <w:rsid w:val="7F5E0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autoRedefine/>
    <w:qFormat/>
    <w:uiPriority w:val="0"/>
    <w:pPr>
      <w:jc w:val="left"/>
    </w:pPr>
  </w:style>
  <w:style w:type="paragraph" w:styleId="3">
    <w:name w:val="Body Text"/>
    <w:basedOn w:val="1"/>
    <w:qFormat/>
    <w:uiPriority w:val="0"/>
    <w:pPr>
      <w:spacing w:before="180" w:after="180"/>
    </w:pPr>
  </w:style>
  <w:style w:type="paragraph" w:styleId="4">
    <w:name w:val="Balloon Text"/>
    <w:basedOn w:val="1"/>
    <w:link w:val="20"/>
    <w:qFormat/>
    <w:uiPriority w:val="0"/>
    <w:rPr>
      <w:sz w:val="18"/>
      <w:szCs w:val="18"/>
    </w:rPr>
  </w:style>
  <w:style w:type="paragraph" w:styleId="5">
    <w:name w:val="footer"/>
    <w:basedOn w:val="1"/>
    <w:link w:val="17"/>
    <w:autoRedefine/>
    <w:qFormat/>
    <w:uiPriority w:val="0"/>
    <w:pPr>
      <w:tabs>
        <w:tab w:val="center" w:pos="4153"/>
        <w:tab w:val="right" w:pos="8306"/>
      </w:tabs>
      <w:snapToGrid w:val="0"/>
      <w:jc w:val="left"/>
    </w:pPr>
    <w:rPr>
      <w:sz w:val="18"/>
      <w:szCs w:val="18"/>
    </w:rPr>
  </w:style>
  <w:style w:type="paragraph" w:styleId="6">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rPr>
      <w:sz w:val="24"/>
    </w:rPr>
  </w:style>
  <w:style w:type="paragraph" w:styleId="8">
    <w:name w:val="Title"/>
    <w:basedOn w:val="1"/>
    <w:next w:val="3"/>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9">
    <w:name w:val="annotation subject"/>
    <w:basedOn w:val="2"/>
    <w:next w:val="2"/>
    <w:link w:val="19"/>
    <w:autoRedefine/>
    <w:qFormat/>
    <w:uiPriority w:val="0"/>
    <w:rPr>
      <w:b/>
      <w:bCs/>
    </w:rPr>
  </w:style>
  <w:style w:type="table" w:styleId="11">
    <w:name w:val="Table Grid"/>
    <w:basedOn w:val="1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unhideWhenUsed/>
    <w:qFormat/>
    <w:uiPriority w:val="99"/>
    <w:rPr>
      <w:color w:val="0563C1"/>
      <w:u w:val="single"/>
    </w:rPr>
  </w:style>
  <w:style w:type="character" w:styleId="14">
    <w:name w:val="annotation reference"/>
    <w:basedOn w:val="12"/>
    <w:autoRedefine/>
    <w:qFormat/>
    <w:uiPriority w:val="0"/>
    <w:rPr>
      <w:sz w:val="21"/>
      <w:szCs w:val="21"/>
    </w:rPr>
  </w:style>
  <w:style w:type="paragraph" w:styleId="15">
    <w:name w:val="List Paragraph"/>
    <w:basedOn w:val="1"/>
    <w:autoRedefine/>
    <w:qFormat/>
    <w:uiPriority w:val="34"/>
    <w:pPr>
      <w:ind w:firstLine="420" w:firstLineChars="200"/>
    </w:pPr>
  </w:style>
  <w:style w:type="character" w:customStyle="1" w:styleId="16">
    <w:name w:val="页眉 字符"/>
    <w:basedOn w:val="12"/>
    <w:link w:val="6"/>
    <w:autoRedefine/>
    <w:qFormat/>
    <w:uiPriority w:val="0"/>
    <w:rPr>
      <w:rFonts w:asciiTheme="minorHAnsi" w:hAnsiTheme="minorHAnsi" w:eastAsiaTheme="minorEastAsia" w:cstheme="minorBidi"/>
      <w:kern w:val="2"/>
      <w:sz w:val="18"/>
      <w:szCs w:val="18"/>
    </w:rPr>
  </w:style>
  <w:style w:type="character" w:customStyle="1" w:styleId="17">
    <w:name w:val="页脚 字符"/>
    <w:basedOn w:val="12"/>
    <w:link w:val="5"/>
    <w:autoRedefine/>
    <w:qFormat/>
    <w:uiPriority w:val="0"/>
    <w:rPr>
      <w:rFonts w:asciiTheme="minorHAnsi" w:hAnsiTheme="minorHAnsi" w:eastAsiaTheme="minorEastAsia" w:cstheme="minorBidi"/>
      <w:kern w:val="2"/>
      <w:sz w:val="18"/>
      <w:szCs w:val="18"/>
    </w:rPr>
  </w:style>
  <w:style w:type="character" w:customStyle="1" w:styleId="18">
    <w:name w:val="批注文字 字符"/>
    <w:basedOn w:val="12"/>
    <w:link w:val="2"/>
    <w:autoRedefine/>
    <w:qFormat/>
    <w:uiPriority w:val="0"/>
    <w:rPr>
      <w:rFonts w:asciiTheme="minorHAnsi" w:hAnsiTheme="minorHAnsi" w:eastAsiaTheme="minorEastAsia" w:cstheme="minorBidi"/>
      <w:kern w:val="2"/>
      <w:sz w:val="21"/>
      <w:szCs w:val="22"/>
    </w:rPr>
  </w:style>
  <w:style w:type="character" w:customStyle="1" w:styleId="19">
    <w:name w:val="批注主题 字符"/>
    <w:basedOn w:val="18"/>
    <w:link w:val="9"/>
    <w:autoRedefine/>
    <w:qFormat/>
    <w:uiPriority w:val="0"/>
    <w:rPr>
      <w:rFonts w:asciiTheme="minorHAnsi" w:hAnsiTheme="minorHAnsi" w:eastAsiaTheme="minorEastAsia" w:cstheme="minorBidi"/>
      <w:b/>
      <w:bCs/>
      <w:kern w:val="2"/>
      <w:sz w:val="21"/>
      <w:szCs w:val="22"/>
    </w:rPr>
  </w:style>
  <w:style w:type="character" w:customStyle="1" w:styleId="20">
    <w:name w:val="批注框文本 字符"/>
    <w:basedOn w:val="12"/>
    <w:link w:val="4"/>
    <w:autoRedefine/>
    <w:qFormat/>
    <w:uiPriority w:val="0"/>
    <w:rPr>
      <w:rFonts w:asciiTheme="minorHAnsi" w:hAnsiTheme="minorHAnsi" w:eastAsiaTheme="minorEastAsia" w:cstheme="minorBidi"/>
      <w:kern w:val="2"/>
      <w:sz w:val="18"/>
      <w:szCs w:val="18"/>
    </w:rPr>
  </w:style>
  <w:style w:type="paragraph" w:customStyle="1" w:styleId="21">
    <w:name w:val="First Paragraph"/>
    <w:basedOn w:val="3"/>
    <w:next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4b79d794-003e-4f32-ad10-61a5f6989db9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7EEAB2A2</paraID>
      <start>0</start>
      <end>2</end>
      <status>unmodified</status>
      <modifiedWord/>
      <trackRevisions>false</trackRevisions>
    </reviewItem>
    <reviewItem>
      <errorID>99cac243-8d73-4d5a-8d61-5872a5930050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5F85AD73</paraID>
      <start>0</start>
      <end>2</end>
      <status>unmodified</status>
      <modifiedWord/>
      <trackRevisions>false</trackRevisions>
    </reviewItem>
    <reviewItem>
      <errorID>a420deae-940a-44f1-9299-33bb435eee85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349321A2</paraID>
      <start>0</start>
      <end>2</end>
      <status>unmodified</status>
      <modifiedWord/>
      <trackRevisions>false</trackRevisions>
    </reviewItem>
    <reviewItem>
      <errorID>525aa3f4-4fe7-45f8-bb40-649124e1288b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7C80C589</paraID>
      <start>0</start>
      <end>2</end>
      <status>unmodified</status>
      <modifiedWord/>
      <trackRevisions>false</trackRevisions>
    </reviewItem>
    <reviewItem>
      <errorID>90b9182f-324d-4277-884b-62261ed9767a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5B851FEF</paraID>
      <start>0</start>
      <end>2</end>
      <status>unmodified</status>
      <modifiedWord/>
      <trackRevisions>false</trackRevisions>
    </reviewItem>
    <reviewItem>
      <errorID>0fcf46df-7b2a-4c05-ab02-a4ff188ef1a4</errorID>
      <errorWord>上半年度</errorWord>
      <group>L1_Word</group>
      <groupName>字词问题</groupName>
      <ability>L2_Typo</ability>
      <abilityName>字词错误</abilityName>
      <candidateList>
        <item>上半年</item>
      </candidateList>
      <explain/>
      <paraID>1384B9F1</paraID>
      <start>67</start>
      <end>71</end>
      <status>unmodified</status>
      <modifiedWord/>
      <trackRevisions>false</trackRevisions>
    </reviewItem>
    <reviewItem>
      <errorID>4e75740f-ce12-43e1-8587-f279bd08d795</errorID>
      <errorWord>大</errorWord>
      <group>L1_Word</group>
      <groupName>字词问题</groupName>
      <ability>L2_Typo</ability>
      <abilityName>字词错误</abilityName>
      <candidateList>
        <item>大地</item>
      </candidateList>
      <explain/>
      <paraID>1384B9F1</paraID>
      <start>140</start>
      <end>141</end>
      <status>unmodified</status>
      <modifiedWord/>
      <trackRevisions>false</trackRevisions>
    </reviewItem>
    <reviewItem>
      <errorID>8c1d5131-1448-440a-9876-92e954a435d5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49D4ED58</paraID>
      <start>0</start>
      <end>2</end>
      <status>unmodified</status>
      <modifiedWord/>
      <trackRevisions>false</trackRevisions>
    </reviewItem>
    <reviewItem>
      <errorID>2669c0d5-a55f-471f-953c-d5546c41128d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BA378F5</paraID>
      <start>0</start>
      <end>2</end>
      <status>unmodified</status>
      <modifiedWord/>
      <trackRevisions>false</trackRevisions>
    </reviewItem>
    <reviewItem>
      <errorID>b2405e6f-65ca-4e09-866f-42b510f6632a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28CAC73C</paraID>
      <start>0</start>
      <end>2</end>
      <status>unmodified</status>
      <modifiedWord/>
      <trackRevisions>false</trackRevisions>
    </reviewItem>
    <reviewItem>
      <errorID>59b9c1ba-a1a9-493d-aaed-4aae258575c1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163C910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ea5642c5-6084-44a7-a0b2-104044de7715}">
  <ds:schemaRefs/>
</ds:datastoreItem>
</file>

<file path=docProps/app.xml><?xml version="1.0" encoding="utf-8"?>
<Properties xmlns="http://schemas.openxmlformats.org/officeDocument/2006/extended-properties" xmlns:vt="http://schemas.openxmlformats.org/officeDocument/2006/docPropsVTypes">
  <Template>Normal</Template>
  <Pages>4</Pages>
  <Words>1957</Words>
  <Characters>2153</Characters>
  <Lines>12</Lines>
  <Paragraphs>3</Paragraphs>
  <TotalTime>9</TotalTime>
  <ScaleCrop>false</ScaleCrop>
  <LinksUpToDate>false</LinksUpToDate>
  <CharactersWithSpaces>2217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2023-11-10T08:49:00Z</dcterms:created>
  <dc:creator>笑</dc:creator>
  <cp:lastModifiedBy>宇宙</cp:lastModifiedBy>
  <dcterms:modified xsi:type="dcterms:W3CDTF">2026-08-21T08:28:23Z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541558013203480E98560DA9F3D8B8FF_13</vt:lpwstr>
  </property>
  <property fmtid="{D5CDD505-2E9C-101B-9397-08002B2CF9AE}" pid="4" name="KSOTemplateDocerSaveRecord">
    <vt:lpwstr>eyJoZGlkIjoiMmNlOGNhYzFmZDU0MzAzYjgwMmM2YmNiYTk1MDUzM2QiLCJ1c2VySWQiOiIzODI2NjIxNjAifQ==</vt:lpwstr>
  </property>
</Properties>
</file>