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FC0D" w14:textId="77777777" w:rsidR="003351AB" w:rsidRPr="003351AB" w:rsidRDefault="003351AB" w:rsidP="003351AB">
      <w:pPr>
        <w:adjustRightInd w:val="0"/>
        <w:snapToGrid w:val="0"/>
        <w:spacing w:afterLines="150" w:after="468" w:line="240" w:lineRule="auto"/>
        <w:jc w:val="both"/>
        <w:rPr>
          <w:rFonts w:ascii="宋体" w:eastAsia="宋体" w:hAnsi="宋体" w:cs="Times New Roman" w:hint="eastAsia"/>
          <w:b/>
          <w:bCs/>
          <w:sz w:val="24"/>
          <w14:ligatures w14:val="none"/>
        </w:rPr>
      </w:pPr>
      <w:r w:rsidRPr="003351AB">
        <w:rPr>
          <w:rFonts w:ascii="宋体" w:eastAsia="宋体" w:hAnsi="宋体" w:cs="Times New Roman"/>
          <w:b/>
          <w:bCs/>
          <w:sz w:val="24"/>
          <w14:ligatures w14:val="none"/>
        </w:rPr>
        <w:t>证券代码：</w:t>
      </w:r>
      <w:proofErr w:type="gramStart"/>
      <w:r w:rsidRPr="003351AB">
        <w:rPr>
          <w:rFonts w:ascii="宋体" w:eastAsia="宋体" w:hAnsi="宋体" w:cs="Times New Roman"/>
          <w:b/>
          <w:bCs/>
          <w:sz w:val="24"/>
          <w14:ligatures w14:val="none"/>
        </w:rPr>
        <w:t>605208            证券</w:t>
      </w:r>
      <w:proofErr w:type="gramEnd"/>
      <w:r w:rsidRPr="003351AB">
        <w:rPr>
          <w:rFonts w:ascii="宋体" w:eastAsia="宋体" w:hAnsi="宋体" w:cs="Times New Roman"/>
          <w:b/>
          <w:bCs/>
          <w:sz w:val="24"/>
          <w14:ligatures w14:val="none"/>
        </w:rPr>
        <w:t>简称：永茂</w:t>
      </w:r>
      <w:proofErr w:type="gramStart"/>
      <w:r w:rsidRPr="003351AB">
        <w:rPr>
          <w:rFonts w:ascii="宋体" w:eastAsia="宋体" w:hAnsi="宋体" w:cs="Times New Roman"/>
          <w:b/>
          <w:bCs/>
          <w:sz w:val="24"/>
          <w14:ligatures w14:val="none"/>
        </w:rPr>
        <w:t>泰           编号</w:t>
      </w:r>
      <w:proofErr w:type="gramEnd"/>
      <w:r w:rsidRPr="003351AB">
        <w:rPr>
          <w:rFonts w:ascii="宋体" w:eastAsia="宋体" w:hAnsi="宋体" w:cs="Times New Roman"/>
          <w:b/>
          <w:bCs/>
          <w:sz w:val="24"/>
          <w14:ligatures w14:val="none"/>
        </w:rPr>
        <w:t>：2026-002</w:t>
      </w:r>
    </w:p>
    <w:p w14:paraId="37F95258" w14:textId="77777777" w:rsidR="003351AB" w:rsidRPr="003351AB" w:rsidRDefault="003351AB" w:rsidP="003351AB">
      <w:pPr>
        <w:spacing w:beforeLines="50" w:before="156" w:after="0" w:line="240" w:lineRule="auto"/>
        <w:jc w:val="center"/>
        <w:rPr>
          <w:rFonts w:ascii="宋体" w:eastAsia="宋体" w:hAnsi="宋体" w:cs="Times New Roman" w:hint="eastAsia"/>
          <w:b/>
          <w:bCs/>
          <w:color w:val="FF0000"/>
          <w:sz w:val="32"/>
          <w:szCs w:val="32"/>
          <w14:ligatures w14:val="none"/>
        </w:rPr>
      </w:pPr>
      <w:r w:rsidRPr="003351AB">
        <w:rPr>
          <w:rFonts w:ascii="宋体" w:eastAsia="宋体" w:hAnsi="宋体" w:cs="Times New Roman"/>
          <w:b/>
          <w:bCs/>
          <w:color w:val="FF0000"/>
          <w:sz w:val="32"/>
          <w:szCs w:val="32"/>
          <w14:ligatures w14:val="none"/>
        </w:rPr>
        <w:t>上海永茂泰汽车科技股份有限公司</w:t>
      </w:r>
    </w:p>
    <w:p w14:paraId="72D8C8B7" w14:textId="77777777" w:rsidR="003351AB" w:rsidRPr="003351AB" w:rsidRDefault="003351AB" w:rsidP="003351AB">
      <w:pPr>
        <w:spacing w:after="0" w:line="240" w:lineRule="auto"/>
        <w:jc w:val="center"/>
        <w:rPr>
          <w:rFonts w:ascii="宋体" w:eastAsia="宋体" w:hAnsi="宋体" w:cs="Times New Roman" w:hint="eastAsia"/>
          <w:b/>
          <w:bCs/>
          <w:color w:val="FF0000"/>
          <w:sz w:val="32"/>
          <w:szCs w:val="32"/>
          <w14:ligatures w14:val="none"/>
        </w:rPr>
      </w:pPr>
      <w:r w:rsidRPr="003351AB">
        <w:rPr>
          <w:rFonts w:ascii="宋体" w:eastAsia="宋体" w:hAnsi="宋体" w:cs="Times New Roman"/>
          <w:b/>
          <w:bCs/>
          <w:color w:val="FF0000"/>
          <w:sz w:val="32"/>
          <w:szCs w:val="32"/>
          <w14:ligatures w14:val="none"/>
        </w:rPr>
        <w:t>投资者关系活动记录表</w:t>
      </w:r>
    </w:p>
    <w:p w14:paraId="01991104" w14:textId="77777777" w:rsidR="003351AB" w:rsidRPr="003351AB" w:rsidRDefault="003351AB" w:rsidP="003351AB">
      <w:pPr>
        <w:spacing w:after="0" w:line="0" w:lineRule="atLeast"/>
        <w:jc w:val="center"/>
        <w:rPr>
          <w:rFonts w:ascii="宋体" w:eastAsia="宋体" w:hAnsi="宋体" w:cs="Times New Roman" w:hint="eastAsia"/>
          <w:b/>
          <w:bCs/>
          <w:color w:val="FF0000"/>
          <w:sz w:val="30"/>
          <w:szCs w:val="30"/>
          <w14:ligatures w14:val="none"/>
        </w:rPr>
      </w:pPr>
    </w:p>
    <w:tbl>
      <w:tblPr>
        <w:tblStyle w:val="af2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8"/>
        <w:gridCol w:w="6903"/>
      </w:tblGrid>
      <w:tr w:rsidR="003351AB" w:rsidRPr="003351AB" w14:paraId="61F1CA79" w14:textId="77777777" w:rsidTr="004362C8">
        <w:trPr>
          <w:trHeight w:val="1268"/>
          <w:jc w:val="center"/>
        </w:trPr>
        <w:tc>
          <w:tcPr>
            <w:tcW w:w="1428" w:type="dxa"/>
            <w:vAlign w:val="center"/>
          </w:tcPr>
          <w:p w14:paraId="682E75BB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投资者关系</w:t>
            </w:r>
          </w:p>
          <w:p w14:paraId="59677860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活动类别</w:t>
            </w:r>
          </w:p>
        </w:tc>
        <w:tc>
          <w:tcPr>
            <w:tcW w:w="6903" w:type="dxa"/>
            <w:vAlign w:val="center"/>
          </w:tcPr>
          <w:p w14:paraId="7181E053" w14:textId="77777777" w:rsidR="003351AB" w:rsidRPr="003351AB" w:rsidRDefault="003351AB" w:rsidP="003351AB">
            <w:pPr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fldChar w:fldCharType="begin"/>
            </w: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instrText>eq \o\ac(□,</w:instrText>
            </w:r>
            <w:r w:rsidRPr="003351AB">
              <w:rPr>
                <w:rFonts w:ascii="宋体" w:hAnsi="宋体" w:cs="宋体"/>
                <w:bCs/>
                <w:color w:val="000000"/>
                <w:position w:val="2"/>
                <w:sz w:val="21"/>
                <w:szCs w:val="21"/>
              </w:rPr>
              <w:instrText>√</w:instrText>
            </w: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instrText>)</w:instrText>
            </w: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fldChar w:fldCharType="end"/>
            </w:r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特定对象</w:t>
            </w:r>
            <w:proofErr w:type="gramStart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调研        □</w:t>
            </w:r>
            <w:proofErr w:type="gramEnd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分析师</w:t>
            </w:r>
            <w:proofErr w:type="gramStart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会议           □</w:t>
            </w:r>
            <w:proofErr w:type="gramEnd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媒体采访</w:t>
            </w:r>
          </w:p>
          <w:p w14:paraId="1E87CE1C" w14:textId="77777777" w:rsidR="003351AB" w:rsidRPr="003351AB" w:rsidRDefault="003351AB" w:rsidP="003351AB">
            <w:pPr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fldChar w:fldCharType="begin"/>
            </w: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instrText>eq \o\ac(□)</w:instrText>
            </w:r>
            <w:r w:rsidRPr="003351AB">
              <w:rPr>
                <w:rFonts w:ascii="宋体" w:hAnsi="宋体" w:cs="宋体"/>
                <w:bCs/>
                <w:color w:val="000000"/>
                <w:sz w:val="21"/>
                <w:szCs w:val="21"/>
              </w:rPr>
              <w:fldChar w:fldCharType="end"/>
            </w:r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业绩说明</w:t>
            </w:r>
            <w:proofErr w:type="gramStart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会          □</w:t>
            </w:r>
            <w:proofErr w:type="gramEnd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新闻</w:t>
            </w:r>
            <w:proofErr w:type="gramStart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发布会           □</w:t>
            </w:r>
            <w:proofErr w:type="gramEnd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路演活动</w:t>
            </w:r>
          </w:p>
          <w:p w14:paraId="5AFAC8AF" w14:textId="77777777" w:rsidR="003351AB" w:rsidRPr="003351AB" w:rsidRDefault="003351AB" w:rsidP="003351AB">
            <w:pPr>
              <w:rPr>
                <w:rFonts w:ascii="宋体" w:hAnsi="宋体" w:hint="eastAsia"/>
                <w:sz w:val="21"/>
                <w:szCs w:val="21"/>
              </w:rPr>
            </w:pPr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□现场</w:t>
            </w:r>
            <w:proofErr w:type="gramStart"/>
            <w:r w:rsidRPr="003351AB">
              <w:rPr>
                <w:rFonts w:ascii="宋体" w:hAnsi="宋体" w:cs="宋体"/>
                <w:color w:val="000000"/>
                <w:sz w:val="21"/>
                <w:szCs w:val="21"/>
              </w:rPr>
              <w:t>参观            □其  他</w:t>
            </w:r>
            <w:proofErr w:type="gramEnd"/>
          </w:p>
        </w:tc>
      </w:tr>
      <w:tr w:rsidR="003351AB" w:rsidRPr="003351AB" w14:paraId="1F9F0F68" w14:textId="77777777" w:rsidTr="00BB0897">
        <w:trPr>
          <w:trHeight w:val="2253"/>
          <w:jc w:val="center"/>
        </w:trPr>
        <w:tc>
          <w:tcPr>
            <w:tcW w:w="1428" w:type="dxa"/>
            <w:vAlign w:val="center"/>
          </w:tcPr>
          <w:p w14:paraId="13F16930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参与单位及</w:t>
            </w:r>
          </w:p>
          <w:p w14:paraId="2F5D1920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人员</w:t>
            </w:r>
          </w:p>
        </w:tc>
        <w:tc>
          <w:tcPr>
            <w:tcW w:w="6903" w:type="dxa"/>
            <w:vAlign w:val="center"/>
          </w:tcPr>
          <w:p w14:paraId="2199AD6E" w14:textId="77777777" w:rsidR="003351AB" w:rsidRPr="003351AB" w:rsidRDefault="003351AB" w:rsidP="003351AB">
            <w:pPr>
              <w:jc w:val="both"/>
              <w:rPr>
                <w:rFonts w:ascii="宋体" w:hAnsi="宋体" w:hint="eastAsia"/>
                <w:sz w:val="21"/>
                <w:szCs w:val="21"/>
              </w:rPr>
            </w:pPr>
            <w:r w:rsidRPr="003351AB">
              <w:rPr>
                <w:rFonts w:ascii="宋体" w:hAnsi="宋体"/>
                <w:sz w:val="21"/>
                <w:szCs w:val="21"/>
              </w:rPr>
              <w:t>上海途灵资产管理有限公司赵梓峰，深圳市红筹投资有限公司陈杨炀，深圳亘泰投资管理有限公司吕科，四川汇聚投资有限公司张昌胜，国寿养老裴勇，广州产业投资控股集团有限公司杨卓，宇诚私募杨亦涵，</w:t>
            </w:r>
            <w:bookmarkStart w:id="0" w:name="OLE_LINK1"/>
            <w:r w:rsidRPr="003351AB">
              <w:rPr>
                <w:rFonts w:ascii="宋体" w:hAnsi="宋体"/>
                <w:sz w:val="21"/>
                <w:szCs w:val="21"/>
              </w:rPr>
              <w:t>淡水泉</w:t>
            </w:r>
            <w:bookmarkEnd w:id="0"/>
            <w:r w:rsidRPr="003351AB">
              <w:rPr>
                <w:rFonts w:ascii="宋体" w:hAnsi="宋体"/>
                <w:sz w:val="21"/>
                <w:szCs w:val="21"/>
              </w:rPr>
              <w:t>叶智深，建信基金管理有限责任公司刘汉思，荷荷</w:t>
            </w:r>
            <w:proofErr w:type="gramStart"/>
            <w:r w:rsidRPr="003351AB">
              <w:rPr>
                <w:rFonts w:ascii="宋体" w:hAnsi="宋体"/>
                <w:sz w:val="21"/>
                <w:szCs w:val="21"/>
              </w:rPr>
              <w:t>(北京)</w:t>
            </w:r>
            <w:proofErr w:type="gramEnd"/>
            <w:r w:rsidRPr="003351AB">
              <w:rPr>
                <w:rFonts w:ascii="宋体" w:hAnsi="宋体"/>
                <w:sz w:val="21"/>
                <w:szCs w:val="21"/>
              </w:rPr>
              <w:t>私募基金管理有限公司唐巍，东兴证券文奕婕，东方证券杨肇宁，太平养老保险王书伟，华泰资产丑凯亮，中信证券刘易、白弘伟</w:t>
            </w:r>
          </w:p>
        </w:tc>
      </w:tr>
      <w:tr w:rsidR="003351AB" w:rsidRPr="003351AB" w14:paraId="19E908A6" w14:textId="77777777" w:rsidTr="004362C8">
        <w:trPr>
          <w:trHeight w:val="553"/>
          <w:jc w:val="center"/>
        </w:trPr>
        <w:tc>
          <w:tcPr>
            <w:tcW w:w="1428" w:type="dxa"/>
            <w:vAlign w:val="center"/>
          </w:tcPr>
          <w:p w14:paraId="341ED655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6903" w:type="dxa"/>
            <w:vAlign w:val="center"/>
          </w:tcPr>
          <w:p w14:paraId="1E1154A5" w14:textId="77777777" w:rsidR="003351AB" w:rsidRPr="003351AB" w:rsidRDefault="003351AB" w:rsidP="003351AB">
            <w:pPr>
              <w:rPr>
                <w:rFonts w:ascii="宋体" w:hAnsi="宋体" w:hint="eastAsia"/>
                <w:sz w:val="21"/>
                <w:szCs w:val="21"/>
              </w:rPr>
            </w:pPr>
            <w:r w:rsidRPr="003351AB">
              <w:rPr>
                <w:rFonts w:ascii="宋体" w:hAnsi="宋体"/>
                <w:sz w:val="21"/>
                <w:szCs w:val="21"/>
              </w:rPr>
              <w:t>2026年8月22日上午8:30</w:t>
            </w:r>
          </w:p>
        </w:tc>
      </w:tr>
      <w:tr w:rsidR="003351AB" w:rsidRPr="003351AB" w14:paraId="51EFA98C" w14:textId="77777777" w:rsidTr="004362C8">
        <w:trPr>
          <w:trHeight w:val="564"/>
          <w:jc w:val="center"/>
        </w:trPr>
        <w:tc>
          <w:tcPr>
            <w:tcW w:w="1428" w:type="dxa"/>
            <w:vAlign w:val="center"/>
          </w:tcPr>
          <w:p w14:paraId="1BFD7F74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地点</w:t>
            </w:r>
          </w:p>
        </w:tc>
        <w:tc>
          <w:tcPr>
            <w:tcW w:w="6903" w:type="dxa"/>
            <w:vAlign w:val="center"/>
          </w:tcPr>
          <w:p w14:paraId="670F52FD" w14:textId="77777777" w:rsidR="003351AB" w:rsidRPr="003351AB" w:rsidRDefault="003351AB" w:rsidP="003351AB">
            <w:pPr>
              <w:rPr>
                <w:rFonts w:ascii="宋体" w:hAnsi="宋体" w:hint="eastAsia"/>
                <w:sz w:val="21"/>
                <w:szCs w:val="21"/>
              </w:rPr>
            </w:pPr>
            <w:r w:rsidRPr="003351AB">
              <w:rPr>
                <w:rFonts w:ascii="宋体" w:hAnsi="宋体"/>
                <w:sz w:val="21"/>
                <w:szCs w:val="21"/>
              </w:rPr>
              <w:t>在线交流</w:t>
            </w:r>
          </w:p>
        </w:tc>
      </w:tr>
      <w:tr w:rsidR="003351AB" w:rsidRPr="003351AB" w14:paraId="33713B94" w14:textId="77777777" w:rsidTr="004362C8">
        <w:trPr>
          <w:trHeight w:val="553"/>
          <w:jc w:val="center"/>
        </w:trPr>
        <w:tc>
          <w:tcPr>
            <w:tcW w:w="1428" w:type="dxa"/>
            <w:vAlign w:val="center"/>
          </w:tcPr>
          <w:p w14:paraId="72484070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公司接待人员</w:t>
            </w:r>
          </w:p>
        </w:tc>
        <w:tc>
          <w:tcPr>
            <w:tcW w:w="6903" w:type="dxa"/>
            <w:vAlign w:val="center"/>
          </w:tcPr>
          <w:p w14:paraId="58DD0E0F" w14:textId="77777777" w:rsidR="003351AB" w:rsidRPr="003351AB" w:rsidRDefault="003351AB" w:rsidP="003351AB">
            <w:pPr>
              <w:rPr>
                <w:rFonts w:ascii="宋体" w:hAnsi="宋体" w:hint="eastAsia"/>
                <w:sz w:val="21"/>
                <w:szCs w:val="21"/>
              </w:rPr>
            </w:pPr>
            <w:r w:rsidRPr="003351AB">
              <w:rPr>
                <w:rFonts w:ascii="宋体" w:hAnsi="宋体"/>
                <w:sz w:val="21"/>
                <w:szCs w:val="21"/>
              </w:rPr>
              <w:t>董事会秘书杨跃</w:t>
            </w:r>
          </w:p>
        </w:tc>
      </w:tr>
      <w:tr w:rsidR="003351AB" w:rsidRPr="003351AB" w14:paraId="00144367" w14:textId="77777777" w:rsidTr="004362C8">
        <w:trPr>
          <w:trHeight w:val="274"/>
          <w:jc w:val="center"/>
        </w:trPr>
        <w:tc>
          <w:tcPr>
            <w:tcW w:w="1428" w:type="dxa"/>
            <w:vAlign w:val="center"/>
          </w:tcPr>
          <w:p w14:paraId="1A076659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投资者关系活动的主要内容介绍</w:t>
            </w:r>
          </w:p>
        </w:tc>
        <w:tc>
          <w:tcPr>
            <w:tcW w:w="6903" w:type="dxa"/>
            <w:vAlign w:val="center"/>
          </w:tcPr>
          <w:p w14:paraId="28EE260C" w14:textId="77777777" w:rsidR="003351AB" w:rsidRPr="003351AB" w:rsidRDefault="003351AB" w:rsidP="003351AB">
            <w:pPr>
              <w:numPr>
                <w:ilvl w:val="0"/>
                <w:numId w:val="1"/>
              </w:numPr>
              <w:spacing w:beforeLines="50" w:before="156" w:afterLines="50" w:after="156" w:line="360" w:lineRule="auto"/>
              <w:ind w:left="-42" w:firstLineChars="200" w:firstLine="422"/>
              <w:jc w:val="both"/>
              <w:rPr>
                <w:rFonts w:ascii="宋体" w:hAnsi="宋体" w:hint="eastAsia"/>
                <w:b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color w:val="000000"/>
                <w:sz w:val="21"/>
                <w:szCs w:val="21"/>
              </w:rPr>
              <w:t>公司2026年上半年实现业绩的情况及大幅增长的原因？</w:t>
            </w:r>
          </w:p>
          <w:p w14:paraId="5336594C" w14:textId="77777777" w:rsidR="003351AB" w:rsidRPr="003351AB" w:rsidRDefault="003351AB" w:rsidP="003351AB">
            <w:pPr>
              <w:spacing w:before="50" w:after="50" w:line="360" w:lineRule="auto"/>
              <w:ind w:firstLineChars="200" w:firstLine="420"/>
              <w:jc w:val="both"/>
              <w:rPr>
                <w:rFonts w:ascii="宋体" w:hAnsi="宋体" w:hint="eastAsia"/>
                <w:bCs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公司2026年上半年实现营业收入29.85亿元，同比增长13.94%，实现归母净利润8,044.96万元，同比增加306.94%，扣非后归母净利润8,307.83万元，同比增长</w:t>
            </w:r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371.23%。公司营业收入增长主要原因是公司积极开拓市场，开发新客户、新项目，原有客户持续深化合作，尤其是铝合金液业务在市场开拓方面取得积极效果，铝合金液营业收入同比增长27.82%。公司归母净利润大幅增长主要原因：</w:t>
            </w:r>
            <w:proofErr w:type="gramStart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(1)</w:t>
            </w:r>
            <w:proofErr w:type="gramEnd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公司开拓市场导致营业收入增长；</w:t>
            </w:r>
            <w:proofErr w:type="gramStart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(2)</w:t>
            </w:r>
            <w:proofErr w:type="gramEnd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公司加强精细管理，优化生产全流程，提质增效取得积极效果，公司主营业务毛利率由去年同期的4.68%提升至6.40%；</w:t>
            </w:r>
            <w:proofErr w:type="gramStart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(3)</w:t>
            </w:r>
            <w:proofErr w:type="gramEnd"/>
            <w:r w:rsidRPr="003351AB">
              <w:rPr>
                <w:rFonts w:ascii="宋体" w:hAnsi="宋体"/>
                <w:color w:val="000000"/>
                <w:sz w:val="21"/>
                <w:szCs w:val="22"/>
                <w:lang w:bidi="ar"/>
              </w:rPr>
              <w:t>公司加大研发投入，不断提升技术水平，公司产品合格率及材料利用率提升。</w:t>
            </w:r>
          </w:p>
          <w:p w14:paraId="670CA8A0" w14:textId="77777777" w:rsidR="003351AB" w:rsidRPr="003351AB" w:rsidRDefault="003351AB" w:rsidP="003351AB">
            <w:pPr>
              <w:numPr>
                <w:ilvl w:val="0"/>
                <w:numId w:val="1"/>
              </w:numPr>
              <w:spacing w:beforeLines="50" w:before="156" w:afterLines="50" w:after="156" w:line="360" w:lineRule="auto"/>
              <w:ind w:left="-42" w:firstLineChars="200" w:firstLine="422"/>
              <w:jc w:val="both"/>
              <w:rPr>
                <w:rFonts w:ascii="宋体" w:hAnsi="宋体" w:hint="eastAsia"/>
                <w:b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color w:val="000000"/>
                <w:sz w:val="21"/>
                <w:szCs w:val="21"/>
              </w:rPr>
              <w:t>公司未来重点布局镁合金零部件行业，镁合金有什么优势，未来应用前景如何，现在公司布局情况如何？</w:t>
            </w:r>
          </w:p>
          <w:p w14:paraId="6BADF12B" w14:textId="77777777" w:rsidR="003351AB" w:rsidRPr="003351AB" w:rsidRDefault="003351AB" w:rsidP="003351AB">
            <w:pPr>
              <w:spacing w:before="50" w:after="50" w:line="360" w:lineRule="auto"/>
              <w:ind w:firstLineChars="200" w:firstLine="420"/>
              <w:jc w:val="both"/>
              <w:rPr>
                <w:rFonts w:ascii="宋体" w:hAnsi="宋体" w:hint="eastAsia"/>
                <w:bCs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lastRenderedPageBreak/>
              <w:t>镁合金以其低密度、抗冲击性、抗电磁波屏蔽、再生性强等特点成为良好的轻量化材料。镁合金虽减重效果显著，但曾因成本高、技术不成熟、缺乏头部客户应用、耐腐蚀性差、安全生产难题等几大痛点“卡脖子”，导致下游应用无法充分打开。随着限制行业规模化的几大痛点逐渐被消除，同时目前镁铝价格比约0.7，镁合金在下游应用将迎来重大经济价值，下游应用有望加速落地。</w:t>
            </w:r>
          </w:p>
          <w:p w14:paraId="0B09DFCF" w14:textId="77777777" w:rsidR="003351AB" w:rsidRPr="003351AB" w:rsidRDefault="003351AB" w:rsidP="003351AB">
            <w:pPr>
              <w:spacing w:before="50" w:after="50" w:line="360" w:lineRule="auto"/>
              <w:ind w:firstLineChars="200" w:firstLine="420"/>
              <w:jc w:val="both"/>
              <w:rPr>
                <w:rFonts w:ascii="宋体" w:hAnsi="宋体" w:hint="eastAsia"/>
                <w:bCs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总体来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看,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镁合金在汽车轻量化中的应用前景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广阔,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政策护航、技术突破、成本优化与产业链完善将成为推动其发展的核心驱动力。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未来,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随着行业焦点从“能否替代”转向“替代多少”和“如何高质量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替代”,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镁合金将逐步从汽车轻量化的“补充材料”转变为新能源汽车轻量化的“主流材料”。2026-2030年将是镁合金在汽车领域规模化普及的关键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期,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单车用量与市场规模将实现双</w:t>
            </w:r>
            <w:proofErr w:type="gramStart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爆发,</w:t>
            </w:r>
            <w:proofErr w:type="gramEnd"/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应用场景将进一步拓展至主承力结构件、智能部件等领域。</w:t>
            </w:r>
          </w:p>
          <w:p w14:paraId="14DBABF1" w14:textId="2D0DEED9" w:rsidR="003351AB" w:rsidRPr="003351AB" w:rsidRDefault="003351AB" w:rsidP="003351AB">
            <w:pPr>
              <w:spacing w:before="50" w:after="50" w:line="360" w:lineRule="auto"/>
              <w:ind w:firstLineChars="200" w:firstLine="420"/>
              <w:jc w:val="both"/>
              <w:rPr>
                <w:rFonts w:ascii="宋体" w:hAnsi="宋体" w:hint="eastAsia"/>
                <w:bCs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在技术方面，公司研发出耐高温、抗蠕变性能高的镁合金，已经在产品上试制，各项性能指标远超常规合金；在镁合金深加工方面，公司掌握了镁合金电驱壳体结构设计技术、模温实时控制技术、高压点冷技术、模具油道3D打印技术、镁合金铸件超1000小时中性盐雾表面处理技术；在设备方面，公司已经建设镁合金压铸产线20余条，覆盖650-7000T机型，已订购半固态设备从950T-6600T十台，第一台设备已完成安装调试，开始小批量生产。新增镁合金机加工设备100余台，满足中大型电驱系统集成壳体、CCB、汽车四门一盖、汽车后底板等产品的需求；在市场方面，公司与立讯精密、小鹏、通用、大众、上汽乘用车、上汽变速箱、比亚迪等主机厂及一级供应商开展了正式合作，成功开发各类零部件，并逐步量产交付。同时，公司在高端摩托车零部件领域持续发力，为战略客户提供高品质镁合金零部件，主要包括一些壳体和箱盖等，得到了客户高度认可。目前为</w:t>
            </w:r>
            <w:r w:rsidR="009D5818">
              <w:rPr>
                <w:rFonts w:ascii="宋体" w:hAnsi="宋体" w:hint="eastAsia"/>
                <w:bCs/>
                <w:color w:val="000000"/>
                <w:sz w:val="21"/>
                <w:szCs w:val="21"/>
              </w:rPr>
              <w:t>部分客户</w:t>
            </w: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供应镁合金产品单车合计约2.2KG，预计未来可能达到10KG左右。2026年上半年公司实现镁合金收入1,925.96万元，为去年全年944.82万元的两倍，同时预计下半年将持续较大幅度增加。未来随着公司镁合金产品业务量逐步增大，公司将逐步向上游延伸。</w:t>
            </w:r>
          </w:p>
          <w:p w14:paraId="4A6008AD" w14:textId="77777777" w:rsidR="003351AB" w:rsidRPr="003351AB" w:rsidRDefault="003351AB" w:rsidP="003351AB">
            <w:pPr>
              <w:spacing w:before="50" w:after="50" w:line="360" w:lineRule="auto"/>
              <w:ind w:firstLineChars="200" w:firstLine="422"/>
              <w:jc w:val="both"/>
              <w:rPr>
                <w:rFonts w:ascii="宋体" w:hAnsi="宋体" w:hint="eastAsia"/>
                <w:b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color w:val="000000"/>
                <w:sz w:val="21"/>
                <w:szCs w:val="21"/>
              </w:rPr>
              <w:lastRenderedPageBreak/>
              <w:t>3、公司在机器人零部件方面有什么布局？</w:t>
            </w:r>
          </w:p>
          <w:p w14:paraId="6139C3AA" w14:textId="77777777" w:rsidR="003351AB" w:rsidRPr="003351AB" w:rsidRDefault="003351AB" w:rsidP="003351AB">
            <w:pPr>
              <w:spacing w:before="50" w:after="50" w:line="360" w:lineRule="auto"/>
              <w:ind w:firstLineChars="200" w:firstLine="420"/>
              <w:jc w:val="both"/>
              <w:rPr>
                <w:rFonts w:ascii="宋体" w:hAnsi="宋体" w:hint="eastAsia"/>
                <w:bCs/>
                <w:color w:val="000000"/>
                <w:sz w:val="21"/>
                <w:szCs w:val="21"/>
              </w:rPr>
            </w:pPr>
            <w:r w:rsidRPr="003351AB">
              <w:rPr>
                <w:rFonts w:ascii="宋体" w:hAnsi="宋体"/>
                <w:bCs/>
                <w:color w:val="000000"/>
                <w:sz w:val="21"/>
                <w:szCs w:val="21"/>
              </w:rPr>
              <w:t>机器人正从实验室走向产业化临界点，产业正处于从“0到1”的萌芽期，在此关键时期，公司继续聚焦机器人零部件领域战略布局，积极参与机器人零部件产品的同步研发，加快机器人零部件客户拓展和产品矩阵完善。目前已经向客户交付了各类传动件、结构件和连接件产品，覆盖镁合金产品和铝合金产品，但目前业务量较小，占公司营业收入比重较低，对公司利润贡献非常有限。公司高度重视机器人领域的人才梯队建设，通过与高校开展校企联合培养项目，充分利用“永茂泰机器人技术研究院”，引进材料学及相关领域人才，搭建了先进的材料及零部件研发平台，以加速新技术、新产品的孵化，为机器人零部件的研发攻关提供了坚实支撑。未来，随着机器人零部件市场需求的不断释放，公司将通过内生发展+外延并购方式发展机器人零部件业务。</w:t>
            </w:r>
          </w:p>
        </w:tc>
      </w:tr>
      <w:tr w:rsidR="003351AB" w:rsidRPr="003351AB" w14:paraId="59904435" w14:textId="77777777" w:rsidTr="004362C8">
        <w:trPr>
          <w:trHeight w:val="719"/>
          <w:jc w:val="center"/>
        </w:trPr>
        <w:tc>
          <w:tcPr>
            <w:tcW w:w="1428" w:type="dxa"/>
            <w:vAlign w:val="center"/>
          </w:tcPr>
          <w:p w14:paraId="246A7673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lastRenderedPageBreak/>
              <w:t>董事会秘书</w:t>
            </w:r>
          </w:p>
          <w:p w14:paraId="234EDDD1" w14:textId="77777777" w:rsidR="003351AB" w:rsidRPr="003351AB" w:rsidRDefault="003351AB" w:rsidP="003351AB">
            <w:pPr>
              <w:rPr>
                <w:rFonts w:ascii="宋体" w:hAnsi="宋体" w:hint="eastAsia"/>
                <w:b/>
                <w:bCs/>
                <w:sz w:val="21"/>
                <w:szCs w:val="21"/>
              </w:rPr>
            </w:pPr>
            <w:r w:rsidRPr="003351AB">
              <w:rPr>
                <w:rFonts w:ascii="宋体" w:hAnsi="宋体"/>
                <w:b/>
                <w:bCs/>
                <w:sz w:val="21"/>
                <w:szCs w:val="21"/>
              </w:rPr>
              <w:t>签字</w:t>
            </w:r>
          </w:p>
        </w:tc>
        <w:tc>
          <w:tcPr>
            <w:tcW w:w="6903" w:type="dxa"/>
            <w:vAlign w:val="center"/>
          </w:tcPr>
          <w:p w14:paraId="23A05958" w14:textId="77777777" w:rsidR="003351AB" w:rsidRPr="003351AB" w:rsidRDefault="003351AB" w:rsidP="003351AB">
            <w:pPr>
              <w:spacing w:beforeLines="50" w:before="156" w:afterLines="50" w:after="156"/>
              <w:rPr>
                <w:rFonts w:ascii="宋体" w:hAnsi="宋体" w:hint="eastAsia"/>
                <w:b/>
                <w:sz w:val="21"/>
                <w:szCs w:val="21"/>
              </w:rPr>
            </w:pPr>
          </w:p>
        </w:tc>
      </w:tr>
    </w:tbl>
    <w:p w14:paraId="0E958AC9" w14:textId="77777777" w:rsidR="003351AB" w:rsidRPr="003351AB" w:rsidRDefault="003351AB" w:rsidP="003351AB">
      <w:pPr>
        <w:spacing w:after="0" w:line="20" w:lineRule="exact"/>
        <w:jc w:val="both"/>
        <w:rPr>
          <w:rFonts w:ascii="宋体" w:eastAsia="宋体" w:hAnsi="宋体" w:cs="Times New Roman" w:hint="eastAsia"/>
          <w:b/>
          <w:bCs/>
          <w:sz w:val="21"/>
          <w:szCs w:val="21"/>
          <w14:ligatures w14:val="none"/>
        </w:rPr>
      </w:pPr>
    </w:p>
    <w:p w14:paraId="594D30E4" w14:textId="77777777" w:rsidR="006C1D1A" w:rsidRDefault="006C1D1A">
      <w:pPr>
        <w:rPr>
          <w:rFonts w:hint="eastAsia"/>
        </w:rPr>
      </w:pPr>
    </w:p>
    <w:sectPr w:rsidR="006C1D1A" w:rsidSect="003351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4BFC0" w14:textId="77777777" w:rsidR="00A62EAE" w:rsidRDefault="00A62EA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219A8E8" w14:textId="77777777" w:rsidR="00A62EAE" w:rsidRDefault="00A62EA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D201C" w14:textId="77777777" w:rsidR="00A62EAE" w:rsidRDefault="00A62EA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651DEF" w14:textId="77777777" w:rsidR="00A62EAE" w:rsidRDefault="00A62EA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F303A"/>
    <w:multiLevelType w:val="hybridMultilevel"/>
    <w:tmpl w:val="2F3A1E6C"/>
    <w:lvl w:ilvl="0" w:tplc="6DB0832E">
      <w:start w:val="1"/>
      <w:numFmt w:val="decimal"/>
      <w:suff w:val="nothing"/>
      <w:lvlText w:val="%1、"/>
      <w:lvlJc w:val="left"/>
      <w:pPr>
        <w:ind w:left="2203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3007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AB"/>
    <w:rsid w:val="00014631"/>
    <w:rsid w:val="000226A2"/>
    <w:rsid w:val="00023C1A"/>
    <w:rsid w:val="00034001"/>
    <w:rsid w:val="00043719"/>
    <w:rsid w:val="00055FFD"/>
    <w:rsid w:val="00056B87"/>
    <w:rsid w:val="00057EB0"/>
    <w:rsid w:val="0006674D"/>
    <w:rsid w:val="00067322"/>
    <w:rsid w:val="00067438"/>
    <w:rsid w:val="0007036F"/>
    <w:rsid w:val="00075CBC"/>
    <w:rsid w:val="00083DF8"/>
    <w:rsid w:val="00084625"/>
    <w:rsid w:val="00084FE5"/>
    <w:rsid w:val="00097518"/>
    <w:rsid w:val="000A30FC"/>
    <w:rsid w:val="000A3528"/>
    <w:rsid w:val="000B10C0"/>
    <w:rsid w:val="000C1D07"/>
    <w:rsid w:val="000F0922"/>
    <w:rsid w:val="000F18AF"/>
    <w:rsid w:val="000F6317"/>
    <w:rsid w:val="00102773"/>
    <w:rsid w:val="00124DD4"/>
    <w:rsid w:val="00132F6F"/>
    <w:rsid w:val="001345F5"/>
    <w:rsid w:val="00146532"/>
    <w:rsid w:val="001A5906"/>
    <w:rsid w:val="001A6251"/>
    <w:rsid w:val="001C0ED3"/>
    <w:rsid w:val="001E1E36"/>
    <w:rsid w:val="001E6085"/>
    <w:rsid w:val="001E7C0C"/>
    <w:rsid w:val="001F66A1"/>
    <w:rsid w:val="001F6B8B"/>
    <w:rsid w:val="00211B9F"/>
    <w:rsid w:val="0022406C"/>
    <w:rsid w:val="00235BA0"/>
    <w:rsid w:val="0023678E"/>
    <w:rsid w:val="00236BFB"/>
    <w:rsid w:val="00237D0B"/>
    <w:rsid w:val="002402F6"/>
    <w:rsid w:val="00244DA2"/>
    <w:rsid w:val="00245D8A"/>
    <w:rsid w:val="00255A4D"/>
    <w:rsid w:val="0026076F"/>
    <w:rsid w:val="0026616F"/>
    <w:rsid w:val="00272B15"/>
    <w:rsid w:val="002901D1"/>
    <w:rsid w:val="0029506A"/>
    <w:rsid w:val="002A243E"/>
    <w:rsid w:val="002B0569"/>
    <w:rsid w:val="002B1D68"/>
    <w:rsid w:val="002C3CF7"/>
    <w:rsid w:val="002F5233"/>
    <w:rsid w:val="00306F38"/>
    <w:rsid w:val="00315F4E"/>
    <w:rsid w:val="00327C99"/>
    <w:rsid w:val="0033202B"/>
    <w:rsid w:val="00334677"/>
    <w:rsid w:val="003351AB"/>
    <w:rsid w:val="003467C1"/>
    <w:rsid w:val="00353F1B"/>
    <w:rsid w:val="0036283B"/>
    <w:rsid w:val="00373DA1"/>
    <w:rsid w:val="00386C3E"/>
    <w:rsid w:val="003913D8"/>
    <w:rsid w:val="003C29E1"/>
    <w:rsid w:val="003C2ADB"/>
    <w:rsid w:val="003D3309"/>
    <w:rsid w:val="003D5FCC"/>
    <w:rsid w:val="003E4229"/>
    <w:rsid w:val="003F725A"/>
    <w:rsid w:val="00416F66"/>
    <w:rsid w:val="0042195A"/>
    <w:rsid w:val="00447B1C"/>
    <w:rsid w:val="00455536"/>
    <w:rsid w:val="00471A84"/>
    <w:rsid w:val="0047281B"/>
    <w:rsid w:val="00480E92"/>
    <w:rsid w:val="0048769E"/>
    <w:rsid w:val="004931BF"/>
    <w:rsid w:val="004A16A6"/>
    <w:rsid w:val="004A2364"/>
    <w:rsid w:val="004B6E1C"/>
    <w:rsid w:val="004C264F"/>
    <w:rsid w:val="004C46F6"/>
    <w:rsid w:val="004D35B1"/>
    <w:rsid w:val="004F76DA"/>
    <w:rsid w:val="0052566D"/>
    <w:rsid w:val="00535892"/>
    <w:rsid w:val="005501EC"/>
    <w:rsid w:val="00551D04"/>
    <w:rsid w:val="0055297F"/>
    <w:rsid w:val="00574662"/>
    <w:rsid w:val="00575E7B"/>
    <w:rsid w:val="00583B79"/>
    <w:rsid w:val="005A025D"/>
    <w:rsid w:val="005A02C6"/>
    <w:rsid w:val="005D0567"/>
    <w:rsid w:val="005D0C80"/>
    <w:rsid w:val="005E107E"/>
    <w:rsid w:val="005E39AE"/>
    <w:rsid w:val="005E5AA4"/>
    <w:rsid w:val="0060246F"/>
    <w:rsid w:val="00605609"/>
    <w:rsid w:val="0060583B"/>
    <w:rsid w:val="00610355"/>
    <w:rsid w:val="00611ED0"/>
    <w:rsid w:val="00613253"/>
    <w:rsid w:val="00616D8B"/>
    <w:rsid w:val="00617962"/>
    <w:rsid w:val="00620523"/>
    <w:rsid w:val="00626CA6"/>
    <w:rsid w:val="00633823"/>
    <w:rsid w:val="006348DE"/>
    <w:rsid w:val="006360C6"/>
    <w:rsid w:val="00640F2F"/>
    <w:rsid w:val="00647D94"/>
    <w:rsid w:val="006512CA"/>
    <w:rsid w:val="00653606"/>
    <w:rsid w:val="00666D0E"/>
    <w:rsid w:val="0066707D"/>
    <w:rsid w:val="00674013"/>
    <w:rsid w:val="006816F4"/>
    <w:rsid w:val="006824F4"/>
    <w:rsid w:val="00683CD2"/>
    <w:rsid w:val="00692247"/>
    <w:rsid w:val="006B015A"/>
    <w:rsid w:val="006C1D1A"/>
    <w:rsid w:val="006D03E8"/>
    <w:rsid w:val="006E40F8"/>
    <w:rsid w:val="006F2835"/>
    <w:rsid w:val="006F5701"/>
    <w:rsid w:val="0070375B"/>
    <w:rsid w:val="00706282"/>
    <w:rsid w:val="00712995"/>
    <w:rsid w:val="00715C6B"/>
    <w:rsid w:val="007216B9"/>
    <w:rsid w:val="007221EB"/>
    <w:rsid w:val="00722471"/>
    <w:rsid w:val="00735E1E"/>
    <w:rsid w:val="0073647B"/>
    <w:rsid w:val="0074062D"/>
    <w:rsid w:val="00741C62"/>
    <w:rsid w:val="0074775D"/>
    <w:rsid w:val="0076319A"/>
    <w:rsid w:val="007631E9"/>
    <w:rsid w:val="00765038"/>
    <w:rsid w:val="007917DF"/>
    <w:rsid w:val="007969DF"/>
    <w:rsid w:val="00797070"/>
    <w:rsid w:val="007A494D"/>
    <w:rsid w:val="007A5638"/>
    <w:rsid w:val="007B13D1"/>
    <w:rsid w:val="007D2918"/>
    <w:rsid w:val="007D420D"/>
    <w:rsid w:val="007D7B1A"/>
    <w:rsid w:val="007E039A"/>
    <w:rsid w:val="007E50CB"/>
    <w:rsid w:val="007E7CBD"/>
    <w:rsid w:val="00801F7F"/>
    <w:rsid w:val="00803488"/>
    <w:rsid w:val="00810AF4"/>
    <w:rsid w:val="00811AB0"/>
    <w:rsid w:val="008125D4"/>
    <w:rsid w:val="00824824"/>
    <w:rsid w:val="0083176C"/>
    <w:rsid w:val="00860EE9"/>
    <w:rsid w:val="008650D6"/>
    <w:rsid w:val="008853DC"/>
    <w:rsid w:val="008856C8"/>
    <w:rsid w:val="008A12C9"/>
    <w:rsid w:val="008A49DD"/>
    <w:rsid w:val="008A71A2"/>
    <w:rsid w:val="008B244C"/>
    <w:rsid w:val="008B5A58"/>
    <w:rsid w:val="008C3B0F"/>
    <w:rsid w:val="008C3DC9"/>
    <w:rsid w:val="008E5837"/>
    <w:rsid w:val="008E7AB6"/>
    <w:rsid w:val="00913FC9"/>
    <w:rsid w:val="00915D8E"/>
    <w:rsid w:val="00956737"/>
    <w:rsid w:val="00966DFB"/>
    <w:rsid w:val="0097464F"/>
    <w:rsid w:val="009748D7"/>
    <w:rsid w:val="009811E9"/>
    <w:rsid w:val="0098507B"/>
    <w:rsid w:val="00993030"/>
    <w:rsid w:val="00993319"/>
    <w:rsid w:val="009B171A"/>
    <w:rsid w:val="009B67AD"/>
    <w:rsid w:val="009C393E"/>
    <w:rsid w:val="009D5818"/>
    <w:rsid w:val="009F134F"/>
    <w:rsid w:val="00A039C7"/>
    <w:rsid w:val="00A15EB9"/>
    <w:rsid w:val="00A4074E"/>
    <w:rsid w:val="00A4249F"/>
    <w:rsid w:val="00A46EDE"/>
    <w:rsid w:val="00A57BA5"/>
    <w:rsid w:val="00A62EAE"/>
    <w:rsid w:val="00A6684D"/>
    <w:rsid w:val="00A70B76"/>
    <w:rsid w:val="00A91AF2"/>
    <w:rsid w:val="00AA5F37"/>
    <w:rsid w:val="00AB1A9C"/>
    <w:rsid w:val="00AC28D2"/>
    <w:rsid w:val="00AC352A"/>
    <w:rsid w:val="00AC4749"/>
    <w:rsid w:val="00AC6C3A"/>
    <w:rsid w:val="00AE6A3F"/>
    <w:rsid w:val="00AF391D"/>
    <w:rsid w:val="00B03552"/>
    <w:rsid w:val="00B13113"/>
    <w:rsid w:val="00B13BF7"/>
    <w:rsid w:val="00B26D68"/>
    <w:rsid w:val="00B31EAA"/>
    <w:rsid w:val="00B35DFF"/>
    <w:rsid w:val="00B43994"/>
    <w:rsid w:val="00B47393"/>
    <w:rsid w:val="00B504FA"/>
    <w:rsid w:val="00B56F2A"/>
    <w:rsid w:val="00B85718"/>
    <w:rsid w:val="00B87D50"/>
    <w:rsid w:val="00B93D18"/>
    <w:rsid w:val="00B95B58"/>
    <w:rsid w:val="00B96AD8"/>
    <w:rsid w:val="00BB0897"/>
    <w:rsid w:val="00BB1B2B"/>
    <w:rsid w:val="00BC307D"/>
    <w:rsid w:val="00BD3F9B"/>
    <w:rsid w:val="00BE2E28"/>
    <w:rsid w:val="00BE315B"/>
    <w:rsid w:val="00BE583A"/>
    <w:rsid w:val="00BE5886"/>
    <w:rsid w:val="00BE75B3"/>
    <w:rsid w:val="00BF16F0"/>
    <w:rsid w:val="00BF6551"/>
    <w:rsid w:val="00BF7F2D"/>
    <w:rsid w:val="00C0065A"/>
    <w:rsid w:val="00C04681"/>
    <w:rsid w:val="00C04AA0"/>
    <w:rsid w:val="00C212E3"/>
    <w:rsid w:val="00C32081"/>
    <w:rsid w:val="00C4041B"/>
    <w:rsid w:val="00C52770"/>
    <w:rsid w:val="00C73196"/>
    <w:rsid w:val="00C957F7"/>
    <w:rsid w:val="00CB2EAD"/>
    <w:rsid w:val="00CB32B1"/>
    <w:rsid w:val="00CC7488"/>
    <w:rsid w:val="00D20B55"/>
    <w:rsid w:val="00D22454"/>
    <w:rsid w:val="00D33DF0"/>
    <w:rsid w:val="00D36C34"/>
    <w:rsid w:val="00D40023"/>
    <w:rsid w:val="00D41E8A"/>
    <w:rsid w:val="00D53B81"/>
    <w:rsid w:val="00D542F1"/>
    <w:rsid w:val="00D60038"/>
    <w:rsid w:val="00D67B1C"/>
    <w:rsid w:val="00D908F0"/>
    <w:rsid w:val="00DC2A66"/>
    <w:rsid w:val="00DD3D46"/>
    <w:rsid w:val="00E559E5"/>
    <w:rsid w:val="00E57B32"/>
    <w:rsid w:val="00E828D0"/>
    <w:rsid w:val="00E95923"/>
    <w:rsid w:val="00EB4DD3"/>
    <w:rsid w:val="00EC5403"/>
    <w:rsid w:val="00F220BB"/>
    <w:rsid w:val="00F224E1"/>
    <w:rsid w:val="00F24EEB"/>
    <w:rsid w:val="00F32865"/>
    <w:rsid w:val="00F4115B"/>
    <w:rsid w:val="00F5592E"/>
    <w:rsid w:val="00F57075"/>
    <w:rsid w:val="00F65875"/>
    <w:rsid w:val="00F82117"/>
    <w:rsid w:val="00F82714"/>
    <w:rsid w:val="00F909CD"/>
    <w:rsid w:val="00F920FB"/>
    <w:rsid w:val="00F9469B"/>
    <w:rsid w:val="00FA6E44"/>
    <w:rsid w:val="00FC2898"/>
    <w:rsid w:val="00FD78CB"/>
    <w:rsid w:val="00FF04FD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24E13"/>
  <w15:chartTrackingRefBased/>
  <w15:docId w15:val="{9247B8E3-1A3E-4C57-B68A-51B4347D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51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1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1A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1A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1A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1A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1A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1A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51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5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5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51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51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51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51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51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51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51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5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1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51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51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1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51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51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51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3351A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semiHidden/>
    <w:rsid w:val="003351A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3351AB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qFormat/>
    <w:rsid w:val="003351AB"/>
    <w:rPr>
      <w:sz w:val="18"/>
      <w:szCs w:val="18"/>
      <w14:ligatures w14:val="none"/>
    </w:rPr>
  </w:style>
  <w:style w:type="table" w:styleId="af2">
    <w:name w:val="Table Grid"/>
    <w:basedOn w:val="a1"/>
    <w:uiPriority w:val="39"/>
    <w:qFormat/>
    <w:rsid w:val="003351AB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李博</dc:creator>
  <cp:keywords/>
  <dc:description/>
  <cp:lastModifiedBy>曹 李博</cp:lastModifiedBy>
  <cp:revision>3</cp:revision>
  <dcterms:created xsi:type="dcterms:W3CDTF">2026-08-24T07:29:00Z</dcterms:created>
  <dcterms:modified xsi:type="dcterms:W3CDTF">2026-08-24T07:47:00Z</dcterms:modified>
</cp:coreProperties>
</file>