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A9DA7"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证券代码：6</w:t>
      </w:r>
      <w:r>
        <w:rPr>
          <w:rFonts w:ascii="宋体" w:hAnsi="宋体" w:eastAsia="宋体"/>
          <w:b/>
        </w:rPr>
        <w:t xml:space="preserve">05319                                            </w:t>
      </w:r>
      <w:r>
        <w:rPr>
          <w:rFonts w:hint="eastAsia" w:ascii="宋体" w:hAnsi="宋体" w:eastAsia="宋体"/>
          <w:b/>
        </w:rPr>
        <w:t>证券简称：无锡振华</w:t>
      </w:r>
    </w:p>
    <w:p w14:paraId="21241F80">
      <w:pPr>
        <w:rPr>
          <w:rFonts w:ascii="宋体" w:hAnsi="宋体" w:eastAsia="宋体"/>
        </w:rPr>
      </w:pPr>
    </w:p>
    <w:p w14:paraId="06792874">
      <w:pPr>
        <w:rPr>
          <w:rFonts w:ascii="宋体" w:hAnsi="宋体" w:eastAsia="宋体"/>
          <w:b/>
          <w:sz w:val="32"/>
          <w:szCs w:val="36"/>
        </w:rPr>
      </w:pPr>
      <w:r>
        <w:rPr>
          <w:rFonts w:hint="eastAsia" w:ascii="宋体" w:hAnsi="宋体" w:eastAsia="宋体"/>
          <w:b/>
          <w:sz w:val="32"/>
          <w:szCs w:val="36"/>
        </w:rPr>
        <w:t>无锡市振华汽车部件股份有限公司投资者关系活动记录表</w:t>
      </w:r>
    </w:p>
    <w:p w14:paraId="008BB514">
      <w:pPr>
        <w:rPr>
          <w:rFonts w:ascii="宋体" w:hAnsi="宋体" w:eastAsia="宋体"/>
        </w:rPr>
      </w:pPr>
    </w:p>
    <w:p w14:paraId="15E19234">
      <w:pPr>
        <w:rPr>
          <w:rFonts w:hint="eastAsia" w:ascii="宋体" w:hAnsi="宋体" w:eastAsia="宋体"/>
          <w:sz w:val="22"/>
          <w:lang w:eastAsia="zh-CN"/>
        </w:rPr>
      </w:pPr>
      <w:r>
        <w:rPr>
          <w:rFonts w:hint="eastAsia" w:ascii="宋体" w:hAnsi="宋体" w:eastAsia="宋体"/>
          <w:sz w:val="22"/>
        </w:rPr>
        <w:t>编号：2</w:t>
      </w:r>
      <w:r>
        <w:rPr>
          <w:rFonts w:ascii="宋体" w:hAnsi="宋体" w:eastAsia="宋体"/>
          <w:sz w:val="22"/>
        </w:rPr>
        <w:t>0</w:t>
      </w:r>
      <w:r>
        <w:rPr>
          <w:rFonts w:hint="eastAsia" w:ascii="宋体" w:hAnsi="宋体" w:eastAsia="宋体"/>
          <w:sz w:val="22"/>
        </w:rPr>
        <w:t>2</w:t>
      </w:r>
      <w:r>
        <w:rPr>
          <w:rFonts w:hint="eastAsia" w:ascii="宋体" w:hAnsi="宋体" w:eastAsia="宋体"/>
          <w:sz w:val="22"/>
          <w:lang w:val="en-US" w:eastAsia="zh-CN"/>
        </w:rPr>
        <w:t>6</w:t>
      </w:r>
      <w:r>
        <w:rPr>
          <w:rFonts w:ascii="宋体" w:hAnsi="宋体" w:eastAsia="宋体"/>
          <w:sz w:val="22"/>
        </w:rPr>
        <w:t>-</w:t>
      </w:r>
      <w:r>
        <w:rPr>
          <w:rFonts w:hint="eastAsia" w:ascii="宋体" w:hAnsi="宋体" w:eastAsia="宋体"/>
          <w:sz w:val="22"/>
        </w:rPr>
        <w:t>0</w:t>
      </w:r>
      <w:r>
        <w:rPr>
          <w:rFonts w:ascii="宋体" w:hAnsi="宋体" w:eastAsia="宋体"/>
          <w:sz w:val="22"/>
        </w:rPr>
        <w:t>0</w:t>
      </w:r>
      <w:r>
        <w:rPr>
          <w:rFonts w:hint="eastAsia" w:ascii="宋体" w:hAnsi="宋体" w:eastAsia="宋体"/>
          <w:sz w:val="22"/>
          <w:lang w:val="en-US" w:eastAsia="zh-CN"/>
        </w:rPr>
        <w:t>2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7034"/>
      </w:tblGrid>
      <w:tr w14:paraId="06D8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vAlign w:val="center"/>
          </w:tcPr>
          <w:p w14:paraId="1ECA2DA2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投资者关系活动类别</w:t>
            </w:r>
          </w:p>
        </w:tc>
        <w:tc>
          <w:tcPr>
            <w:tcW w:w="11770" w:type="dxa"/>
            <w:vAlign w:val="center"/>
          </w:tcPr>
          <w:p w14:paraId="625B8601">
            <w:pPr>
              <w:spacing w:before="156" w:beforeLines="50" w:after="156" w:afterLines="50" w:line="360" w:lineRule="auto"/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方正舒体" w:hAnsi="宋体" w:eastAsia="方正舒体"/>
                <w:color w:val="333333"/>
                <w:sz w:val="24"/>
                <w:szCs w:val="21"/>
                <w:shd w:val="clear" w:color="auto" w:fill="FFFFFF"/>
              </w:rPr>
              <w:t>■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特定对象调研 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分析师会议</w:t>
            </w:r>
          </w:p>
          <w:p w14:paraId="26103787">
            <w:pPr>
              <w:spacing w:before="156" w:beforeLines="50" w:after="156" w:afterLines="50" w:line="360" w:lineRule="auto"/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□媒体采访 </w:t>
            </w:r>
            <w:r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    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□业绩说明会</w:t>
            </w:r>
          </w:p>
          <w:p w14:paraId="03BDBF4C">
            <w:pPr>
              <w:spacing w:before="156" w:beforeLines="50" w:after="156" w:afterLines="50" w:line="360" w:lineRule="auto"/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□新闻发布会 </w:t>
            </w:r>
            <w:r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□路演活动</w:t>
            </w:r>
          </w:p>
          <w:p w14:paraId="3EF32027">
            <w:pPr>
              <w:spacing w:before="156" w:beforeLines="50" w:after="156" w:afterLines="50"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□现场参观 </w:t>
            </w:r>
            <w:r>
              <w:rPr>
                <w:rFonts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 xml:space="preserve">    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电话会议</w:t>
            </w:r>
          </w:p>
        </w:tc>
      </w:tr>
      <w:tr w14:paraId="052F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2122" w:type="dxa"/>
            <w:vAlign w:val="center"/>
          </w:tcPr>
          <w:p w14:paraId="53873D00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11770" w:type="dxa"/>
            <w:vAlign w:val="center"/>
          </w:tcPr>
          <w:p w14:paraId="4D697E9B">
            <w:pPr>
              <w:spacing w:before="156" w:beforeLines="50" w:after="156" w:afterLines="5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中泰证券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、光大证券、耕霁（上海）、国泰海通、开源证券、中邮证券、中信建投、西部证券、上海申银万国、财通证券、国信证券、上海合晟、山西证券、铜冠投资</w:t>
            </w:r>
          </w:p>
        </w:tc>
      </w:tr>
      <w:tr w14:paraId="5CFF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122" w:type="dxa"/>
            <w:vAlign w:val="center"/>
          </w:tcPr>
          <w:p w14:paraId="2232841F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时间</w:t>
            </w:r>
          </w:p>
        </w:tc>
        <w:tc>
          <w:tcPr>
            <w:tcW w:w="11770" w:type="dxa"/>
            <w:vAlign w:val="center"/>
          </w:tcPr>
          <w:p w14:paraId="3AECB107">
            <w:pPr>
              <w:spacing w:before="156" w:beforeLines="50" w:after="156" w:afterLines="50"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</w:t>
            </w:r>
            <w:r>
              <w:rPr>
                <w:rFonts w:ascii="宋体" w:hAnsi="宋体" w:eastAsia="宋体"/>
                <w:sz w:val="24"/>
              </w:rPr>
              <w:t>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</w:rPr>
              <w:t>年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</w:tc>
      </w:tr>
      <w:tr w14:paraId="5A1F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vAlign w:val="center"/>
          </w:tcPr>
          <w:p w14:paraId="6B1C1BE1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地点</w:t>
            </w:r>
          </w:p>
        </w:tc>
        <w:tc>
          <w:tcPr>
            <w:tcW w:w="11770" w:type="dxa"/>
            <w:vAlign w:val="center"/>
          </w:tcPr>
          <w:p w14:paraId="4577ADBD">
            <w:pPr>
              <w:spacing w:before="156" w:beforeLines="50" w:after="156" w:afterLines="50"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公司会议室</w:t>
            </w:r>
          </w:p>
        </w:tc>
      </w:tr>
      <w:tr w14:paraId="756E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vAlign w:val="center"/>
          </w:tcPr>
          <w:p w14:paraId="50BEB6BF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11770" w:type="dxa"/>
            <w:vAlign w:val="center"/>
          </w:tcPr>
          <w:p w14:paraId="59944CB9">
            <w:pPr>
              <w:spacing w:before="156" w:beforeLines="50" w:after="156" w:afterLines="50"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公司董事会秘书、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财务总监、</w:t>
            </w:r>
            <w:r>
              <w:rPr>
                <w:rFonts w:hint="eastAsia" w:ascii="宋体" w:hAnsi="宋体" w:eastAsia="宋体"/>
                <w:sz w:val="24"/>
              </w:rPr>
              <w:t>证券事务代表</w:t>
            </w:r>
          </w:p>
        </w:tc>
      </w:tr>
      <w:tr w14:paraId="0D499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vAlign w:val="center"/>
          </w:tcPr>
          <w:p w14:paraId="4FBE2B0A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投资者关系活动主要内容介绍</w:t>
            </w:r>
          </w:p>
        </w:tc>
        <w:tc>
          <w:tcPr>
            <w:tcW w:w="11770" w:type="dxa"/>
            <w:vAlign w:val="center"/>
          </w:tcPr>
          <w:p w14:paraId="4B7B66F7">
            <w:pPr>
              <w:spacing w:before="156" w:beforeLines="50" w:after="156" w:afterLines="50" w:line="360" w:lineRule="auto"/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投资者关系活动主要内容介绍：</w:t>
            </w:r>
          </w:p>
          <w:p w14:paraId="0DF23B78">
            <w:pPr>
              <w:spacing w:before="156" w:beforeLines="50" w:after="156" w:afterLines="50" w:line="360" w:lineRule="auto"/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一、</w:t>
            </w:r>
            <w:r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证券事务代表</w:t>
            </w:r>
            <w:r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简单介绍公司的基本情况；</w:t>
            </w:r>
          </w:p>
          <w:p w14:paraId="30E2AF3F">
            <w:pPr>
              <w:spacing w:before="156" w:beforeLines="50" w:after="156" w:afterLines="50" w:line="360" w:lineRule="auto"/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4"/>
                <w:szCs w:val="24"/>
                <w:shd w:val="clear" w:color="auto" w:fill="FFFFFF"/>
              </w:rPr>
              <w:t>二、公司领导主要就以下问题和投资者进行了交流：</w:t>
            </w:r>
          </w:p>
          <w:p w14:paraId="49EB3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60" w:lineRule="auto"/>
              <w:ind w:firstLine="482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问题1：根据公司公告，上半年拟收购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无锡德维嘉未在半年报中有所体现，请公司介绍德维嘉进展情况和财务情况。</w:t>
            </w:r>
          </w:p>
          <w:p w14:paraId="48414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60" w:lineRule="auto"/>
              <w:ind w:firstLine="48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答：关于德维嘉的收购进展，各项手续都在有序推进，因为未在6月30日前完成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工商变更。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因此，没有合并到公司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半年度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报表中。根据天健会计师事务所前期对德维嘉进行的审计，2025年度全年营收1.19亿元，截至2026年2月28日的营收0.13亿元，结合其所在的行业特点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《【招商电子】汽车线束与连接器行业深度专题：技术变革推动产业扩容与重构，国产替代及出海迎发展契机》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的相关观点，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我们认为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一是随着智能化和自动驾驶深入，信号线束在单车上的价值量将大幅提升，未来市场是增量市场；二是在客户端发挥协同效应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，形成有效增量。</w:t>
            </w:r>
          </w:p>
          <w:p w14:paraId="75B7E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6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2695A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2" w:firstLineChars="20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问题2：目前，关于车用功率半导体组件进展如何？在车载功率半导体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组件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之外，是否有其他领域的规划？</w:t>
            </w:r>
          </w:p>
          <w:p w14:paraId="1B6D5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答：无锡开祥已获取上汽英飞凌汽车功率半导体（上海）有限公司功率半导体电镀底板产品的定点通知，相关产品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研发试制都在有序推进中。具体情况公司将根据客户的要求进行实时跟进。</w:t>
            </w:r>
          </w:p>
          <w:p w14:paraId="22874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目前，公司将继续聚焦主营业务，暂时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没有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计划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。</w:t>
            </w:r>
          </w:p>
          <w:p w14:paraId="1272E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</w:p>
          <w:p w14:paraId="5A905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2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问题3：与小米汽车的合作情况请简单介绍一下。</w:t>
            </w:r>
          </w:p>
          <w:p w14:paraId="2E486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公司和小米汽车构建了良好的合作关系，子公司廊坊工厂主要为小米汽车配套服务，提供车身零部件。具体合作内容因受客户保密协议限制，不便具体展开。</w:t>
            </w:r>
          </w:p>
          <w:p w14:paraId="48960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</w:pPr>
          </w:p>
          <w:p w14:paraId="1CAB0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2" w:firstLineChars="20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问题4：目前车企竞争压力凸显，关于年降贵公司有什么看法。</w:t>
            </w:r>
          </w:p>
          <w:p w14:paraId="3E0EA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答：当前整车市场竞争加剧，年降压力向上游传导，是整个零部件行业共同面临的挑战。</w:t>
            </w:r>
          </w:p>
          <w:p w14:paraId="2273E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公司和客户保持常态化年度价格协商，一方面积极做好商务沟通，争取合理的价格水平；另一方面内部深挖降本潜力，同时加快高附加值新产品导入，优化产品结构，多措并举对冲年降带来的影响。公司会持续密切跟踪行业及客户的变化，做好风险研判与经营预案。</w:t>
            </w:r>
            <w:bookmarkStart w:id="0" w:name="_GoBack"/>
            <w:bookmarkEnd w:id="0"/>
          </w:p>
          <w:p w14:paraId="030E89AB">
            <w:pPr>
              <w:spacing w:before="156" w:beforeLines="50" w:after="156" w:afterLines="50" w:line="360" w:lineRule="auto"/>
              <w:ind w:firstLine="480" w:firstLineChars="2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791E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vAlign w:val="center"/>
          </w:tcPr>
          <w:p w14:paraId="3E6E697C">
            <w:pPr>
              <w:spacing w:before="156" w:beforeLines="50" w:after="156" w:afterLines="50"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1"/>
                <w:shd w:val="clear" w:color="auto" w:fill="FFFFFF"/>
              </w:rPr>
              <w:t>附件清单（如有）</w:t>
            </w:r>
          </w:p>
        </w:tc>
        <w:tc>
          <w:tcPr>
            <w:tcW w:w="11770" w:type="dxa"/>
            <w:vAlign w:val="center"/>
          </w:tcPr>
          <w:p w14:paraId="73DA9B2E">
            <w:pPr>
              <w:spacing w:before="156" w:beforeLines="50" w:after="156" w:afterLines="50" w:line="360" w:lineRule="auto"/>
              <w:rPr>
                <w:rFonts w:ascii="宋体" w:hAnsi="宋体" w:eastAsia="宋体"/>
                <w:sz w:val="24"/>
              </w:rPr>
            </w:pPr>
          </w:p>
        </w:tc>
      </w:tr>
    </w:tbl>
    <w:p w14:paraId="27D07313">
      <w:pPr>
        <w:rPr>
          <w:rFonts w:ascii="宋体" w:hAnsi="宋体" w:eastAsia="宋体"/>
        </w:rPr>
      </w:pPr>
    </w:p>
    <w:sectPr>
      <w:headerReference r:id="rId3" w:type="default"/>
      <w:pgSz w:w="11906" w:h="16838"/>
      <w:pgMar w:top="1440" w:right="1800" w:bottom="1440" w:left="1800" w:header="113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F28A6">
    <w:pPr>
      <w:pBdr>
        <w:bottom w:val="single" w:color="auto" w:sz="4" w:space="1"/>
      </w:pBd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-521970</wp:posOffset>
          </wp:positionV>
          <wp:extent cx="1919605" cy="875030"/>
          <wp:effectExtent l="0" t="0" r="0" b="0"/>
          <wp:wrapNone/>
          <wp:docPr id="1" name="图片 1" descr="8fd993626a1c955a0c79e07e754af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8fd993626a1c955a0c79e07e754afc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0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13"/>
    <w:rsid w:val="000273CA"/>
    <w:rsid w:val="000336DE"/>
    <w:rsid w:val="00047747"/>
    <w:rsid w:val="000903A9"/>
    <w:rsid w:val="000C1DA3"/>
    <w:rsid w:val="000C6940"/>
    <w:rsid w:val="000E45E3"/>
    <w:rsid w:val="00134A3F"/>
    <w:rsid w:val="00154AA6"/>
    <w:rsid w:val="00156D4A"/>
    <w:rsid w:val="00167410"/>
    <w:rsid w:val="00171F0E"/>
    <w:rsid w:val="00183B0A"/>
    <w:rsid w:val="00186666"/>
    <w:rsid w:val="0019458A"/>
    <w:rsid w:val="0021206D"/>
    <w:rsid w:val="00223104"/>
    <w:rsid w:val="00230864"/>
    <w:rsid w:val="002F28F7"/>
    <w:rsid w:val="002F3FF0"/>
    <w:rsid w:val="00315152"/>
    <w:rsid w:val="00366ABF"/>
    <w:rsid w:val="003B77E3"/>
    <w:rsid w:val="00407335"/>
    <w:rsid w:val="004173D8"/>
    <w:rsid w:val="0042604A"/>
    <w:rsid w:val="0042742C"/>
    <w:rsid w:val="00446E24"/>
    <w:rsid w:val="00457EFC"/>
    <w:rsid w:val="004A6D2F"/>
    <w:rsid w:val="004A74DE"/>
    <w:rsid w:val="004B26BF"/>
    <w:rsid w:val="004C4132"/>
    <w:rsid w:val="004E1980"/>
    <w:rsid w:val="00501EE5"/>
    <w:rsid w:val="00537F4E"/>
    <w:rsid w:val="0054491A"/>
    <w:rsid w:val="00596737"/>
    <w:rsid w:val="005E04FB"/>
    <w:rsid w:val="005E4DEA"/>
    <w:rsid w:val="00602ED9"/>
    <w:rsid w:val="006346D6"/>
    <w:rsid w:val="0065612F"/>
    <w:rsid w:val="006F3C51"/>
    <w:rsid w:val="00714450"/>
    <w:rsid w:val="0075293E"/>
    <w:rsid w:val="007F44B3"/>
    <w:rsid w:val="00801E22"/>
    <w:rsid w:val="00814313"/>
    <w:rsid w:val="00830131"/>
    <w:rsid w:val="0084615A"/>
    <w:rsid w:val="00875F2D"/>
    <w:rsid w:val="008A603D"/>
    <w:rsid w:val="00972391"/>
    <w:rsid w:val="009A7FBF"/>
    <w:rsid w:val="00A94248"/>
    <w:rsid w:val="00AA5968"/>
    <w:rsid w:val="00AF2BC8"/>
    <w:rsid w:val="00B14E40"/>
    <w:rsid w:val="00B31305"/>
    <w:rsid w:val="00B96124"/>
    <w:rsid w:val="00C43E67"/>
    <w:rsid w:val="00CB1FC0"/>
    <w:rsid w:val="00CE2D90"/>
    <w:rsid w:val="00CF364A"/>
    <w:rsid w:val="00D7362F"/>
    <w:rsid w:val="00DB0729"/>
    <w:rsid w:val="00DC4660"/>
    <w:rsid w:val="00E02BEC"/>
    <w:rsid w:val="00E03891"/>
    <w:rsid w:val="00E76295"/>
    <w:rsid w:val="00E94ED3"/>
    <w:rsid w:val="00F664A0"/>
    <w:rsid w:val="00F722B0"/>
    <w:rsid w:val="00FA5EA5"/>
    <w:rsid w:val="02D16805"/>
    <w:rsid w:val="12E806A4"/>
    <w:rsid w:val="187E71CC"/>
    <w:rsid w:val="18EB39E0"/>
    <w:rsid w:val="204126A8"/>
    <w:rsid w:val="213B02EA"/>
    <w:rsid w:val="22DA76F9"/>
    <w:rsid w:val="256D30C5"/>
    <w:rsid w:val="28A644E9"/>
    <w:rsid w:val="28B24AEB"/>
    <w:rsid w:val="2A1831C5"/>
    <w:rsid w:val="2A381D24"/>
    <w:rsid w:val="363E31FA"/>
    <w:rsid w:val="48164013"/>
    <w:rsid w:val="504C007A"/>
    <w:rsid w:val="55413E7C"/>
    <w:rsid w:val="611C5290"/>
    <w:rsid w:val="61FC4D7A"/>
    <w:rsid w:val="6E1A5FEC"/>
    <w:rsid w:val="6E51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546195cf-69e2-4bf8-b8eb-fd8aeaaa95de</errorID>
      <errorWord>铜</errorWord>
      <group>L1_Word</group>
      <groupName>字词问题</groupName>
      <ability>L2_Typo</ability>
      <abilityName>字词错误</abilityName>
      <candidateList>
        <item>永</item>
      </candidateList>
      <explain>存在发音相近字词的误用。</explain>
      <paraID>4D697E9B</paraID>
      <start>69</start>
      <end>70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8b4dee-2dcf-4998-91d8-406965828f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1115</Words>
  <Characters>1157</Characters>
  <Lines>10</Lines>
  <Paragraphs>2</Paragraphs>
  <TotalTime>9</TotalTime>
  <ScaleCrop>false</ScaleCrop>
  <LinksUpToDate>false</LinksUpToDate>
  <CharactersWithSpaces>1215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2023-02-17T00:44:00Z</dcterms:created>
  <dc:creator>秦宇蒙</dc:creator>
  <cp:lastModifiedBy>Roll</cp:lastModifiedBy>
  <cp:lastPrinted>2025-03-19T06:08:00Z</cp:lastPrinted>
  <dcterms:modified xsi:type="dcterms:W3CDTF">2026-08-25T07:11:46Z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eyJoZGlkIjoiNWQ3YjU5ZjljNWM2M2I2NjlhODc0YWIwZDk0ZjMyZDYiLCJ1c2VySWQiOiI3MjA1ODAxMjgifQ==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60294A255D99438A9BD9D07382626A0F_12</vt:lpwstr>
  </property>
</Properties>
</file>