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B8DE5" w14:textId="5C19FB24" w:rsidR="006360A4" w:rsidRPr="004E4858" w:rsidRDefault="006360A4" w:rsidP="006360A4">
      <w:pPr>
        <w:spacing w:line="560" w:lineRule="exact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4E4858">
        <w:rPr>
          <w:rFonts w:ascii="Times New Roman" w:hAnsi="Times New Roman"/>
          <w:bCs/>
          <w:iCs/>
          <w:color w:val="000000"/>
          <w:sz w:val="24"/>
          <w:szCs w:val="24"/>
        </w:rPr>
        <w:t>证券代码：</w:t>
      </w:r>
      <w:r w:rsidRPr="004E4858">
        <w:rPr>
          <w:rFonts w:ascii="Times New Roman" w:hAnsi="Times New Roman"/>
          <w:bCs/>
          <w:iCs/>
          <w:color w:val="000000"/>
          <w:sz w:val="24"/>
          <w:szCs w:val="24"/>
        </w:rPr>
        <w:t xml:space="preserve">600998                                     </w:t>
      </w:r>
      <w:r w:rsidRPr="004E4858">
        <w:rPr>
          <w:rFonts w:ascii="Times New Roman" w:hAnsi="Times New Roman"/>
          <w:bCs/>
          <w:iCs/>
          <w:color w:val="000000"/>
          <w:sz w:val="24"/>
          <w:szCs w:val="24"/>
        </w:rPr>
        <w:t>证券简称：九州通</w:t>
      </w:r>
    </w:p>
    <w:p w14:paraId="7A13753E" w14:textId="346F648E" w:rsidR="006360A4" w:rsidRPr="004E4858" w:rsidRDefault="006360A4" w:rsidP="006360A4">
      <w:pPr>
        <w:spacing w:line="560" w:lineRule="exact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14:paraId="13734400" w14:textId="78233775" w:rsidR="0049655C" w:rsidRPr="004E4858" w:rsidRDefault="0049655C" w:rsidP="0049655C">
      <w:pPr>
        <w:spacing w:line="560" w:lineRule="exact"/>
        <w:jc w:val="center"/>
        <w:rPr>
          <w:rFonts w:ascii="Times New Roman" w:hAnsi="Times New Roman"/>
          <w:b/>
          <w:iCs/>
          <w:color w:val="000000"/>
          <w:sz w:val="44"/>
          <w:szCs w:val="44"/>
        </w:rPr>
      </w:pPr>
      <w:r w:rsidRPr="004E4858">
        <w:rPr>
          <w:rFonts w:ascii="Times New Roman" w:hAnsi="Times New Roman"/>
          <w:b/>
          <w:iCs/>
          <w:color w:val="000000"/>
          <w:sz w:val="44"/>
          <w:szCs w:val="44"/>
        </w:rPr>
        <w:t>九州通医药集团股份有限公司</w:t>
      </w:r>
    </w:p>
    <w:p w14:paraId="29C83099" w14:textId="56A926AF" w:rsidR="0049655C" w:rsidRDefault="0049655C" w:rsidP="0049655C">
      <w:pPr>
        <w:spacing w:line="560" w:lineRule="exact"/>
        <w:jc w:val="center"/>
        <w:rPr>
          <w:rFonts w:ascii="Times New Roman" w:hAnsi="Times New Roman"/>
          <w:b/>
          <w:iCs/>
          <w:color w:val="000000"/>
          <w:sz w:val="44"/>
          <w:szCs w:val="44"/>
        </w:rPr>
      </w:pPr>
      <w:r w:rsidRPr="004E4858">
        <w:rPr>
          <w:rFonts w:ascii="Times New Roman" w:hAnsi="Times New Roman"/>
          <w:b/>
          <w:iCs/>
          <w:color w:val="000000"/>
          <w:sz w:val="44"/>
          <w:szCs w:val="44"/>
        </w:rPr>
        <w:t>投资者关系活动记录表</w:t>
      </w:r>
    </w:p>
    <w:p w14:paraId="323DDC05" w14:textId="47AB99B6" w:rsidR="007B42AA" w:rsidRPr="007B42AA" w:rsidRDefault="007B42AA" w:rsidP="007B42AA">
      <w:pPr>
        <w:pStyle w:val="a0"/>
        <w:jc w:val="center"/>
        <w:rPr>
          <w:rFonts w:ascii="Times New Roman" w:hAnsi="Times New Roman"/>
          <w:bCs/>
          <w:iCs/>
          <w:color w:val="000000"/>
          <w:sz w:val="36"/>
          <w:szCs w:val="36"/>
        </w:rPr>
      </w:pP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（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2026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年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8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月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26</w:t>
      </w:r>
      <w:r w:rsidRPr="007B42AA">
        <w:rPr>
          <w:rFonts w:ascii="Times New Roman" w:hAnsi="Times New Roman" w:hint="eastAsia"/>
          <w:bCs/>
          <w:iCs/>
          <w:color w:val="000000"/>
          <w:sz w:val="36"/>
          <w:szCs w:val="36"/>
        </w:rPr>
        <w:t>日）</w:t>
      </w:r>
    </w:p>
    <w:p w14:paraId="2FB44260" w14:textId="58C19CF3" w:rsidR="0049655C" w:rsidRPr="004E4858" w:rsidRDefault="0049655C" w:rsidP="00D8011A">
      <w:pPr>
        <w:adjustRightInd w:val="0"/>
        <w:snapToGrid w:val="0"/>
        <w:spacing w:line="560" w:lineRule="exact"/>
        <w:jc w:val="center"/>
        <w:rPr>
          <w:rFonts w:ascii="Times New Roman" w:hAnsi="Times New Roman"/>
          <w:bCs/>
          <w:iCs/>
          <w:color w:val="000000"/>
          <w:sz w:val="32"/>
          <w:szCs w:val="32"/>
        </w:rPr>
      </w:pPr>
      <w:r w:rsidRPr="004E4858">
        <w:rPr>
          <w:rFonts w:ascii="Times New Roman" w:hAnsi="Times New Roman"/>
          <w:bCs/>
          <w:iCs/>
          <w:color w:val="000000"/>
          <w:sz w:val="32"/>
          <w:szCs w:val="32"/>
        </w:rPr>
        <w:t xml:space="preserve">                                                                 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6967"/>
      </w:tblGrid>
      <w:tr w:rsidR="0049655C" w:rsidRPr="004E4858" w14:paraId="036094A5" w14:textId="77777777" w:rsidTr="004D2380">
        <w:trPr>
          <w:trHeight w:val="173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0692" w14:textId="315C055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投资者关系活动类别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F16B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特定对象调研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分析师会议</w:t>
            </w:r>
          </w:p>
          <w:p w14:paraId="42EA82AB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媒体采访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业绩说明会</w:t>
            </w:r>
          </w:p>
          <w:p w14:paraId="39A3AA12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新闻发布会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路演活动</w:t>
            </w:r>
          </w:p>
          <w:p w14:paraId="56C0471C" w14:textId="77777777" w:rsidR="0049655C" w:rsidRPr="004E4858" w:rsidRDefault="0049655C" w:rsidP="00D65FFF">
            <w:pPr>
              <w:tabs>
                <w:tab w:val="left" w:pos="3045"/>
                <w:tab w:val="center" w:pos="3199"/>
              </w:tabs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□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现场参观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ab/>
            </w:r>
          </w:p>
          <w:p w14:paraId="2974DD75" w14:textId="0E4F194D" w:rsidR="0049655C" w:rsidRPr="004E4858" w:rsidRDefault="00D2786D" w:rsidP="00D65FFF">
            <w:pPr>
              <w:tabs>
                <w:tab w:val="center" w:pos="3199"/>
              </w:tabs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√</w:t>
            </w:r>
            <w:r w:rsidR="0049655C" w:rsidRPr="004E4858">
              <w:rPr>
                <w:rFonts w:ascii="Times New Roman" w:hAnsi="Times New Roman"/>
                <w:color w:val="000000"/>
                <w:sz w:val="24"/>
                <w:szCs w:val="24"/>
              </w:rPr>
              <w:t>其他（</w:t>
            </w:r>
            <w:r w:rsidR="0049655C" w:rsidRPr="004E48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2026</w:t>
            </w:r>
            <w:r w:rsidR="0049655C" w:rsidRPr="004E48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年半年度业绩</w:t>
            </w:r>
            <w:r w:rsidRPr="004E48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电话会</w:t>
            </w:r>
            <w:r w:rsidR="0049655C" w:rsidRPr="004E4858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）</w:t>
            </w:r>
          </w:p>
        </w:tc>
      </w:tr>
      <w:tr w:rsidR="0049655C" w:rsidRPr="004E4858" w14:paraId="02A3D50B" w14:textId="77777777" w:rsidTr="00265AE6">
        <w:trPr>
          <w:trHeight w:val="215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327D4" w14:textId="4F0AE65D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参与单位名称及人员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604D3" w14:textId="33F0A0F2" w:rsidR="0049655C" w:rsidRPr="004E4858" w:rsidRDefault="00D2786D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中信建投、中邮证券、中信证券、银河证券、兴业证券、华泰证券、东北证券、中金公司、天风证券、东吴证券、光大证券、西部证券、开源证券、华创证券、华安证券、国联民生、浙商证券、广发证券、国盛证券、招商证券</w:t>
            </w:r>
            <w:r w:rsidR="00265AE6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265AE6" w:rsidRPr="00214DE5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中银资管、东方资管、长城基金、申万菱信基金、摩根士丹利、银河基金</w:t>
            </w:r>
            <w:r w:rsidR="00265AE6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、</w:t>
            </w:r>
            <w:r w:rsidR="00265AE6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U</w:t>
            </w:r>
            <w:r w:rsidR="00265AE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BS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等机构（排名不分先后）</w:t>
            </w:r>
          </w:p>
        </w:tc>
      </w:tr>
      <w:tr w:rsidR="0049655C" w:rsidRPr="004E4858" w14:paraId="43DA395E" w14:textId="77777777" w:rsidTr="00DB031B">
        <w:trPr>
          <w:trHeight w:val="41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0B7EC" w14:textId="2AE4F279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时间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5199" w14:textId="1515546B" w:rsidR="0049655C" w:rsidRPr="004E4858" w:rsidRDefault="00D2786D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25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日</w:t>
            </w:r>
            <w:r w:rsidR="00932394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（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星期二</w:t>
            </w:r>
            <w:r w:rsidR="00932394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）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9:00-10:00</w:t>
            </w:r>
          </w:p>
        </w:tc>
      </w:tr>
      <w:tr w:rsidR="0049655C" w:rsidRPr="004E4858" w14:paraId="5E0C4379" w14:textId="77777777" w:rsidTr="00DB031B">
        <w:trPr>
          <w:trHeight w:val="4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B360" w14:textId="3A30C974" w:rsidR="0049655C" w:rsidRPr="004E4858" w:rsidRDefault="00BF5C78" w:rsidP="00BF5C78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平台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64B86" w14:textId="20D3C2C7" w:rsidR="0049655C" w:rsidRPr="004E4858" w:rsidRDefault="00D2786D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中信建投进门财经平台</w:t>
            </w:r>
          </w:p>
        </w:tc>
      </w:tr>
      <w:tr w:rsidR="0049655C" w:rsidRPr="004E4858" w14:paraId="2F1EE162" w14:textId="77777777" w:rsidTr="00BC676F">
        <w:trPr>
          <w:trHeight w:val="55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55319" w14:textId="7F186438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上市公司接待人员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3897" w14:textId="65C9B210" w:rsidR="0049655C" w:rsidRPr="004E4858" w:rsidRDefault="00D2786D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九州通高管团队</w:t>
            </w:r>
          </w:p>
        </w:tc>
      </w:tr>
      <w:tr w:rsidR="0049655C" w:rsidRPr="004E4858" w14:paraId="22193CD5" w14:textId="77777777" w:rsidTr="00BF5C7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92F10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投资者关系活动主要内容介绍</w:t>
            </w:r>
          </w:p>
          <w:p w14:paraId="314F5713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FAAA4" w14:textId="67CA8959" w:rsidR="00A17D73" w:rsidRPr="004E4858" w:rsidRDefault="00A17D73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1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</w:t>
            </w:r>
            <w:r w:rsidR="00A33C6B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九州通</w:t>
            </w:r>
            <w:r w:rsidR="00A33C6B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AI</w:t>
            </w:r>
            <w:r w:rsidR="00A33C6B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数字化降本增效成果有哪些？</w:t>
            </w:r>
            <w:r w:rsidR="00C0424B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  <w:p w14:paraId="4BCC3AB6" w14:textId="32E2FFDF" w:rsidR="0049655C" w:rsidRPr="004E4858" w:rsidRDefault="00A17D73" w:rsidP="00116855">
            <w:pPr>
              <w:spacing w:line="400" w:lineRule="exact"/>
              <w:ind w:firstLineChars="200" w:firstLine="480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回答：公司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数字化及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智能化成果显著。数字化方面，公司继续推进数字化及专项项目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79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项，其中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59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项已进入系统开发阶段。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智能化方面，公司在院内已实现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个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应用场景建设，并通过此类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场景应用促使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SPD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医院端高拍仪成本降低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90%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，入库效率提升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倍，智能补货操作时间减少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80%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；同时，公司对标国家卫健委发布的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84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项医疗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应用场景，除已实现的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个院内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应用场景外，还有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53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个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场景采用自建及合作模式已在规划推进中。此外，公司在院外已实现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75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个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AI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应用场景，覆盖采购、开票、质管、财务、物流等核心岗位，公司运营效率平均提升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40%</w:t>
            </w:r>
            <w:r w:rsidR="000126F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以上。目前，公司已实现从单点工具到数智化平台化能力的跨越，数智化价值转化成效显著，有力支撑公司整体降本增效与经营提质。</w:t>
            </w:r>
          </w:p>
          <w:p w14:paraId="7CCE1F01" w14:textId="33107384" w:rsidR="00C0424B" w:rsidRPr="004E4858" w:rsidRDefault="00C0424B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lastRenderedPageBreak/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2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：公司如何看待零售药店健康驿站转型，如何为加盟店提供专业化支持？</w:t>
            </w:r>
          </w:p>
          <w:p w14:paraId="4A10AD1D" w14:textId="280197F7" w:rsidR="00C0424B" w:rsidRPr="004E4858" w:rsidRDefault="00C0424B" w:rsidP="00116855">
            <w:pPr>
              <w:pStyle w:val="a0"/>
              <w:spacing w:line="400" w:lineRule="exact"/>
              <w:ind w:firstLineChars="200" w:firstLine="48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回</w:t>
            </w:r>
            <w:r w:rsidR="00957394"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答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：截至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月底，好药师直营及加盟药店门店总数已达</w:t>
            </w:r>
            <w:r w:rsidRPr="0043686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36,120</w:t>
            </w:r>
            <w:r w:rsidRPr="0043686C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家，覆盖全国</w:t>
            </w:r>
            <w:r w:rsidRPr="0043686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31</w:t>
            </w:r>
            <w:r w:rsidRPr="0043686C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个省市自治区、</w:t>
            </w:r>
            <w:r w:rsidRPr="0043686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293</w:t>
            </w:r>
            <w:r w:rsidRPr="0043686C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个地级市、</w:t>
            </w:r>
            <w:r w:rsidRPr="0043686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1,869</w:t>
            </w:r>
            <w:r w:rsidRPr="0043686C">
              <w:rPr>
                <w:rFonts w:ascii="Times New Roman" w:hAnsi="Times New Roman" w:hint="eastAsia"/>
                <w:bCs/>
                <w:iCs/>
                <w:color w:val="000000"/>
                <w:sz w:val="24"/>
                <w:szCs w:val="24"/>
              </w:rPr>
              <w:t>个区县</w:t>
            </w:r>
            <w:r w:rsidRPr="002C2F3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，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实现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千城万店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，形成布局全国的万店加盟服务网络。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年上半年，公司向加盟药店的销售规模保持较快增长，实现销售收入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42.10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亿元（含税），同比增长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23.17%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，近三年复合增长率达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36.87%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，规模增长与发展质量同步提升。</w:t>
            </w:r>
          </w:p>
          <w:p w14:paraId="6777B90F" w14:textId="77777777" w:rsidR="00C0424B" w:rsidRPr="004E4858" w:rsidRDefault="00C0424B" w:rsidP="00116855">
            <w:pPr>
              <w:pStyle w:val="a0"/>
              <w:spacing w:line="400" w:lineRule="exact"/>
              <w:ind w:firstLineChars="200" w:firstLine="48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公司积极响应国家促进药品零售行业高质量发展政策导向，持续推动零售门店从传统药品售卖向综合健康服务升级，探索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诊所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+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药店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协同业态，打造集诊疗服务、药品销售、健康管理、护理服务于一体的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健康驿站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便民健康服务综合体；报告期内，公司已有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60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家健康驿站（含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三医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大药房）建成并投入运营。同时，好药师积极探索即时零售创新模式，夯实即时零售服务能力，大力推进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闪电仓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等新业态落地，实现门店由传统交易卖场向专业化履约中心转型，进一步丰富直营模式矩阵。</w:t>
            </w:r>
          </w:p>
          <w:p w14:paraId="1698DFDA" w14:textId="233FF3C6" w:rsidR="00C0424B" w:rsidRPr="004E4858" w:rsidRDefault="00C0424B" w:rsidP="00116855">
            <w:pPr>
              <w:pStyle w:val="a0"/>
              <w:spacing w:line="400" w:lineRule="exact"/>
              <w:ind w:firstLineChars="200" w:firstLine="480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好药师大药房综合厂家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KA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政策、独家品种、即时零售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O2O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、商业保险、远程诊疗等核心优势，持续赋能线下加盟门店，不断提升其综合经营能力，为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C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端消费者提供线上线下融合的全场景健康零售服务。</w:t>
            </w:r>
          </w:p>
          <w:p w14:paraId="34BB1894" w14:textId="77777777" w:rsidR="00C0424B" w:rsidRPr="004E4858" w:rsidRDefault="00C0424B" w:rsidP="00116855">
            <w:pPr>
              <w:pStyle w:val="a0"/>
              <w:spacing w:line="400" w:lineRule="exact"/>
              <w:ind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4F5248B" w14:textId="6BF842A7" w:rsidR="0049655C" w:rsidRPr="004E4858" w:rsidRDefault="00C0424B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3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：公司新医疗战略有哪些重要成果？未来</w:t>
            </w:r>
            <w:r w:rsidR="00957394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规划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如何？</w:t>
            </w:r>
            <w:r w:rsidR="00957394"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  <w:p w14:paraId="552D7F31" w14:textId="4643A89E" w:rsidR="00957394" w:rsidRPr="00EC6B0D" w:rsidRDefault="00957394" w:rsidP="00116855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EC6B0D">
              <w:rPr>
                <w:rFonts w:ascii="Times New Roman" w:hAnsi="Times New Roman"/>
                <w:sz w:val="24"/>
                <w:szCs w:val="24"/>
              </w:rPr>
              <w:t>回答：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公司新医疗战略逐步深化，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九医诊所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以</w:t>
            </w:r>
            <w:r w:rsidRPr="0043686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供应链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为基础，以</w:t>
            </w:r>
            <w:r w:rsidRPr="0043686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数智化技术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为支撑，聚焦全国诊所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产品推广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会员联盟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，持续推进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医疗服务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+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供应链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融合的业务模式，截至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2026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年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月底，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“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九医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诊所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”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签约会员店已达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3,627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家，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计划三年内实现万家诊所联盟。</w:t>
            </w:r>
          </w:p>
          <w:p w14:paraId="7B93D823" w14:textId="77777777" w:rsidR="00957394" w:rsidRPr="00EC6B0D" w:rsidRDefault="00957394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诊所品种满足率方面，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公司产品结构持续优化、新增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辉瑞、广东同德、达因药业、华中药业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等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6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家药企合作，并与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阿斯利康、太极、华润三九、沈阳兴齐、长风药业、吉林敖东、津药药业、齐都、王冠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等多个上游厂家达成深度合作。</w:t>
            </w:r>
          </w:p>
          <w:p w14:paraId="71D7A41C" w14:textId="77777777" w:rsidR="00957394" w:rsidRPr="00EC6B0D" w:rsidRDefault="00957394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诊所数智化赋能方面，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公司凭借先进的数智化平台赋能诊所，促其运营效率提升和成本下降，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九医诊所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会员店规模持续扩大，也为更多基层民众提供高质量的基本医疗服务。公司自主研发并</w:t>
            </w:r>
            <w:r w:rsidRPr="004E4858">
              <w:rPr>
                <w:rFonts w:ascii="Times New Roman" w:hAnsi="Times New Roman"/>
                <w:sz w:val="24"/>
                <w:szCs w:val="24"/>
              </w:rPr>
              <w:lastRenderedPageBreak/>
              <w:t>上线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的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九医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SaaS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诊所管家系统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，为诊所提供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诊疗合规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+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增值运营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数智化运营增值服务，可实现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3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秒建档、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10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秒出方、医保结算、营收分析以及药品追溯码、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5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秒入库、效期预警等。目前已上线使用该系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统会员店达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2,640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余家，累计服务患者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178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万</w:t>
            </w:r>
            <w:r w:rsidRPr="0043686C">
              <w:rPr>
                <w:rFonts w:ascii="Times New Roman" w:eastAsia="MS Gothic" w:hAnsi="Times New Roman"/>
                <w:sz w:val="24"/>
                <w:szCs w:val="24"/>
              </w:rPr>
              <w:t>⁺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。</w:t>
            </w:r>
          </w:p>
          <w:p w14:paraId="78BFA780" w14:textId="49FF0521" w:rsidR="00957394" w:rsidRPr="00EC6B0D" w:rsidRDefault="00957394" w:rsidP="00116855">
            <w:pPr>
              <w:spacing w:line="400" w:lineRule="exact"/>
              <w:ind w:firstLineChars="200" w:firstLine="48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3686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九医</w:t>
            </w:r>
            <w:r w:rsidRPr="0043686C">
              <w:rPr>
                <w:rFonts w:ascii="Times New Roman" w:hAnsi="Times New Roman"/>
                <w:b/>
                <w:bCs/>
                <w:sz w:val="24"/>
                <w:szCs w:val="24"/>
              </w:rPr>
              <w:t>SaaS</w:t>
            </w:r>
            <w:r w:rsidRPr="0043686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诊所管家系统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已嵌入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多项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AI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智能化技术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，其中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，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病历语音助手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依托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ASR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实时语音识别与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大模型，实时转写医患对话，自动生成结构化电子病历，减轻文字工作负担，专注医患沟通；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智能审方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依托临床知识库结合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大模型自动解析处方药品信息，预警配伍冲突、用药禁忌和用量错误，辅助快速审方，减少人工疏漏，保障用药安全；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报告解读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可以自动识别检验报告图像与各项异常指标，快速提炼报告核心信息，生成通俗易懂的解读内容，提升医生审阅报告效率，辅助医师进一步诊断。此外，公司开发的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九医诊所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b/>
                <w:sz w:val="24"/>
                <w:szCs w:val="24"/>
              </w:rPr>
              <w:t>辅助诊断平台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围绕诊疗全流程与经营管理场景，通过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语音接诊、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AI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辅诊、智能审方、报告解读、智能采购、患者随访六大模块，为诊所提供辅助接诊、辅助诊断、处方审核、智能采销、患者随访等全链路智能化支持，提升诊所运营效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率与服务质量。该平台目前已接入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DeepSeek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、千问大模型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，构建了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“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通用大模型能力</w:t>
            </w:r>
            <w:r w:rsidRPr="0043686C">
              <w:rPr>
                <w:rFonts w:ascii="Times New Roman" w:hAnsi="Times New Roman"/>
                <w:sz w:val="24"/>
                <w:szCs w:val="24"/>
              </w:rPr>
              <w:t>+</w:t>
            </w:r>
            <w:r w:rsidRPr="0043686C">
              <w:rPr>
                <w:rFonts w:ascii="Times New Roman" w:hAnsi="Times New Roman" w:hint="eastAsia"/>
                <w:sz w:val="24"/>
                <w:szCs w:val="24"/>
              </w:rPr>
              <w:t>垂直诊疗精度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”</w:t>
            </w:r>
            <w:r w:rsidRPr="00EC6B0D">
              <w:rPr>
                <w:rFonts w:ascii="Times New Roman" w:hAnsi="Times New Roman"/>
                <w:sz w:val="24"/>
                <w:szCs w:val="24"/>
              </w:rPr>
              <w:t>双引擎驱动体系，架构灵活开放、扩展性强、迭代成本低</w:t>
            </w:r>
            <w:r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。</w:t>
            </w:r>
          </w:p>
          <w:p w14:paraId="5774AEE2" w14:textId="77777777" w:rsidR="00957394" w:rsidRPr="004E4858" w:rsidRDefault="00957394" w:rsidP="00116855">
            <w:pPr>
              <w:pStyle w:val="a0"/>
              <w:spacing w:line="400" w:lineRule="exact"/>
              <w:ind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8521BF8" w14:textId="44D65577" w:rsidR="00957394" w:rsidRPr="004E4858" w:rsidRDefault="00957394" w:rsidP="00116855">
            <w:pPr>
              <w:pStyle w:val="a0"/>
              <w:spacing w:line="400" w:lineRule="exact"/>
              <w:ind w:firstLineChars="200" w:firstLine="4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4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：公司医美业务的当前进度和整体发展规划如何？</w:t>
            </w:r>
          </w:p>
          <w:p w14:paraId="2AF931AB" w14:textId="64D2FF86" w:rsidR="00957394" w:rsidRPr="004E4858" w:rsidRDefault="00957394" w:rsidP="00116855">
            <w:pPr>
              <w:pStyle w:val="a9"/>
              <w:spacing w:before="0" w:after="0" w:line="400" w:lineRule="exact"/>
              <w:ind w:firstLineChars="200" w:firstLine="480"/>
              <w:jc w:val="both"/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回答：医美供应链业务方面，公司</w:t>
            </w:r>
            <w:r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2026</w:t>
            </w:r>
            <w:r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年上</w:t>
            </w:r>
            <w:r w:rsidRPr="00EC6B0D">
              <w:rPr>
                <w:rFonts w:ascii="Times New Roman" w:eastAsia="宋体" w:hAnsi="Times New Roman" w:cs="Times New Roman"/>
                <w:kern w:val="2"/>
                <w:lang w:eastAsia="zh-CN"/>
              </w:rPr>
              <w:t>半年实现</w:t>
            </w:r>
            <w:r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销售收入</w:t>
            </w:r>
            <w:r w:rsidRPr="0043686C">
              <w:rPr>
                <w:rFonts w:ascii="Times New Roman" w:eastAsia="宋体" w:hAnsi="Times New Roman" w:cs="Times New Roman"/>
                <w:kern w:val="2"/>
                <w:lang w:eastAsia="zh-CN"/>
              </w:rPr>
              <w:t>9.62</w:t>
            </w:r>
            <w:r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亿元</w:t>
            </w:r>
            <w:r w:rsidR="00932394"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（含税）</w:t>
            </w:r>
            <w:r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，</w:t>
            </w:r>
            <w:r w:rsidR="00932394"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大幅</w:t>
            </w:r>
            <w:r w:rsidRPr="0043686C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增长</w:t>
            </w:r>
            <w:r w:rsidRPr="0043686C">
              <w:rPr>
                <w:rFonts w:ascii="Times New Roman" w:eastAsia="宋体" w:hAnsi="Times New Roman" w:cs="Times New Roman"/>
                <w:kern w:val="2"/>
                <w:lang w:eastAsia="zh-CN"/>
              </w:rPr>
              <w:t>6</w:t>
            </w:r>
            <w:r w:rsidR="00CA6B86" w:rsidRPr="0043686C">
              <w:rPr>
                <w:rFonts w:ascii="Times New Roman" w:eastAsia="宋体" w:hAnsi="Times New Roman" w:cs="Times New Roman"/>
                <w:kern w:val="2"/>
                <w:lang w:eastAsia="zh-CN"/>
              </w:rPr>
              <w:t>4.99</w:t>
            </w:r>
            <w:r w:rsidRPr="0043686C">
              <w:rPr>
                <w:rFonts w:ascii="Times New Roman" w:eastAsia="宋体" w:hAnsi="Times New Roman" w:cs="Times New Roman"/>
                <w:kern w:val="2"/>
                <w:lang w:eastAsia="zh-CN"/>
              </w:rPr>
              <w:t>%</w:t>
            </w:r>
            <w:r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。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公司通过“供应链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+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产品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+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终端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+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服务”全产业链布局构建差异化壁垒，合作的医美服务机构达到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14,405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家。此外，公司医美产品品规达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445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个，涵盖集采及区域地采品类，报告期内新增胶幂、美拉美超声刀等共计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7</w:t>
            </w:r>
            <w:r w:rsidR="00BC676F" w:rsidRPr="00BC676F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个品规代理，肉毒产品乐提葆及新品芮妥欣、达希斐取得了多个区域的销售授权，新品挖掘与市场推广能力不断提高。</w:t>
            </w:r>
          </w:p>
          <w:p w14:paraId="34F326F7" w14:textId="315B27EA" w:rsidR="00957394" w:rsidRPr="004E4858" w:rsidRDefault="00E8332E" w:rsidP="00116855">
            <w:pPr>
              <w:pStyle w:val="a9"/>
              <w:spacing w:before="0" w:after="0" w:line="400" w:lineRule="exact"/>
              <w:ind w:firstLineChars="200" w:firstLine="480"/>
              <w:jc w:val="both"/>
              <w:rPr>
                <w:rFonts w:ascii="Times New Roman" w:eastAsia="宋体" w:hAnsi="Times New Roman" w:cs="Times New Roman"/>
                <w:kern w:val="2"/>
                <w:lang w:eastAsia="zh-CN"/>
              </w:rPr>
            </w:pPr>
            <w:r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下属子公司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九州美谷方面，已完成原化纤板块金环新材料的剥离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，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2026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年上半年受剥离资产的报表影响，实现营业收入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2.86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亿元、归母净利润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-2.24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亿元；扣非后归母净利润为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-1</w:t>
            </w:r>
            <w:r w:rsidR="00932394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,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997.97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万元，同比增长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72.57%</w:t>
            </w:r>
            <w:r w:rsidR="00957394" w:rsidRPr="004E4858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。其中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医美主业表现亮眼：实现营业收入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2.63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亿元，剔除增值税政策影响后同比增长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0.73%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，毛利率达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48.9</w:t>
            </w:r>
            <w:r w:rsidR="00383AB9">
              <w:rPr>
                <w:rFonts w:ascii="Times New Roman" w:eastAsia="宋体" w:hAnsi="Times New Roman" w:cs="Times New Roman"/>
                <w:kern w:val="2"/>
                <w:lang w:eastAsia="zh-CN"/>
              </w:rPr>
              <w:t>2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，同比提升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5.19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个百分点</w:t>
            </w:r>
            <w:r w:rsidR="008528AD">
              <w:rPr>
                <w:rFonts w:ascii="Times New Roman" w:eastAsia="宋体" w:hAnsi="Times New Roman" w:cs="Times New Roman" w:hint="eastAsia"/>
                <w:kern w:val="2"/>
                <w:lang w:eastAsia="zh-CN"/>
              </w:rPr>
              <w:t>；实现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净利润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1</w:t>
            </w:r>
            <w:r w:rsidR="00932394">
              <w:rPr>
                <w:rFonts w:ascii="Times New Roman" w:eastAsia="宋体" w:hAnsi="Times New Roman" w:cs="Times New Roman"/>
                <w:kern w:val="2"/>
                <w:lang w:eastAsia="zh-CN"/>
              </w:rPr>
              <w:t>,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666.33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万元，同比增长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lastRenderedPageBreak/>
              <w:t>5.74%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。九州美谷财务质量持续优化，截至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2026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年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6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月末，货币资金余额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9.48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亿元，同比增长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429</w:t>
            </w:r>
            <w:r w:rsidR="00383AB9">
              <w:rPr>
                <w:rFonts w:ascii="Times New Roman" w:eastAsia="宋体" w:hAnsi="Times New Roman" w:cs="Times New Roman"/>
                <w:kern w:val="2"/>
                <w:lang w:eastAsia="zh-CN"/>
              </w:rPr>
              <w:t>.69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，经营活动产生的现金流量净额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2</w:t>
            </w:r>
            <w:r w:rsidR="00932394">
              <w:rPr>
                <w:rFonts w:ascii="Times New Roman" w:eastAsia="宋体" w:hAnsi="Times New Roman" w:cs="Times New Roman"/>
                <w:kern w:val="2"/>
                <w:lang w:eastAsia="zh-CN"/>
              </w:rPr>
              <w:t>,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777.33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万元，同比增长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71.17%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，资产负债率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25.57%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，较年初下降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13.94</w:t>
            </w:r>
            <w:r w:rsidR="00957394" w:rsidRPr="004E4858">
              <w:rPr>
                <w:rFonts w:ascii="Times New Roman" w:eastAsia="宋体" w:hAnsi="Times New Roman" w:cs="Times New Roman"/>
                <w:kern w:val="2"/>
                <w:lang w:eastAsia="zh-CN"/>
              </w:rPr>
              <w:t>个百分点，偿债能力和抗风险能力明显提升。</w:t>
            </w:r>
          </w:p>
          <w:p w14:paraId="7B87CCD2" w14:textId="72D858C8" w:rsidR="0049655C" w:rsidRPr="004E4858" w:rsidRDefault="00957394" w:rsidP="00116855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业务规划方面，</w:t>
            </w:r>
            <w:r w:rsidR="00483590" w:rsidRPr="00483590">
              <w:rPr>
                <w:rFonts w:ascii="Times New Roman" w:hAnsi="Times New Roman"/>
                <w:sz w:val="24"/>
                <w:szCs w:val="24"/>
              </w:rPr>
              <w:t>九州美谷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将按照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"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三年三步走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"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战略推进</w:t>
            </w:r>
            <w:r w:rsidR="0038064B">
              <w:rPr>
                <w:rFonts w:ascii="Times New Roman" w:hAnsi="Times New Roman" w:hint="eastAsia"/>
                <w:sz w:val="24"/>
                <w:szCs w:val="24"/>
              </w:rPr>
              <w:t>，</w:t>
            </w:r>
            <w:r w:rsidR="0038064B" w:rsidRPr="0038064B">
              <w:rPr>
                <w:rFonts w:ascii="Times New Roman" w:hAnsi="Times New Roman" w:hint="eastAsia"/>
                <w:sz w:val="24"/>
                <w:szCs w:val="24"/>
              </w:rPr>
              <w:t>核心聚焦医美主营业务，稳固经营基本盘，依托医美旗舰店成熟的标杆运营经验，结合九州通医美上游供应链产业资源优势，持续强化经营能力，全面提升公司市场核心竞争力。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另外，九州美谷已于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4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月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27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日向深交所提交摘星脱帽申请，目前处于正常审核流程中，最终结果以交易所通知为准。</w:t>
            </w:r>
          </w:p>
          <w:p w14:paraId="138C63B5" w14:textId="77777777" w:rsidR="00957394" w:rsidRPr="004E4858" w:rsidRDefault="00957394" w:rsidP="00116855">
            <w:pPr>
              <w:pStyle w:val="a0"/>
              <w:spacing w:line="400" w:lineRule="exact"/>
              <w:ind w:firstLine="200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</w:p>
          <w:p w14:paraId="63B2A468" w14:textId="1AD94326" w:rsidR="00957394" w:rsidRPr="004E4858" w:rsidRDefault="00957394" w:rsidP="00116855">
            <w:pPr>
              <w:pStyle w:val="a0"/>
              <w:spacing w:line="400" w:lineRule="exact"/>
              <w:ind w:firstLineChars="200" w:firstLine="482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5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：公司未来对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REITs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业务有什么规划？</w:t>
            </w:r>
          </w:p>
          <w:p w14:paraId="7388043F" w14:textId="4CCB2840" w:rsidR="00957394" w:rsidRPr="004E4858" w:rsidRDefault="00957394" w:rsidP="00116855">
            <w:pPr>
              <w:spacing w:line="40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EC6B0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回答：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公司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业务规划分为三个部分：第一，</w:t>
            </w:r>
            <w:r w:rsidRPr="0043686C">
              <w:rPr>
                <w:rFonts w:ascii="Times New Roman" w:hAnsi="Times New Roman" w:hint="eastAsia"/>
                <w:bCs/>
                <w:sz w:val="24"/>
                <w:szCs w:val="24"/>
              </w:rPr>
              <w:t>成熟一批、注入一批，将成熟资产装入公募</w:t>
            </w:r>
            <w:r w:rsidRPr="0043686C">
              <w:rPr>
                <w:rFonts w:ascii="Times New Roman" w:hAnsi="Times New Roman"/>
                <w:bCs/>
                <w:sz w:val="24"/>
                <w:szCs w:val="24"/>
              </w:rPr>
              <w:t>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，目前已发行的上海、杭州、重庆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Pre-REITs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一期项目均为备选发行项目，且三个项目均达到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100%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出租率，满足发行条件。第二，</w:t>
            </w:r>
            <w:r w:rsidRPr="0043686C">
              <w:rPr>
                <w:rFonts w:ascii="Times New Roman" w:hAnsi="Times New Roman" w:hint="eastAsia"/>
                <w:bCs/>
                <w:sz w:val="24"/>
                <w:szCs w:val="24"/>
              </w:rPr>
              <w:t>坚持开展</w:t>
            </w:r>
            <w:r w:rsidRPr="0043686C">
              <w:rPr>
                <w:rFonts w:ascii="Times New Roman" w:hAnsi="Times New Roman"/>
                <w:bCs/>
                <w:sz w:val="24"/>
                <w:szCs w:val="24"/>
              </w:rPr>
              <w:t>Pre-REITs</w:t>
            </w:r>
            <w:r w:rsidRPr="0043686C">
              <w:rPr>
                <w:rFonts w:ascii="Times New Roman" w:hAnsi="Times New Roman" w:hint="eastAsia"/>
                <w:bCs/>
                <w:sz w:val="24"/>
                <w:szCs w:val="24"/>
              </w:rPr>
              <w:t>基金业务，实现孵化一批、培养一批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，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2026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年预计发行一期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Pre-REITs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基金，为后续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扩募做储备。第三，</w:t>
            </w:r>
            <w:r w:rsidRPr="0043686C">
              <w:rPr>
                <w:rFonts w:ascii="Times New Roman" w:hAnsi="Times New Roman" w:hint="eastAsia"/>
                <w:bCs/>
                <w:sz w:val="24"/>
                <w:szCs w:val="24"/>
              </w:rPr>
              <w:t>逐步整理盘活表内超</w:t>
            </w:r>
            <w:r w:rsidRPr="0043686C">
              <w:rPr>
                <w:rFonts w:ascii="Times New Roman" w:hAnsi="Times New Roman"/>
                <w:bCs/>
                <w:sz w:val="24"/>
                <w:szCs w:val="24"/>
              </w:rPr>
              <w:t>200</w:t>
            </w:r>
            <w:r w:rsidRPr="0043686C">
              <w:rPr>
                <w:rFonts w:ascii="Times New Roman" w:hAnsi="Times New Roman" w:hint="eastAsia"/>
                <w:bCs/>
                <w:sz w:val="24"/>
                <w:szCs w:val="24"/>
              </w:rPr>
              <w:t>万方的其他资产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，整合盘活一批后逐步放入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Pre-REITs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及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REITs</w:t>
            </w:r>
            <w:r w:rsidRPr="00EC6B0D">
              <w:rPr>
                <w:rFonts w:ascii="Times New Roman" w:hAnsi="Times New Roman"/>
                <w:bCs/>
                <w:sz w:val="24"/>
                <w:szCs w:val="24"/>
              </w:rPr>
              <w:t>资产池。不动产证券化战略是公司资本化战略的重要组成部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分，公司将按节奏逐步盘活表内资产，为大健康主业输送权益资金支持。</w:t>
            </w:r>
          </w:p>
          <w:p w14:paraId="28D40288" w14:textId="6871E8BB" w:rsidR="00957394" w:rsidRPr="004E4858" w:rsidRDefault="00957394" w:rsidP="00116855">
            <w:pPr>
              <w:pStyle w:val="a0"/>
              <w:spacing w:line="400" w:lineRule="exact"/>
              <w:ind w:firstLine="2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09ED5A6" w14:textId="637F8837" w:rsidR="00957394" w:rsidRPr="004E4858" w:rsidRDefault="00957394" w:rsidP="00116855">
            <w:pPr>
              <w:pStyle w:val="a0"/>
              <w:spacing w:line="400" w:lineRule="exact"/>
              <w:ind w:firstLine="200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6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CSO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业务品种的拓展情况及未来规划如何？</w:t>
            </w:r>
          </w:p>
          <w:p w14:paraId="4AA54C6C" w14:textId="725C12ED" w:rsidR="00CA6B86" w:rsidRPr="00EC6B0D" w:rsidRDefault="00957394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回答：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2026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年上半年，公司总代品牌推广业务（含药品及医疗器械）实现销售收入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86.87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亿元。其中，药品总代品牌推广业务实现销售收入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49.67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亿元；</w:t>
            </w:r>
            <w:r w:rsidR="00CA6B86" w:rsidRPr="004E48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公司深入优化调整代理产品结构，降低低效投入，聚焦优质品种建设，代理品规有所减少；如剔除前述因素的影响，药品总代品牌推广业务销售收入同比增长</w:t>
            </w:r>
            <w:r w:rsidR="00CA6B86" w:rsidRPr="004E48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18.40%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。</w:t>
            </w:r>
            <w:r w:rsidR="00CA6B86" w:rsidRPr="0043686C">
              <w:rPr>
                <w:rFonts w:ascii="Times New Roman" w:hAnsi="Times New Roman" w:hint="eastAsia"/>
                <w:bCs/>
                <w:color w:val="000000" w:themeColor="text1"/>
                <w:sz w:val="24"/>
                <w:szCs w:val="24"/>
              </w:rPr>
              <w:t>产品拓展方面</w:t>
            </w:r>
            <w:r w:rsidR="00CA6B86" w:rsidRPr="00EC6B0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，</w:t>
            </w:r>
            <w:r w:rsidR="00CA6B86" w:rsidRPr="004E48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目前公司</w:t>
            </w:r>
            <w:r w:rsidR="00CA6B86"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累计代理品种品规</w:t>
            </w:r>
            <w:r w:rsidR="00CA6B86" w:rsidRPr="004368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709</w:t>
            </w:r>
            <w:r w:rsidR="00CA6B86" w:rsidRPr="00EC6B0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个，包括</w:t>
            </w:r>
            <w:r w:rsidR="00CA6B86" w:rsidRPr="0043686C">
              <w:rPr>
                <w:rFonts w:ascii="Times New Roman" w:hAnsi="Times New Roman" w:hint="eastAsia"/>
                <w:color w:val="000000" w:themeColor="text1"/>
                <w:sz w:val="24"/>
                <w:szCs w:val="24"/>
              </w:rPr>
              <w:t>可</w:t>
            </w:r>
            <w:r w:rsidR="00CA6B86" w:rsidRPr="0043686C">
              <w:rPr>
                <w:rFonts w:ascii="Times New Roman" w:hAnsi="Times New Roman" w:hint="eastAsia"/>
                <w:sz w:val="24"/>
                <w:szCs w:val="24"/>
              </w:rPr>
              <w:t>威、康王、倍平、科赴、敏使朗、弥可保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等众多知名品种，其中年销售过亿明星单品</w:t>
            </w:r>
            <w:r w:rsidR="00CA6B86" w:rsidRPr="0043686C">
              <w:rPr>
                <w:rFonts w:ascii="Times New Roman" w:hAnsi="Times New Roman"/>
                <w:sz w:val="24"/>
                <w:szCs w:val="24"/>
              </w:rPr>
              <w:t>24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个，</w:t>
            </w:r>
            <w:r w:rsidR="00CA6B86" w:rsidRPr="0043686C">
              <w:rPr>
                <w:rFonts w:ascii="Times New Roman" w:hAnsi="Times New Roman" w:hint="eastAsia"/>
                <w:sz w:val="24"/>
                <w:szCs w:val="24"/>
              </w:rPr>
              <w:t>康王、弥可保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等长期合作的核心代理品种销售继续保持增长，老品增量稳步提升。同时，公司加快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lastRenderedPageBreak/>
              <w:t>新品拓展，新品销售快速突破，已引进</w:t>
            </w:r>
            <w:r w:rsidR="00CA6B86" w:rsidRPr="0043686C">
              <w:rPr>
                <w:rFonts w:ascii="Times New Roman" w:hAnsi="Times New Roman" w:hint="eastAsia"/>
                <w:sz w:val="24"/>
                <w:szCs w:val="24"/>
              </w:rPr>
              <w:t>玫满、赛斯美、沃克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等新品</w:t>
            </w:r>
            <w:r w:rsidR="00CA6B86" w:rsidRPr="0043686C">
              <w:rPr>
                <w:rFonts w:ascii="Times New Roman" w:hAnsi="Times New Roman"/>
                <w:sz w:val="24"/>
                <w:szCs w:val="24"/>
              </w:rPr>
              <w:t>116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个，其中销售过千万新品</w:t>
            </w:r>
            <w:r w:rsidR="00CA6B86" w:rsidRPr="0043686C">
              <w:rPr>
                <w:rFonts w:ascii="Times New Roman" w:hAnsi="Times New Roman"/>
                <w:sz w:val="24"/>
                <w:szCs w:val="24"/>
              </w:rPr>
              <w:t>18</w:t>
            </w:r>
            <w:r w:rsidR="00CA6B86" w:rsidRPr="00EC6B0D">
              <w:rPr>
                <w:rFonts w:ascii="Times New Roman" w:hAnsi="Times New Roman"/>
                <w:sz w:val="24"/>
                <w:szCs w:val="24"/>
              </w:rPr>
              <w:t>个。</w:t>
            </w:r>
          </w:p>
          <w:p w14:paraId="76D5C8AE" w14:textId="26C39889" w:rsidR="00957394" w:rsidRPr="004E4858" w:rsidRDefault="00957394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未来</w:t>
            </w:r>
            <w:r w:rsidR="00CA6B86" w:rsidRPr="004E4858">
              <w:rPr>
                <w:rFonts w:ascii="Times New Roman" w:hAnsi="Times New Roman"/>
                <w:sz w:val="24"/>
                <w:szCs w:val="24"/>
              </w:rPr>
              <w:t>，公司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会持续深化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一核两翼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”CSO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服务模式：以产品为核心，销售、品牌作为两大支撑两翼。销售翼重点强化终端动销、渠道转化能力；品牌翼持续打造产品影响力。通过两翼协同，打通策略规划、科普内容传播、渠道触达、销售承接的完整业务闭环，真正实现合作产品品牌声量与市场销量双向提升。</w:t>
            </w:r>
          </w:p>
          <w:p w14:paraId="0280BCB1" w14:textId="77777777" w:rsidR="00957394" w:rsidRPr="004E4858" w:rsidRDefault="00957394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</w:p>
          <w:p w14:paraId="1FD380FC" w14:textId="1761D873" w:rsidR="00957394" w:rsidRPr="004E4858" w:rsidRDefault="00957394" w:rsidP="00116855">
            <w:pPr>
              <w:pStyle w:val="a0"/>
              <w:spacing w:line="440" w:lineRule="exact"/>
              <w:ind w:firstLine="200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问题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7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：公司和国民养老的战略合作具体情况如何？</w:t>
            </w:r>
            <w:r w:rsidRPr="004E4858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 xml:space="preserve"> </w:t>
            </w:r>
          </w:p>
          <w:p w14:paraId="7978A605" w14:textId="77777777" w:rsidR="00D8011A" w:rsidRPr="004E4858" w:rsidRDefault="00957394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回答：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2026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年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8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月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21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日，九州通与国民养老保险股份有限公司（以下简称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国民养老保险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”</w:t>
            </w:r>
            <w:r w:rsidR="00217502" w:rsidRPr="004E4858">
              <w:rPr>
                <w:rFonts w:ascii="Times New Roman" w:hAnsi="Times New Roman"/>
                <w:sz w:val="24"/>
                <w:szCs w:val="24"/>
              </w:rPr>
              <w:t>）签订《战略合作协议》，公司与国民养老保险结为长期战略合作伙伴，发挥各自在医药健康与养老金融领域的专业优势，通过全方位资源整合与创新协同，共同打造医药服务与金融业跨界联动的标杆示范，为我国银发经济高质量发展贡献力量。</w:t>
            </w:r>
          </w:p>
          <w:p w14:paraId="11874B9B" w14:textId="77777777" w:rsidR="00D8011A" w:rsidRPr="004E4858" w:rsidRDefault="00D8011A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国民养老保险于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2022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3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月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22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日成立，注册资本约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113.78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亿元，主营业务为保险业务、保险资产管理。作为专业性的养老保险经营机构，国民养老保险成立首年即成为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个人养老金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和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“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商业养老金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”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的首批双试点单位，连续获得国家金融监督管理总局授予的风险综合评级最高等级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AAA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级。</w:t>
            </w:r>
          </w:p>
          <w:p w14:paraId="2709128C" w14:textId="24290B04" w:rsidR="0049655C" w:rsidRPr="004E4858" w:rsidRDefault="00D8011A" w:rsidP="00116855">
            <w:pPr>
              <w:spacing w:line="440" w:lineRule="exact"/>
              <w:ind w:firstLineChars="200" w:firstLine="480"/>
              <w:rPr>
                <w:rFonts w:ascii="Times New Roman" w:hAnsi="Times New Roman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sz w:val="24"/>
                <w:szCs w:val="24"/>
              </w:rPr>
              <w:t>国民养老保险长期看好公司发展，持续在二级市场通过集中竞价交易方式增持公司股份，截至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8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月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20</w:t>
            </w:r>
            <w:r w:rsidRPr="004E4858">
              <w:rPr>
                <w:rFonts w:ascii="Times New Roman" w:hAnsi="Times New Roman"/>
                <w:sz w:val="24"/>
                <w:szCs w:val="24"/>
              </w:rPr>
              <w:t>日其持股比例已达到公司提名董事的持股比例要求，国民养老保险推荐黄涛先生为公司非独立董事候选人，已经公司董事会同意（待股东会审议）</w:t>
            </w:r>
            <w:r w:rsidRPr="001B67D7">
              <w:rPr>
                <w:rFonts w:ascii="Times New Roman" w:hAnsi="Times New Roman"/>
                <w:sz w:val="24"/>
                <w:szCs w:val="24"/>
              </w:rPr>
              <w:t>。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双方合作的基础与协同方向包括：一是业务互补，国民养老核心业务为养老保险与健康险，需要医疗医药供应链服务支撑其履约服务，公司的基层医疗服务、健康驿站、连锁诊所、药品供应链服务可覆盖其投保人的健康服务需求，同时公司的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C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端客户也可成为国民养老的保险产品客群；二是理念契合，国民养老以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"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普惠为民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"</w:t>
            </w:r>
            <w:r w:rsidR="00957394" w:rsidRPr="001B67D7">
              <w:rPr>
                <w:rFonts w:ascii="Times New Roman" w:hAnsi="Times New Roman"/>
                <w:sz w:val="24"/>
                <w:szCs w:val="24"/>
              </w:rPr>
              <w:t>为核心导向，公司深耕基层、农村、边远地区的药品供应链服务，同样具备普惠惠民属性，双方理念高度匹配。</w:t>
            </w:r>
          </w:p>
        </w:tc>
      </w:tr>
      <w:tr w:rsidR="0049655C" w:rsidRPr="004E4858" w14:paraId="0C7FF316" w14:textId="77777777" w:rsidTr="00BF5C78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8528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>附件清单（如有）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610C" w14:textId="7CE77A37" w:rsidR="0049655C" w:rsidRPr="004E4858" w:rsidRDefault="00DB031B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无</w:t>
            </w:r>
          </w:p>
        </w:tc>
      </w:tr>
      <w:tr w:rsidR="0049655C" w:rsidRPr="004E4858" w14:paraId="1184FAC4" w14:textId="77777777" w:rsidTr="00C35DEB">
        <w:trPr>
          <w:trHeight w:val="56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51DC" w14:textId="77777777" w:rsidR="0049655C" w:rsidRPr="004E4858" w:rsidRDefault="0049655C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5879" w14:textId="6100B818" w:rsidR="0049655C" w:rsidRPr="004E4858" w:rsidRDefault="00DB031B" w:rsidP="00D65FFF">
            <w:pP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2026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年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月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26</w:t>
            </w:r>
            <w:r w:rsidRPr="004E485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日</w:t>
            </w:r>
          </w:p>
        </w:tc>
      </w:tr>
    </w:tbl>
    <w:p w14:paraId="3594FEC1" w14:textId="77777777" w:rsidR="0049655C" w:rsidRPr="004E4858" w:rsidRDefault="0049655C" w:rsidP="0049655C">
      <w:pPr>
        <w:spacing w:line="560" w:lineRule="exact"/>
        <w:jc w:val="center"/>
        <w:rPr>
          <w:rFonts w:ascii="Times New Roman" w:hAnsi="Times New Roman"/>
          <w:color w:val="000000"/>
          <w:szCs w:val="21"/>
        </w:rPr>
      </w:pPr>
    </w:p>
    <w:p w14:paraId="63E1F80C" w14:textId="77777777" w:rsidR="00DF5529" w:rsidRPr="004E4858" w:rsidRDefault="00DF5529">
      <w:pPr>
        <w:rPr>
          <w:rFonts w:ascii="Times New Roman" w:hAnsi="Times New Roman"/>
        </w:rPr>
      </w:pPr>
    </w:p>
    <w:sectPr w:rsidR="00DF5529" w:rsidRPr="004E485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67587" w14:textId="77777777" w:rsidR="00C15192" w:rsidRDefault="00C15192" w:rsidP="0049655C">
      <w:r>
        <w:separator/>
      </w:r>
    </w:p>
  </w:endnote>
  <w:endnote w:type="continuationSeparator" w:id="0">
    <w:p w14:paraId="17804F39" w14:textId="77777777" w:rsidR="00C15192" w:rsidRDefault="00C15192" w:rsidP="00496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094235"/>
      <w:docPartObj>
        <w:docPartGallery w:val="Page Numbers (Bottom of Page)"/>
        <w:docPartUnique/>
      </w:docPartObj>
    </w:sdtPr>
    <w:sdtEndPr/>
    <w:sdtContent>
      <w:p w14:paraId="447CFBC3" w14:textId="06217DB1" w:rsidR="00E4357A" w:rsidRDefault="00E435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854BE7" w14:textId="77777777" w:rsidR="00E4357A" w:rsidRDefault="00E4357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BBDC" w14:textId="77777777" w:rsidR="00C15192" w:rsidRDefault="00C15192" w:rsidP="0049655C">
      <w:r>
        <w:separator/>
      </w:r>
    </w:p>
  </w:footnote>
  <w:footnote w:type="continuationSeparator" w:id="0">
    <w:p w14:paraId="66B83310" w14:textId="77777777" w:rsidR="00C15192" w:rsidRDefault="00C15192" w:rsidP="004965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7D2"/>
    <w:rsid w:val="000126F4"/>
    <w:rsid w:val="00026E50"/>
    <w:rsid w:val="0005557C"/>
    <w:rsid w:val="000614E8"/>
    <w:rsid w:val="001165A6"/>
    <w:rsid w:val="00116855"/>
    <w:rsid w:val="00121C95"/>
    <w:rsid w:val="001424DB"/>
    <w:rsid w:val="00153450"/>
    <w:rsid w:val="00153541"/>
    <w:rsid w:val="001B67D7"/>
    <w:rsid w:val="001C6D14"/>
    <w:rsid w:val="00217502"/>
    <w:rsid w:val="0025520C"/>
    <w:rsid w:val="00263D28"/>
    <w:rsid w:val="00265AE6"/>
    <w:rsid w:val="002877C8"/>
    <w:rsid w:val="002A3B24"/>
    <w:rsid w:val="002B0CF3"/>
    <w:rsid w:val="002C2F37"/>
    <w:rsid w:val="002E7D53"/>
    <w:rsid w:val="002F4D7F"/>
    <w:rsid w:val="003726DF"/>
    <w:rsid w:val="0038064B"/>
    <w:rsid w:val="00383AB9"/>
    <w:rsid w:val="00385338"/>
    <w:rsid w:val="00414C14"/>
    <w:rsid w:val="0043686C"/>
    <w:rsid w:val="004539CB"/>
    <w:rsid w:val="0045407C"/>
    <w:rsid w:val="00483590"/>
    <w:rsid w:val="0049655C"/>
    <w:rsid w:val="004D2380"/>
    <w:rsid w:val="004D79D1"/>
    <w:rsid w:val="004E4858"/>
    <w:rsid w:val="005001F0"/>
    <w:rsid w:val="005336BD"/>
    <w:rsid w:val="005B22D5"/>
    <w:rsid w:val="005D7859"/>
    <w:rsid w:val="006360A4"/>
    <w:rsid w:val="00643E6B"/>
    <w:rsid w:val="00674C57"/>
    <w:rsid w:val="006D63F9"/>
    <w:rsid w:val="00770738"/>
    <w:rsid w:val="007757D4"/>
    <w:rsid w:val="00775F7A"/>
    <w:rsid w:val="0079669C"/>
    <w:rsid w:val="007B42AA"/>
    <w:rsid w:val="007D0A14"/>
    <w:rsid w:val="007D5722"/>
    <w:rsid w:val="007D69BF"/>
    <w:rsid w:val="008528AD"/>
    <w:rsid w:val="00891F83"/>
    <w:rsid w:val="008E0471"/>
    <w:rsid w:val="008E5704"/>
    <w:rsid w:val="0091345B"/>
    <w:rsid w:val="00932394"/>
    <w:rsid w:val="00957394"/>
    <w:rsid w:val="009968D3"/>
    <w:rsid w:val="009C5148"/>
    <w:rsid w:val="00A17D73"/>
    <w:rsid w:val="00A25E66"/>
    <w:rsid w:val="00A33C6B"/>
    <w:rsid w:val="00A653B9"/>
    <w:rsid w:val="00AF46EF"/>
    <w:rsid w:val="00AF75BA"/>
    <w:rsid w:val="00B07AB2"/>
    <w:rsid w:val="00B32ED3"/>
    <w:rsid w:val="00B421A0"/>
    <w:rsid w:val="00B4563A"/>
    <w:rsid w:val="00B840F6"/>
    <w:rsid w:val="00BA4110"/>
    <w:rsid w:val="00BB51F5"/>
    <w:rsid w:val="00BC1CF7"/>
    <w:rsid w:val="00BC676F"/>
    <w:rsid w:val="00BF5C78"/>
    <w:rsid w:val="00C0424B"/>
    <w:rsid w:val="00C054FD"/>
    <w:rsid w:val="00C15192"/>
    <w:rsid w:val="00C35DEB"/>
    <w:rsid w:val="00C80684"/>
    <w:rsid w:val="00C87FE5"/>
    <w:rsid w:val="00CA6B86"/>
    <w:rsid w:val="00D2786D"/>
    <w:rsid w:val="00D66846"/>
    <w:rsid w:val="00D8011A"/>
    <w:rsid w:val="00D93928"/>
    <w:rsid w:val="00DB031B"/>
    <w:rsid w:val="00DF5529"/>
    <w:rsid w:val="00E33D39"/>
    <w:rsid w:val="00E4357A"/>
    <w:rsid w:val="00E8332E"/>
    <w:rsid w:val="00EC6B0D"/>
    <w:rsid w:val="00F1187D"/>
    <w:rsid w:val="00F235CF"/>
    <w:rsid w:val="00F467D2"/>
    <w:rsid w:val="00F540AE"/>
    <w:rsid w:val="00F6777C"/>
    <w:rsid w:val="00F740C5"/>
    <w:rsid w:val="00F85955"/>
    <w:rsid w:val="00FF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FFE0BE1"/>
  <w15:chartTrackingRefBased/>
  <w15:docId w15:val="{F55BFF34-EFF2-4D4D-A774-415881750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49655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4965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49655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965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49655C"/>
    <w:rPr>
      <w:sz w:val="18"/>
      <w:szCs w:val="18"/>
    </w:rPr>
  </w:style>
  <w:style w:type="paragraph" w:styleId="a0">
    <w:name w:val="footnote text"/>
    <w:basedOn w:val="a"/>
    <w:link w:val="a8"/>
    <w:uiPriority w:val="99"/>
    <w:unhideWhenUsed/>
    <w:rsid w:val="0049655C"/>
    <w:pPr>
      <w:snapToGrid w:val="0"/>
      <w:jc w:val="left"/>
    </w:pPr>
    <w:rPr>
      <w:sz w:val="18"/>
      <w:szCs w:val="18"/>
    </w:rPr>
  </w:style>
  <w:style w:type="character" w:customStyle="1" w:styleId="a8">
    <w:name w:val="脚注文本 字符"/>
    <w:basedOn w:val="a1"/>
    <w:link w:val="a0"/>
    <w:uiPriority w:val="99"/>
    <w:rsid w:val="0049655C"/>
    <w:rPr>
      <w:rFonts w:ascii="Calibri" w:eastAsia="宋体" w:hAnsi="Calibri" w:cs="Times New Roman"/>
      <w:sz w:val="18"/>
      <w:szCs w:val="18"/>
    </w:rPr>
  </w:style>
  <w:style w:type="paragraph" w:styleId="a9">
    <w:name w:val="Body Text"/>
    <w:basedOn w:val="a"/>
    <w:link w:val="aa"/>
    <w:qFormat/>
    <w:rsid w:val="00957394"/>
    <w:pPr>
      <w:widowControl/>
      <w:spacing w:before="180" w:after="180"/>
      <w:jc w:val="left"/>
    </w:pPr>
    <w:rPr>
      <w:rFonts w:asciiTheme="minorHAnsi" w:eastAsiaTheme="minorEastAsia" w:hAnsiTheme="minorHAnsi" w:cstheme="minorBidi"/>
      <w:kern w:val="0"/>
      <w:sz w:val="24"/>
      <w:szCs w:val="24"/>
      <w:lang w:eastAsia="en-US"/>
    </w:rPr>
  </w:style>
  <w:style w:type="character" w:customStyle="1" w:styleId="aa">
    <w:name w:val="正文文本 字符"/>
    <w:basedOn w:val="a1"/>
    <w:link w:val="a9"/>
    <w:rsid w:val="00957394"/>
    <w:rPr>
      <w:kern w:val="0"/>
      <w:sz w:val="24"/>
      <w:szCs w:val="24"/>
      <w:lang w:eastAsia="en-US"/>
    </w:rPr>
  </w:style>
  <w:style w:type="paragraph" w:styleId="ab">
    <w:name w:val="Revision"/>
    <w:hidden/>
    <w:uiPriority w:val="99"/>
    <w:semiHidden/>
    <w:rsid w:val="00EC6B0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39</cp:revision>
  <dcterms:created xsi:type="dcterms:W3CDTF">2026-08-25T07:46:00Z</dcterms:created>
  <dcterms:modified xsi:type="dcterms:W3CDTF">2026-08-26T09:04:00Z</dcterms:modified>
</cp:coreProperties>
</file>