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10456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sz w:val="24"/>
          <w:szCs w:val="24"/>
          <w:lang w:val="en-US"/>
        </w:rPr>
      </w:pPr>
      <w:r>
        <w:rPr>
          <w:rFonts w:hint="eastAsia" w:ascii="宋体" w:hAnsi="宋体"/>
          <w:sz w:val="24"/>
          <w:szCs w:val="24"/>
        </w:rPr>
        <w:t>证券代码：</w:t>
      </w:r>
      <w:r>
        <w:rPr>
          <w:rFonts w:hint="default" w:ascii="宋体" w:hAnsi="宋体"/>
          <w:sz w:val="24"/>
          <w:szCs w:val="24"/>
          <w:lang w:val="en-US"/>
        </w:rPr>
        <w:t>605266</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公司简称：</w:t>
      </w:r>
      <w:r>
        <w:rPr>
          <w:rFonts w:hint="default" w:ascii="宋体" w:hAnsi="宋体"/>
          <w:sz w:val="24"/>
          <w:szCs w:val="24"/>
          <w:lang w:val="en-US"/>
        </w:rPr>
        <w:t>健之佳</w:t>
      </w:r>
    </w:p>
    <w:p w14:paraId="214BE01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sz w:val="36"/>
          <w:szCs w:val="36"/>
        </w:rPr>
      </w:pPr>
      <w:r>
        <w:rPr>
          <w:rFonts w:hint="eastAsia" w:ascii="黑体" w:hAnsi="黑体" w:eastAsia="黑体"/>
          <w:sz w:val="36"/>
          <w:szCs w:val="36"/>
        </w:rPr>
        <w:t>健之佳医药连锁集团股份有限公司</w:t>
      </w:r>
    </w:p>
    <w:p w14:paraId="2BC38AE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hAnsi="黑体" w:eastAsia="黑体"/>
          <w:sz w:val="36"/>
          <w:szCs w:val="36"/>
        </w:rPr>
      </w:pPr>
      <w:r>
        <w:rPr>
          <w:rFonts w:hint="eastAsia" w:ascii="黑体" w:hAnsi="黑体" w:eastAsia="黑体"/>
          <w:sz w:val="36"/>
          <w:szCs w:val="36"/>
        </w:rPr>
        <w:t>投资者关系活动记录表</w:t>
      </w:r>
    </w:p>
    <w:p w14:paraId="77B59C4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hAnsi="黑体" w:eastAsia="黑体"/>
          <w:sz w:val="24"/>
          <w:szCs w:val="24"/>
        </w:rPr>
      </w:pPr>
    </w:p>
    <w:tbl>
      <w:tblPr>
        <w:tblStyle w:val="4"/>
        <w:tblW w:w="871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26"/>
        <w:gridCol w:w="7191"/>
      </w:tblGrid>
      <w:tr w14:paraId="1EF4F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526" w:type="dxa"/>
            <w:noWrap w:val="0"/>
            <w:vAlign w:val="center"/>
          </w:tcPr>
          <w:p w14:paraId="4A01E65E">
            <w:pPr>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rFonts w:hint="eastAsia"/>
                <w:sz w:val="24"/>
                <w:szCs w:val="24"/>
              </w:rPr>
              <w:t>投资者关系活动类别</w:t>
            </w:r>
          </w:p>
        </w:tc>
        <w:tc>
          <w:tcPr>
            <w:tcW w:w="7191" w:type="dxa"/>
            <w:noWrap w:val="0"/>
            <w:vAlign w:val="center"/>
          </w:tcPr>
          <w:p w14:paraId="3F22C67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ascii="宋体" w:hAnsi="宋体" w:eastAsia="宋体" w:cs="宋体"/>
                <w:sz w:val="24"/>
                <w:szCs w:val="24"/>
                <w:highlight w:val="none"/>
              </w:rPr>
              <w:t>业绩说明会</w:t>
            </w:r>
            <w:bookmarkStart w:id="0" w:name="_GoBack"/>
            <w:bookmarkEnd w:id="0"/>
          </w:p>
        </w:tc>
      </w:tr>
      <w:tr w14:paraId="5207D9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526" w:type="dxa"/>
            <w:noWrap w:val="0"/>
            <w:vAlign w:val="center"/>
          </w:tcPr>
          <w:p w14:paraId="4A82E00E">
            <w:pPr>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rFonts w:hint="eastAsia"/>
                <w:sz w:val="24"/>
                <w:szCs w:val="24"/>
              </w:rPr>
              <w:t>活动主题</w:t>
            </w:r>
          </w:p>
        </w:tc>
        <w:tc>
          <w:tcPr>
            <w:tcW w:w="7191" w:type="dxa"/>
            <w:noWrap w:val="0"/>
            <w:vAlign w:val="center"/>
          </w:tcPr>
          <w:p w14:paraId="54EDE482">
            <w:pPr>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rFonts w:hint="eastAsia" w:ascii="宋体" w:hAnsi="宋体" w:eastAsia="宋体" w:cs="宋体"/>
                <w:bCs/>
                <w:iCs/>
                <w:color w:val="000000"/>
                <w:sz w:val="24"/>
                <w:highlight w:val="none"/>
                <w:lang w:val="en-GB"/>
              </w:rPr>
              <w:t>健之佳2026年半年度业绩说明会</w:t>
            </w:r>
          </w:p>
        </w:tc>
      </w:tr>
      <w:tr w14:paraId="47A7C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9" w:hRule="atLeast"/>
        </w:trPr>
        <w:tc>
          <w:tcPr>
            <w:tcW w:w="1526" w:type="dxa"/>
            <w:noWrap w:val="0"/>
            <w:vAlign w:val="center"/>
          </w:tcPr>
          <w:p w14:paraId="0B2E45C5">
            <w:pPr>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rFonts w:hint="eastAsia"/>
                <w:sz w:val="24"/>
                <w:szCs w:val="24"/>
              </w:rPr>
              <w:t>时间</w:t>
            </w:r>
          </w:p>
        </w:tc>
        <w:tc>
          <w:tcPr>
            <w:tcW w:w="7191" w:type="dxa"/>
            <w:noWrap w:val="0"/>
            <w:vAlign w:val="center"/>
          </w:tcPr>
          <w:p w14:paraId="65673F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ascii="宋体" w:hAnsi="宋体" w:eastAsia="宋体" w:cs="宋体"/>
                <w:bCs/>
                <w:iCs/>
                <w:color w:val="000000"/>
                <w:sz w:val="24"/>
                <w:highlight w:val="none"/>
              </w:rPr>
              <w:t>2026-08-27 - 10:00-11:00</w:t>
            </w:r>
          </w:p>
        </w:tc>
      </w:tr>
      <w:tr w14:paraId="6595C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526" w:type="dxa"/>
            <w:noWrap w:val="0"/>
            <w:vAlign w:val="center"/>
          </w:tcPr>
          <w:p w14:paraId="25E80A01">
            <w:pPr>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rFonts w:hint="eastAsia"/>
                <w:sz w:val="24"/>
                <w:szCs w:val="24"/>
              </w:rPr>
              <w:t>地点</w:t>
            </w:r>
            <w:r>
              <w:rPr>
                <w:rFonts w:hint="eastAsia" w:ascii="宋体" w:hAnsi="宋体"/>
                <w:sz w:val="24"/>
                <w:szCs w:val="24"/>
              </w:rPr>
              <w:t>/</w:t>
            </w:r>
            <w:r>
              <w:rPr>
                <w:rFonts w:hint="eastAsia"/>
                <w:sz w:val="24"/>
                <w:szCs w:val="24"/>
              </w:rPr>
              <w:t>方式</w:t>
            </w:r>
          </w:p>
        </w:tc>
        <w:tc>
          <w:tcPr>
            <w:tcW w:w="7191" w:type="dxa"/>
            <w:noWrap w:val="0"/>
            <w:vAlign w:val="top"/>
          </w:tcPr>
          <w:p w14:paraId="3021C3F9">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Cs/>
                <w:sz w:val="24"/>
              </w:rPr>
            </w:pPr>
            <w:r>
              <w:rPr>
                <w:rFonts w:hint="eastAsia" w:ascii="宋体" w:hAnsi="宋体"/>
                <w:bCs/>
                <w:sz w:val="24"/>
              </w:rPr>
              <w:t>上</w:t>
            </w:r>
            <w:r>
              <w:rPr>
                <w:rFonts w:hint="eastAsia" w:ascii="宋体" w:hAnsi="宋体" w:eastAsia="宋体" w:cs="宋体"/>
                <w:sz w:val="24"/>
                <w:szCs w:val="24"/>
                <w:highlight w:val="none"/>
              </w:rPr>
              <w:t xml:space="preserve">证路演中心 </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"https://roadshow.sseinfo.com"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https://roadshow.sseinfo.com</w:t>
            </w:r>
            <w:r>
              <w:rPr>
                <w:rFonts w:hint="eastAsia" w:ascii="宋体" w:hAnsi="宋体" w:eastAsia="宋体" w:cs="宋体"/>
                <w:sz w:val="24"/>
                <w:szCs w:val="24"/>
                <w:highlight w:val="none"/>
              </w:rPr>
              <w:fldChar w:fldCharType="end"/>
            </w:r>
          </w:p>
          <w:p w14:paraId="2910A8C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ascii="宋体" w:hAnsi="宋体"/>
                <w:bCs/>
                <w:sz w:val="24"/>
              </w:rPr>
              <w:t>网络文字互动</w:t>
            </w:r>
          </w:p>
        </w:tc>
      </w:tr>
      <w:tr w14:paraId="74F80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1526" w:type="dxa"/>
            <w:noWrap w:val="0"/>
            <w:vAlign w:val="center"/>
          </w:tcPr>
          <w:p w14:paraId="15CFF677">
            <w:pPr>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rFonts w:hint="eastAsia"/>
                <w:sz w:val="24"/>
                <w:szCs w:val="24"/>
              </w:rPr>
              <w:t>参会人员</w:t>
            </w:r>
          </w:p>
        </w:tc>
        <w:tc>
          <w:tcPr>
            <w:tcW w:w="7191" w:type="dxa"/>
            <w:noWrap w:val="0"/>
            <w:vAlign w:val="center"/>
          </w:tcPr>
          <w:p w14:paraId="38E644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董事长、总经理：蓝波</w:t>
            </w:r>
          </w:p>
          <w:p w14:paraId="5245157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财务总监、董事会秘书：李恒</w:t>
            </w:r>
          </w:p>
          <w:p w14:paraId="661FC5D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ascii="宋体" w:hAnsi="宋体" w:eastAsia="宋体" w:cs="宋体"/>
                <w:sz w:val="24"/>
                <w:szCs w:val="24"/>
              </w:rPr>
              <w:t>独立董事：管云鸿</w:t>
            </w:r>
          </w:p>
        </w:tc>
      </w:tr>
      <w:tr w14:paraId="6127A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1526" w:type="dxa"/>
            <w:noWrap w:val="0"/>
            <w:vAlign w:val="center"/>
          </w:tcPr>
          <w:p w14:paraId="78C85AE6">
            <w:pPr>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rFonts w:hint="eastAsia"/>
                <w:sz w:val="24"/>
                <w:szCs w:val="24"/>
              </w:rPr>
              <w:t>投资者关系活动主要内容介绍</w:t>
            </w:r>
          </w:p>
        </w:tc>
        <w:tc>
          <w:tcPr>
            <w:tcW w:w="7191" w:type="dxa"/>
            <w:noWrap w:val="0"/>
            <w:vAlign w:val="top"/>
          </w:tcPr>
          <w:p w14:paraId="4AB6DF9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b/>
                <w:sz w:val="24"/>
              </w:rPr>
            </w:pPr>
            <w:r>
              <w:rPr>
                <w:rFonts w:hint="eastAsia" w:ascii="宋体" w:hAnsi="宋体"/>
                <w:b/>
                <w:sz w:val="24"/>
              </w:rPr>
              <w:t>投资者关系活动主要内容</w:t>
            </w:r>
          </w:p>
          <w:p w14:paraId="6C70FC2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bCs/>
              </w:rPr>
            </w:pPr>
            <w:r>
              <w:rPr>
                <w:rFonts w:hint="default" w:ascii="宋体"/>
                <w:b/>
                <w:bCs/>
                <w:sz w:val="24"/>
                <w:lang w:val="en-US"/>
              </w:rPr>
              <w:t>1、请问蓝总如何看待行业未来的发展前景？谢谢。</w:t>
            </w:r>
          </w:p>
          <w:p w14:paraId="6678D60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sz w:val="24"/>
                <w:lang w:val="en-US"/>
              </w:rPr>
            </w:pPr>
            <w:r>
              <w:rPr>
                <w:rFonts w:hint="default" w:ascii="宋体"/>
                <w:sz w:val="24"/>
                <w:lang w:val="en-US"/>
              </w:rPr>
              <w:t xml:space="preserve">尊敬的投资者您好！感谢您对公司的关注。
       </w:t>
            </w:r>
          </w:p>
          <w:p w14:paraId="4F0D32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sz w:val="24"/>
                <w:lang w:val="en-US"/>
              </w:rPr>
            </w:pPr>
            <w:r>
              <w:rPr>
                <w:rFonts w:hint="default" w:ascii="宋体"/>
                <w:sz w:val="24"/>
                <w:lang w:val="en-US"/>
              </w:rPr>
              <w:t xml:space="preserve">人口老龄化、医药分业、行业集中度提升三大发展逻辑，持续驱动市场及行业长期、规范发展。
       </w:t>
            </w:r>
          </w:p>
          <w:p w14:paraId="24C848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sz w:val="24"/>
                <w:lang w:val="en-US"/>
              </w:rPr>
            </w:pPr>
            <w:r>
              <w:rPr>
                <w:rFonts w:hint="default" w:ascii="宋体" w:hAnsi="Calibri" w:eastAsia="宋体" w:cs="Times New Roman"/>
                <w:kern w:val="2"/>
                <w:sz w:val="24"/>
                <w:szCs w:val="22"/>
                <w:lang w:val="en-US" w:eastAsia="zh-CN" w:bidi="ar-SA"/>
              </w:rPr>
              <w:t>1、</w:t>
            </w:r>
            <w:r>
              <w:rPr>
                <w:rFonts w:hint="default" w:ascii="宋体"/>
                <w:sz w:val="24"/>
                <w:lang w:val="en-US"/>
              </w:rPr>
              <w:t xml:space="preserve">人口老龄化加剧和顾客健康期许提升
       </w:t>
            </w:r>
          </w:p>
          <w:p w14:paraId="11140B2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sz w:val="24"/>
                <w:lang w:val="en-US"/>
              </w:rPr>
            </w:pPr>
            <w:r>
              <w:rPr>
                <w:rFonts w:hint="default" w:ascii="宋体"/>
                <w:sz w:val="24"/>
                <w:lang w:val="en-US"/>
              </w:rPr>
              <w:t xml:space="preserve">老年群体慢性病用药需求持续释放，为医药零售行业带来稳定的基础客流与药品消费空间；顾客健康意识提升、个人健康主体责任时代开启，健康管理的需求由治疗向预防延伸，健康改善型消费正在崛起。
       </w:t>
            </w:r>
          </w:p>
          <w:p w14:paraId="0796E94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default" w:ascii="宋体"/>
                <w:sz w:val="24"/>
                <w:lang w:val="en-US"/>
              </w:rPr>
            </w:pPr>
            <w:r>
              <w:rPr>
                <w:rFonts w:hint="default" w:ascii="宋体" w:hAnsi="Calibri" w:eastAsia="宋体" w:cs="Times New Roman"/>
                <w:kern w:val="2"/>
                <w:sz w:val="24"/>
                <w:szCs w:val="22"/>
                <w:lang w:val="en-US" w:eastAsia="zh-CN" w:bidi="ar-SA"/>
              </w:rPr>
              <w:t>2、</w:t>
            </w:r>
            <w:r>
              <w:rPr>
                <w:rFonts w:hint="default" w:ascii="宋体"/>
                <w:sz w:val="24"/>
                <w:lang w:val="en-US"/>
              </w:rPr>
              <w:t xml:space="preserve">医药卫生体制改革政策带来发展机遇
    </w:t>
            </w:r>
          </w:p>
          <w:p w14:paraId="0C073F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sz w:val="24"/>
                <w:lang w:val="en-US"/>
              </w:rPr>
            </w:pPr>
            <w:r>
              <w:rPr>
                <w:rFonts w:hint="default" w:ascii="宋体"/>
                <w:sz w:val="24"/>
                <w:lang w:val="en-US"/>
              </w:rPr>
              <w:t xml:space="preserve"> </w:t>
            </w:r>
            <w:r>
              <w:rPr>
                <w:rFonts w:hint="eastAsia" w:ascii="宋体"/>
                <w:sz w:val="24"/>
                <w:lang w:val="en-US" w:eastAsia="zh-CN"/>
              </w:rPr>
              <w:t xml:space="preserve">  “十五五”</w:t>
            </w:r>
            <w:r>
              <w:rPr>
                <w:rFonts w:hint="default" w:ascii="宋体"/>
                <w:sz w:val="24"/>
                <w:lang w:val="en-US"/>
              </w:rPr>
              <w:t>规划明确加快建设健康中国，推动从以治病为中心向以健康为中心转变。商务部等九部门发布《关于促进药品零售行业高质量发展的意见》，明确药品零售行业是国家医药卫生事业的重要组成部分，对药品零售行业强化专业服务、健康促进、应急保供，打造更好服务人民医药健康需求的</w:t>
            </w:r>
            <w:r>
              <w:rPr>
                <w:rFonts w:hint="eastAsia" w:ascii="宋体"/>
                <w:sz w:val="24"/>
                <w:lang w:val="en-US" w:eastAsia="zh-CN"/>
              </w:rPr>
              <w:t>“</w:t>
            </w:r>
            <w:r>
              <w:rPr>
                <w:rFonts w:hint="default" w:ascii="宋体"/>
                <w:sz w:val="24"/>
                <w:lang w:val="en-US"/>
              </w:rPr>
              <w:t>健康驿站</w:t>
            </w:r>
            <w:r>
              <w:rPr>
                <w:rFonts w:hint="eastAsia" w:ascii="宋体"/>
                <w:sz w:val="24"/>
                <w:lang w:val="en-US" w:eastAsia="zh-CN"/>
              </w:rPr>
              <w:t>”</w:t>
            </w:r>
            <w:r>
              <w:rPr>
                <w:rFonts w:hint="default" w:ascii="宋体"/>
                <w:sz w:val="24"/>
                <w:lang w:val="en-US"/>
              </w:rPr>
              <w:t xml:space="preserve">指明方向。
     </w:t>
            </w:r>
          </w:p>
          <w:p w14:paraId="38E04479">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default" w:ascii="宋体"/>
                <w:sz w:val="24"/>
                <w:lang w:val="en-US"/>
              </w:rPr>
            </w:pPr>
            <w:r>
              <w:rPr>
                <w:rFonts w:hint="default" w:ascii="宋体"/>
                <w:sz w:val="24"/>
                <w:lang w:val="en-US"/>
              </w:rPr>
              <w:t>市场结构优化，行业集中度和连锁化率仍有待提升
</w:t>
            </w:r>
          </w:p>
          <w:p w14:paraId="1781EE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sz w:val="24"/>
                <w:lang w:val="en-US"/>
              </w:rPr>
            </w:pPr>
            <w:r>
              <w:rPr>
                <w:rFonts w:hint="default" w:ascii="宋体"/>
                <w:sz w:val="24"/>
                <w:lang w:val="en-US"/>
              </w:rPr>
              <w:t xml:space="preserve">行业连锁化率、集中度仍有进一步提升的空间，商务部等九部门2026年1月发布《关于促进药品零售行业高质量发展的意见》，明确支持行业兼并重组，推动连锁化提升。
       </w:t>
            </w:r>
          </w:p>
          <w:p w14:paraId="15356F6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textAlignment w:val="auto"/>
              <w:rPr>
                <w:rFonts w:hint="default" w:ascii="宋体"/>
                <w:sz w:val="24"/>
                <w:lang w:val="en-US"/>
              </w:rPr>
            </w:pPr>
            <w:r>
              <w:rPr>
                <w:rFonts w:hint="default" w:ascii="宋体"/>
                <w:sz w:val="24"/>
                <w:lang w:val="en-US"/>
              </w:rPr>
              <w:t>在医保政策持续承压、医保定点零售药店资源配置规划政策趋严以及市场竞争激烈的多重背景下，相较于门店数量这一行业竞争核心优势，单店经营效率与精细化运营能力逐渐成为决定企业生存与发展的突出关键变量。与此同时，合规门槛提升促使部分难以满足监管要求、市场竞争能力较弱的中小连锁、门店加速退出，行业整体结构得以优化。调整过程中，具备经营合规性、规模与品牌优势、财务稳健性、全渠道专业服务能力以及坚定转型执行力的大型连锁药房，展现出更为突出的竞争优势与抗风险能力。</w:t>
            </w:r>
          </w:p>
          <w:p w14:paraId="10891BA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textAlignment w:val="auto"/>
              <w:rPr>
                <w:rFonts w:hint="eastAsia" w:ascii="宋体"/>
                <w:sz w:val="24"/>
                <w:lang w:val="en-US" w:eastAsia="zh-CN"/>
              </w:rPr>
            </w:pPr>
            <w:r>
              <w:rPr>
                <w:rFonts w:hint="eastAsia" w:ascii="宋体"/>
                <w:sz w:val="24"/>
                <w:lang w:val="en-US" w:eastAsia="zh-CN"/>
              </w:rPr>
              <w:t>谢谢！</w:t>
            </w:r>
          </w:p>
          <w:p w14:paraId="410EC2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textAlignment w:val="auto"/>
              <w:rPr>
                <w:rFonts w:hint="eastAsia" w:ascii="宋体"/>
                <w:sz w:val="24"/>
                <w:lang w:val="en-US" w:eastAsia="zh-CN"/>
              </w:rPr>
            </w:pPr>
          </w:p>
          <w:p w14:paraId="7EE4ADD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bCs/>
              </w:rPr>
            </w:pPr>
            <w:r>
              <w:rPr>
                <w:rFonts w:hint="default" w:ascii="宋体"/>
                <w:b/>
                <w:bCs/>
                <w:sz w:val="24"/>
                <w:lang w:val="en-US"/>
              </w:rPr>
              <w:t>2、请问贵公司未来盈利增长的主要驱动因素有哪些？谢谢。</w:t>
            </w:r>
          </w:p>
          <w:p w14:paraId="700D700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sz w:val="24"/>
                <w:lang w:val="en-US"/>
              </w:rPr>
            </w:pPr>
            <w:r>
              <w:rPr>
                <w:rFonts w:hint="default" w:ascii="宋体"/>
                <w:sz w:val="24"/>
                <w:lang w:val="en-US"/>
              </w:rPr>
              <w:t xml:space="preserve">尊敬的投资者您好！感谢您对公司的关注。
      </w:t>
            </w:r>
          </w:p>
          <w:p w14:paraId="5BAF09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sz w:val="24"/>
                <w:lang w:val="en-US"/>
              </w:rPr>
            </w:pPr>
            <w:r>
              <w:rPr>
                <w:rFonts w:hint="default" w:ascii="宋体"/>
                <w:sz w:val="24"/>
                <w:lang w:val="en-US"/>
              </w:rPr>
              <w:t>人口老龄化、医药分业、行业集中度提升三大发展逻辑，持续驱动市场及行业长期、规范发展。商务部等九部门发布《关于促进药品零售行业高质量发展的意见》，明确药品零售行业是国家医药卫生事业的重要组成部分，对药品零售行业强化专业服务、健康促进、应急保供，打造更好服务人民医药健康需求的</w:t>
            </w:r>
            <w:r>
              <w:rPr>
                <w:rFonts w:hint="eastAsia" w:ascii="宋体"/>
                <w:sz w:val="24"/>
                <w:lang w:val="en-US" w:eastAsia="zh-CN"/>
              </w:rPr>
              <w:t>“</w:t>
            </w:r>
            <w:r>
              <w:rPr>
                <w:rFonts w:hint="default" w:ascii="宋体"/>
                <w:sz w:val="24"/>
                <w:lang w:val="en-US"/>
              </w:rPr>
              <w:t>健康驿站</w:t>
            </w:r>
            <w:r>
              <w:rPr>
                <w:rFonts w:hint="eastAsia" w:ascii="宋体"/>
                <w:sz w:val="24"/>
                <w:lang w:val="en-US" w:eastAsia="zh-CN"/>
              </w:rPr>
              <w:t>”</w:t>
            </w:r>
            <w:r>
              <w:rPr>
                <w:rFonts w:hint="default" w:ascii="宋体"/>
                <w:sz w:val="24"/>
                <w:lang w:val="en-US"/>
              </w:rPr>
              <w:t xml:space="preserve">指明方向。
 </w:t>
            </w:r>
          </w:p>
          <w:p w14:paraId="442901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sz w:val="24"/>
                <w:lang w:val="en-US"/>
              </w:rPr>
            </w:pPr>
            <w:r>
              <w:rPr>
                <w:rFonts w:hint="default" w:ascii="宋体"/>
                <w:sz w:val="24"/>
                <w:lang w:val="en-US"/>
              </w:rPr>
              <w:t xml:space="preserve">虽然公司所处省市门诊统筹政策落实进度不如预期，2022年以来以医保个账结算为主的医保结算收入占比从2022年的52%持续降至2026年上半年的38.47%，但下滑幅度已持续收窄，短期、中期政策冲击的拐点或已逐步显现。
       </w:t>
            </w:r>
          </w:p>
          <w:p w14:paraId="341C03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sz w:val="24"/>
                <w:lang w:val="en-US"/>
              </w:rPr>
            </w:pPr>
            <w:r>
              <w:rPr>
                <w:rFonts w:hint="default" w:ascii="宋体"/>
                <w:sz w:val="24"/>
                <w:lang w:val="en-US"/>
              </w:rPr>
              <w:t>公司以存量门店提质增效为导向持续优化门店结构，将运营管理重心调整为存量门店效率的提升；以</w:t>
            </w:r>
            <w:r>
              <w:rPr>
                <w:rFonts w:hint="eastAsia" w:ascii="宋体"/>
                <w:sz w:val="24"/>
                <w:lang w:val="en-US" w:eastAsia="zh-CN"/>
              </w:rPr>
              <w:t>“</w:t>
            </w:r>
            <w:r>
              <w:rPr>
                <w:rFonts w:hint="default" w:ascii="宋体"/>
                <w:sz w:val="24"/>
                <w:lang w:val="en-US"/>
              </w:rPr>
              <w:t>差异化商品、专业服务</w:t>
            </w:r>
            <w:r>
              <w:rPr>
                <w:rFonts w:hint="eastAsia" w:ascii="宋体"/>
                <w:sz w:val="24"/>
                <w:lang w:val="en-US" w:eastAsia="zh-CN"/>
              </w:rPr>
              <w:t>”</w:t>
            </w:r>
            <w:r>
              <w:rPr>
                <w:rFonts w:hint="default" w:ascii="宋体"/>
                <w:sz w:val="24"/>
                <w:lang w:val="en-US"/>
              </w:rPr>
              <w:t xml:space="preserve">为核心推进转型，满足顾客健康需求，在非医保依赖创新药、非药品类、OEM产品品类方面的转型成效逐步呈现；精细化运营控费、专科化运营管理方面持续降本增效，逐步构建适配新政策环境的门店经营模型。
       </w:t>
            </w:r>
          </w:p>
          <w:p w14:paraId="54D845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sz w:val="24"/>
                <w:lang w:val="en-US"/>
              </w:rPr>
            </w:pPr>
            <w:r>
              <w:rPr>
                <w:rFonts w:hint="default" w:ascii="宋体"/>
                <w:sz w:val="24"/>
                <w:lang w:val="en-US"/>
              </w:rPr>
              <w:t>谢谢！</w:t>
            </w:r>
          </w:p>
          <w:p w14:paraId="6ADFC5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sz w:val="24"/>
                <w:lang w:val="en-US"/>
              </w:rPr>
            </w:pPr>
          </w:p>
          <w:p w14:paraId="6C816E6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bCs/>
              </w:rPr>
            </w:pPr>
            <w:r>
              <w:rPr>
                <w:rFonts w:hint="default" w:ascii="宋体"/>
                <w:b/>
                <w:bCs/>
                <w:sz w:val="24"/>
                <w:lang w:val="en-US"/>
              </w:rPr>
              <w:t>3、请问你如何看待公司股价最近三年多一直处于下跌状态，下跌超过百分之七十，虽然说有些行业背景，但是贵公司在同行上市企业中仍然是最低迷的，你们打算如何应对？其次公司每年那么多借款，还一直维持高分红的初衷是什么？起码持股三年的个人投资者未从分红中获利，有没有考虑停止分红，减少贷款，降低财务费用？</w:t>
            </w:r>
          </w:p>
          <w:p w14:paraId="1DDA12E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sz w:val="24"/>
                <w:lang w:val="en-US"/>
              </w:rPr>
            </w:pPr>
            <w:r>
              <w:rPr>
                <w:rFonts w:hint="default" w:ascii="宋体"/>
                <w:sz w:val="24"/>
                <w:lang w:val="en-US"/>
              </w:rPr>
              <w:t xml:space="preserve">尊敬的投资者您好！感谢您对公司的关注。
      </w:t>
            </w:r>
          </w:p>
          <w:p w14:paraId="07D64E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sz w:val="24"/>
                <w:lang w:val="en-US"/>
              </w:rPr>
            </w:pPr>
            <w:r>
              <w:rPr>
                <w:rFonts w:hint="default" w:ascii="宋体"/>
                <w:sz w:val="24"/>
                <w:lang w:val="en-US" w:eastAsia="zh-CN"/>
              </w:rPr>
              <w:t>1、</w:t>
            </w:r>
            <w:r>
              <w:rPr>
                <w:rFonts w:hint="default" w:ascii="宋体"/>
                <w:sz w:val="24"/>
                <w:lang w:val="en-US"/>
              </w:rPr>
              <w:t xml:space="preserve">医药分业改革过程中，各省份门诊统筹政策落实进度不一。公司所在省区处方流转等配套措施尚未落地，门诊统筹贡献较小，以云南为例，2026年上半年仅占0.86%。以慢性病医保统筹结算为代表的原有业务收入不仅未能实现增长，反而因政策过渡原有资质被取消导致回落，公司业绩进一步承压。
      </w:t>
            </w:r>
          </w:p>
          <w:p w14:paraId="6EAC65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sz w:val="24"/>
                <w:lang w:val="en-US"/>
              </w:rPr>
            </w:pPr>
            <w:r>
              <w:rPr>
                <w:rFonts w:hint="default" w:ascii="宋体"/>
                <w:sz w:val="24"/>
                <w:lang w:val="en-US"/>
              </w:rPr>
              <w:t xml:space="preserve">基于公司长期塑造差异化商品及专业化服务的核心竞争力，公司进一步聚焦非医保依赖创新药、非药品品类、贴牌商品品类推进转型工作。传统销售淡季二季度营业收入与一季度环比持平企稳，较上年同期下降3.25%，降幅较一季度的8.86%收窄；通过体系化专业推广、满足会员真实的健康消费需求，实现增量销售弥补了政策冲击下传统严肃医疗药品的营收下滑缺口，中西成药营业收入结构占比提升1.14%，综合毛利率提升0.61%；持续强化对租金、配送费用及分部管理费用等前后台支出的精细化管理，期间费用持续同比下降，降幅3.48%。
      </w:t>
            </w:r>
          </w:p>
          <w:p w14:paraId="7131EA3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120" w:leftChars="0" w:firstLine="480" w:firstLineChars="200"/>
              <w:textAlignment w:val="auto"/>
              <w:rPr>
                <w:rFonts w:hint="default" w:ascii="宋体"/>
                <w:sz w:val="24"/>
                <w:lang w:val="en-US"/>
              </w:rPr>
            </w:pPr>
            <w:r>
              <w:rPr>
                <w:rFonts w:hint="default" w:ascii="宋体" w:hAnsi="Calibri" w:eastAsia="宋体" w:cs="Times New Roman"/>
                <w:kern w:val="2"/>
                <w:sz w:val="24"/>
                <w:szCs w:val="22"/>
                <w:lang w:val="en-US" w:eastAsia="zh-CN" w:bidi="ar-SA"/>
              </w:rPr>
              <w:t>2、</w:t>
            </w:r>
            <w:r>
              <w:rPr>
                <w:rFonts w:hint="default" w:ascii="宋体"/>
                <w:sz w:val="24"/>
                <w:lang w:val="en-US"/>
              </w:rPr>
              <w:t xml:space="preserve">公司重视投资者的回报，结合公司战略发展规划及发展所处阶段、经营发展需要等因素，兼顾对投资者的合理投资回报与公司的可持续发展，实施稳健的现金分红策略，增强投资者获得感，稳定市场预期。
       </w:t>
            </w:r>
          </w:p>
          <w:p w14:paraId="01FC6C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sz w:val="24"/>
                <w:lang w:val="en-US"/>
              </w:rPr>
            </w:pPr>
            <w:r>
              <w:rPr>
                <w:rFonts w:hint="default" w:ascii="宋体"/>
                <w:sz w:val="24"/>
                <w:lang w:val="en-US"/>
              </w:rPr>
              <w:t xml:space="preserve">公司持续加强资金安全风险管控，通过提升经营质量改善资金压力。
       </w:t>
            </w:r>
          </w:p>
          <w:p w14:paraId="1A67E2D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sz w:val="24"/>
                <w:lang w:val="en-US"/>
              </w:rPr>
            </w:pPr>
            <w:r>
              <w:rPr>
                <w:rFonts w:hint="default" w:ascii="宋体"/>
                <w:sz w:val="24"/>
                <w:lang w:val="en-US"/>
              </w:rPr>
              <w:t>谢谢！</w:t>
            </w:r>
          </w:p>
          <w:p w14:paraId="54B8E3E5">
            <w:pPr>
              <w:pStyle w:val="6"/>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sz w:val="24"/>
                <w:szCs w:val="24"/>
              </w:rPr>
            </w:pPr>
          </w:p>
        </w:tc>
      </w:tr>
    </w:tbl>
    <w:p w14:paraId="46DAE3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p>
    <w:p w14:paraId="2C052AAC">
      <w:pPr>
        <w:keepNext w:val="0"/>
        <w:keepLines w:val="0"/>
        <w:pageBreakBefore w:val="0"/>
        <w:widowControl w:val="0"/>
        <w:kinsoku/>
        <w:wordWrap/>
        <w:overflowPunct/>
        <w:topLinePunct w:val="0"/>
        <w:autoSpaceDE/>
        <w:autoSpaceDN/>
        <w:bidi w:val="0"/>
        <w:adjustRightInd/>
        <w:snapToGrid/>
        <w:spacing w:line="360" w:lineRule="auto"/>
        <w:textAlignment w:val="auto"/>
      </w:pPr>
    </w:p>
    <w:p w14:paraId="374EC8D5"/>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D6557">
    <w:pPr>
      <w:pStyle w:val="2"/>
      <w:tabs>
        <w:tab w:val="clear" w:pos="4153"/>
      </w:tabs>
      <w:jc w:val="right"/>
    </w:pPr>
    <w:r>
      <w:rPr>
        <w:rFonts w:hint="eastAsia"/>
      </w:rPr>
      <w:t>健之佳医药连锁集团股份有限公司投资者关系活动记录表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A2CB01"/>
    <w:multiLevelType w:val="singleLevel"/>
    <w:tmpl w:val="52A2CB01"/>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8A64EB"/>
    <w:rsid w:val="022D5B39"/>
    <w:rsid w:val="05837DEB"/>
    <w:rsid w:val="059D7E1B"/>
    <w:rsid w:val="07036991"/>
    <w:rsid w:val="10E910F0"/>
    <w:rsid w:val="12F90C3E"/>
    <w:rsid w:val="14014E40"/>
    <w:rsid w:val="15B032EB"/>
    <w:rsid w:val="1A486B89"/>
    <w:rsid w:val="1BD55FC6"/>
    <w:rsid w:val="1DF5077B"/>
    <w:rsid w:val="1E8E7F09"/>
    <w:rsid w:val="22904F1E"/>
    <w:rsid w:val="2ABE5CE8"/>
    <w:rsid w:val="2CA63000"/>
    <w:rsid w:val="2DF1308B"/>
    <w:rsid w:val="398A64EB"/>
    <w:rsid w:val="3AEF4A95"/>
    <w:rsid w:val="3B910A0D"/>
    <w:rsid w:val="3BD54AE5"/>
    <w:rsid w:val="3CCF7780"/>
    <w:rsid w:val="3EAC3243"/>
    <w:rsid w:val="4059035D"/>
    <w:rsid w:val="4C630E06"/>
    <w:rsid w:val="4FD53290"/>
    <w:rsid w:val="4FDF5118"/>
    <w:rsid w:val="52950BEC"/>
    <w:rsid w:val="5D866C01"/>
    <w:rsid w:val="5DF703A8"/>
    <w:rsid w:val="5E811041"/>
    <w:rsid w:val="5EF24DDA"/>
    <w:rsid w:val="60E922C1"/>
    <w:rsid w:val="675B3947"/>
    <w:rsid w:val="756A366D"/>
    <w:rsid w:val="77124E39"/>
    <w:rsid w:val="7AEB1862"/>
    <w:rsid w:val="7BC71A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4">
    <w:name w:val="Table Grid"/>
    <w:basedOn w:val="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6">
    <w:name w:val="_Style 6"/>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2026-08-27T03:46:00Z</dcterms:created>
  <dc:creator>董泽艳</dc:creator>
  <cp:lastModifiedBy>董泽艳</cp:lastModifiedBy>
  <dcterms:modified xsi:type="dcterms:W3CDTF">2026-08-27T03:47:45Z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B0C411FBAB3544E7AC0D1B8BD41AD438_11</vt:lpwstr>
  </property>
  <property fmtid="{D5CDD505-2E9C-101B-9397-08002B2CF9AE}" pid="4" name="KSOTemplateDocerSaveRecord">
    <vt:lpwstr>eyJoZGlkIjoiOGMwODc5MzkzMDM1OTM0MjlmZjVmNDc3MzFiMWE4MmIiLCJ1c2VySWQiOiI2NDQ5ODQ1MjQifQ==</vt:lpwstr>
  </property>
</Properties>
</file>