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D827F7">
      <w:pPr>
        <w:spacing w:before="47" w:line="219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ascii="宋体" w:hAnsi="宋体" w:eastAsia="宋体" w:cs="宋体"/>
          <w:b/>
          <w:bCs/>
          <w:spacing w:val="-1"/>
          <w:sz w:val="24"/>
          <w:szCs w:val="24"/>
          <w:lang w:eastAsia="zh-CN"/>
        </w:rPr>
        <w:t>证券代码：60</w:t>
      </w:r>
      <w:r>
        <w:rPr>
          <w:rFonts w:hint="eastAsia" w:ascii="宋体" w:hAnsi="宋体" w:eastAsia="宋体" w:cs="宋体"/>
          <w:b/>
          <w:bCs/>
          <w:spacing w:val="-1"/>
          <w:sz w:val="24"/>
          <w:szCs w:val="24"/>
          <w:lang w:eastAsia="zh-CN"/>
        </w:rPr>
        <w:t>3284</w:t>
      </w:r>
      <w:r>
        <w:rPr>
          <w:rFonts w:ascii="宋体" w:hAnsi="宋体" w:eastAsia="宋体" w:cs="宋体"/>
          <w:spacing w:val="-1"/>
          <w:sz w:val="24"/>
          <w:szCs w:val="24"/>
          <w:lang w:eastAsia="zh-CN"/>
        </w:rPr>
        <w:t xml:space="preserve">                                  </w:t>
      </w:r>
      <w:r>
        <w:rPr>
          <w:rFonts w:hint="eastAsia" w:ascii="宋体" w:hAnsi="宋体" w:eastAsia="宋体" w:cs="宋体"/>
          <w:spacing w:val="-1"/>
          <w:sz w:val="24"/>
          <w:szCs w:val="24"/>
          <w:lang w:eastAsia="zh-CN"/>
        </w:rPr>
        <w:t xml:space="preserve">  </w:t>
      </w:r>
      <w:r>
        <w:rPr>
          <w:rFonts w:ascii="宋体" w:hAnsi="宋体" w:eastAsia="宋体" w:cs="宋体"/>
          <w:b/>
          <w:bCs/>
          <w:spacing w:val="-1"/>
          <w:sz w:val="24"/>
          <w:szCs w:val="24"/>
          <w:lang w:eastAsia="zh-CN"/>
        </w:rPr>
        <w:t>证券简称：</w:t>
      </w:r>
      <w:r>
        <w:rPr>
          <w:rFonts w:hint="eastAsia" w:ascii="宋体" w:hAnsi="宋体" w:eastAsia="宋体" w:cs="宋体"/>
          <w:b/>
          <w:bCs/>
          <w:spacing w:val="-1"/>
          <w:sz w:val="24"/>
          <w:szCs w:val="24"/>
          <w:lang w:eastAsia="zh-CN"/>
        </w:rPr>
        <w:t>林平发展</w:t>
      </w:r>
    </w:p>
    <w:p w14:paraId="6C82002D">
      <w:pPr>
        <w:spacing w:line="329" w:lineRule="auto"/>
        <w:rPr>
          <w:lang w:eastAsia="zh-CN"/>
        </w:rPr>
      </w:pPr>
    </w:p>
    <w:p w14:paraId="524DA932">
      <w:pPr>
        <w:spacing w:line="330" w:lineRule="auto"/>
        <w:rPr>
          <w:lang w:eastAsia="zh-CN"/>
        </w:rPr>
      </w:pPr>
    </w:p>
    <w:p w14:paraId="0860BDE8">
      <w:pPr>
        <w:spacing w:before="104" w:line="220" w:lineRule="auto"/>
        <w:jc w:val="center"/>
        <w:outlineLvl w:val="0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pacing w:val="-4"/>
          <w:sz w:val="32"/>
          <w:szCs w:val="32"/>
          <w:lang w:eastAsia="zh-CN"/>
        </w:rPr>
        <w:t>安徽林平循环发展股份有限公司</w:t>
      </w:r>
    </w:p>
    <w:p w14:paraId="02621F7D">
      <w:pPr>
        <w:spacing w:before="243" w:line="220" w:lineRule="auto"/>
        <w:jc w:val="center"/>
        <w:outlineLvl w:val="0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ascii="宋体" w:hAnsi="宋体" w:eastAsia="宋体" w:cs="宋体"/>
          <w:b/>
          <w:bCs/>
          <w:spacing w:val="-4"/>
          <w:sz w:val="32"/>
          <w:szCs w:val="32"/>
          <w:lang w:eastAsia="zh-CN"/>
        </w:rPr>
        <w:t>投资者关系活动记录表</w:t>
      </w:r>
    </w:p>
    <w:p w14:paraId="095EA65A">
      <w:pPr>
        <w:spacing w:line="382" w:lineRule="auto"/>
        <w:rPr>
          <w:highlight w:val="yellow"/>
          <w:lang w:eastAsia="zh-CN"/>
        </w:rPr>
      </w:pPr>
    </w:p>
    <w:p w14:paraId="0F20770F">
      <w:pPr>
        <w:spacing w:before="78" w:line="220" w:lineRule="auto"/>
        <w:ind w:left="329"/>
        <w:rPr>
          <w:rFonts w:hint="default" w:eastAsia="宋体"/>
          <w:lang w:val="en-US" w:eastAsia="zh-CN"/>
        </w:rPr>
      </w:pPr>
      <w:r>
        <w:rPr>
          <w:rFonts w:ascii="宋体" w:hAnsi="宋体" w:eastAsia="宋体" w:cs="宋体"/>
          <w:b/>
          <w:bCs/>
          <w:spacing w:val="-3"/>
          <w:sz w:val="24"/>
          <w:szCs w:val="24"/>
          <w:lang w:eastAsia="zh-CN"/>
        </w:rPr>
        <w:t>编号：2026-00</w:t>
      </w:r>
      <w:r>
        <w:rPr>
          <w:rFonts w:hint="eastAsia" w:ascii="宋体" w:hAnsi="宋体" w:eastAsia="宋体" w:cs="宋体"/>
          <w:b/>
          <w:bCs/>
          <w:spacing w:val="-3"/>
          <w:sz w:val="24"/>
          <w:szCs w:val="24"/>
          <w:lang w:val="en-US" w:eastAsia="zh-CN"/>
        </w:rPr>
        <w:t>3</w:t>
      </w:r>
    </w:p>
    <w:tbl>
      <w:tblPr>
        <w:tblStyle w:val="12"/>
        <w:tblW w:w="896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7"/>
        <w:gridCol w:w="6982"/>
      </w:tblGrid>
      <w:tr w14:paraId="5C95FA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7" w:type="dxa"/>
            <w:vAlign w:val="center"/>
          </w:tcPr>
          <w:p w14:paraId="6B8432EF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3" w:line="312" w:lineRule="auto"/>
              <w:ind w:left="114" w:right="107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7"/>
              </w:rPr>
              <w:t>投资者关系活动类别</w:t>
            </w:r>
          </w:p>
        </w:tc>
        <w:tc>
          <w:tcPr>
            <w:tcW w:w="6982" w:type="dxa"/>
          </w:tcPr>
          <w:p w14:paraId="49A2EA21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5" w:line="219" w:lineRule="auto"/>
              <w:ind w:left="133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5"/>
                <w:lang w:eastAsia="zh-CN"/>
              </w:rPr>
              <w:t>□特定对象调研</w:t>
            </w:r>
            <w:r>
              <w:rPr>
                <w:rFonts w:hint="default" w:ascii="Times New Roman" w:hAnsi="Times New Roman" w:eastAsia="宋体" w:cs="Times New Roman"/>
                <w:spacing w:val="4"/>
                <w:lang w:eastAsia="zh-CN"/>
              </w:rPr>
              <w:t xml:space="preserve">        </w:t>
            </w:r>
            <w:r>
              <w:rPr>
                <w:rFonts w:hint="default" w:ascii="Times New Roman" w:hAnsi="Times New Roman" w:eastAsia="宋体" w:cs="Times New Roman"/>
                <w:spacing w:val="-5"/>
                <w:lang w:eastAsia="zh-CN"/>
              </w:rPr>
              <w:t>□分析师会议</w:t>
            </w:r>
          </w:p>
          <w:p w14:paraId="09FCDA6B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83" w:line="219" w:lineRule="auto"/>
              <w:ind w:left="133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7"/>
                <w:lang w:eastAsia="zh-CN"/>
              </w:rPr>
              <w:t>□媒体采访</w:t>
            </w:r>
            <w:r>
              <w:rPr>
                <w:rFonts w:hint="default" w:ascii="Times New Roman" w:hAnsi="Times New Roman" w:eastAsia="宋体" w:cs="Times New Roman"/>
                <w:spacing w:val="3"/>
                <w:lang w:eastAsia="zh-CN"/>
              </w:rPr>
              <w:t xml:space="preserve">            </w:t>
            </w:r>
            <w:r>
              <w:rPr>
                <w:rFonts w:hint="default" w:ascii="Times New Roman" w:hAnsi="Times New Roman" w:eastAsia="宋体" w:cs="Times New Roman"/>
                <w:spacing w:val="-5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pacing w:val="-7"/>
                <w:lang w:eastAsia="zh-CN"/>
              </w:rPr>
              <w:t>业绩说明会</w:t>
            </w:r>
          </w:p>
          <w:p w14:paraId="4453F9F6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83" w:line="219" w:lineRule="auto"/>
              <w:ind w:left="133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6"/>
                <w:lang w:eastAsia="zh-CN"/>
              </w:rPr>
              <w:t>□新闻发布会</w:t>
            </w:r>
            <w:r>
              <w:rPr>
                <w:rFonts w:hint="default" w:ascii="Times New Roman" w:hAnsi="Times New Roman" w:eastAsia="宋体" w:cs="Times New Roman"/>
                <w:spacing w:val="3"/>
                <w:lang w:eastAsia="zh-CN"/>
              </w:rPr>
              <w:t xml:space="preserve">          </w:t>
            </w:r>
            <w:r>
              <w:rPr>
                <w:rFonts w:hint="default" w:ascii="Times New Roman" w:hAnsi="Times New Roman" w:eastAsia="宋体" w:cs="Times New Roman"/>
                <w:spacing w:val="-6"/>
                <w:lang w:eastAsia="zh-CN"/>
              </w:rPr>
              <w:t>☑路演活动</w:t>
            </w:r>
          </w:p>
          <w:p w14:paraId="64A929F5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83" w:line="219" w:lineRule="auto"/>
              <w:ind w:left="133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7"/>
                <w:lang w:eastAsia="zh-CN"/>
              </w:rPr>
              <w:t>□现场参观</w:t>
            </w:r>
            <w:r>
              <w:rPr>
                <w:rFonts w:hint="default" w:ascii="Times New Roman" w:hAnsi="Times New Roman" w:eastAsia="宋体" w:cs="Times New Roman"/>
                <w:spacing w:val="3"/>
                <w:lang w:eastAsia="zh-CN"/>
              </w:rPr>
              <w:t xml:space="preserve">            </w:t>
            </w:r>
            <w:r>
              <w:rPr>
                <w:rFonts w:hint="eastAsia" w:ascii="Times New Roman" w:hAnsi="Times New Roman" w:cs="Times New Roman"/>
                <w:spacing w:val="-7"/>
                <w:lang w:eastAsia="zh-CN"/>
              </w:rPr>
              <w:t>☑</w:t>
            </w:r>
            <w:r>
              <w:rPr>
                <w:rFonts w:hint="default" w:ascii="Times New Roman" w:hAnsi="Times New Roman" w:eastAsia="宋体" w:cs="Times New Roman"/>
                <w:spacing w:val="-7"/>
                <w:lang w:eastAsia="zh-CN"/>
              </w:rPr>
              <w:t>电话会议</w:t>
            </w:r>
          </w:p>
          <w:p w14:paraId="48BB82CE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82" w:line="220" w:lineRule="auto"/>
              <w:ind w:left="133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2"/>
                <w:lang w:eastAsia="zh-CN"/>
              </w:rPr>
              <w:t>□其他 （</w:t>
            </w:r>
            <w:r>
              <w:rPr>
                <w:rFonts w:hint="default" w:ascii="Times New Roman" w:hAnsi="Times New Roman" w:eastAsia="宋体" w:cs="Times New Roman"/>
                <w:spacing w:val="-2"/>
                <w:u w:val="single"/>
                <w:lang w:eastAsia="zh-CN"/>
              </w:rPr>
              <w:t>请文字说明其他活动内容）</w:t>
            </w:r>
          </w:p>
        </w:tc>
      </w:tr>
      <w:tr w14:paraId="4F7AF6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 w:hRule="atLeast"/>
          <w:jc w:val="center"/>
        </w:trPr>
        <w:tc>
          <w:tcPr>
            <w:tcW w:w="1987" w:type="dxa"/>
            <w:vAlign w:val="center"/>
          </w:tcPr>
          <w:p w14:paraId="00C21A8E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3" w:line="312" w:lineRule="auto"/>
              <w:ind w:left="114" w:right="107"/>
              <w:jc w:val="both"/>
              <w:rPr>
                <w:rFonts w:hint="default" w:ascii="Times New Roman" w:hAnsi="Times New Roman" w:eastAsia="宋体" w:cs="Times New Roman"/>
                <w:b/>
                <w:bCs/>
                <w:spacing w:val="7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7"/>
              </w:rPr>
              <w:t>参与单位名称</w:t>
            </w:r>
          </w:p>
        </w:tc>
        <w:tc>
          <w:tcPr>
            <w:tcW w:w="6982" w:type="dxa"/>
          </w:tcPr>
          <w:p w14:paraId="38D0FA9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bidi w:val="0"/>
              <w:ind w:firstLine="240" w:firstLineChars="1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（排名不分先后）</w:t>
            </w:r>
          </w:p>
          <w:p w14:paraId="13C9B5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鑫元基金管理有限公司  汇丰晋信基金管理有限公司</w:t>
            </w:r>
          </w:p>
          <w:p w14:paraId="71C6C3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开源证券股份有限公司  新华基金管理股份有限公司</w:t>
            </w:r>
          </w:p>
          <w:p w14:paraId="1D3881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天治基金管理有限公司  永安国富资产管理有限公司 </w:t>
            </w:r>
          </w:p>
          <w:p w14:paraId="6F54AE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富国基金管理有限公司  上海汇正财经顾问有限公司</w:t>
            </w:r>
          </w:p>
          <w:p w14:paraId="59BC39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融通基金管理有限公司  圆信永丰基金管理有限公司</w:t>
            </w:r>
          </w:p>
          <w:p w14:paraId="6D09E0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华宝基金管理有限公司  东方基金管理股份有限公司</w:t>
            </w:r>
          </w:p>
          <w:p w14:paraId="21F3A5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浦银基金管理有限公司  西部利得基金管理有限公司</w:t>
            </w:r>
          </w:p>
          <w:p w14:paraId="42B268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银河基金管理有限公司  华泰柏瑞基金管理有限公司</w:t>
            </w:r>
          </w:p>
          <w:p w14:paraId="6054D6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长城基金管理有限公司  上海聚鸣投资管理有限公司</w:t>
            </w:r>
          </w:p>
          <w:p w14:paraId="1699FD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财通基金管理有限公司  中国国际金融股份有限公司</w:t>
            </w:r>
          </w:p>
          <w:p w14:paraId="5F3F55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东北证券股份有限公司  申万菱信基金管理有限公司</w:t>
            </w:r>
          </w:p>
          <w:p w14:paraId="21D517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国金证券股份有限公司  国投瑞银基金管理有限公司</w:t>
            </w:r>
          </w:p>
          <w:p w14:paraId="1A5A23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永赢基金管理有限公司  银华基金管理股份有限公司</w:t>
            </w:r>
          </w:p>
          <w:p w14:paraId="44333B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华商基金管理有限公司  农银汇理基金管理有限公司</w:t>
            </w:r>
          </w:p>
          <w:p w14:paraId="5880AE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宏利基金管理有限公司  泰康资产管理有限责任公司</w:t>
            </w:r>
          </w:p>
          <w:p w14:paraId="7CA5B5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泰康基金管理有限公司  国联民生证券股份有限公司</w:t>
            </w:r>
          </w:p>
          <w:p w14:paraId="4A2B76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华夏基金管理有限公司  交银施罗德基金管理有限公司</w:t>
            </w:r>
          </w:p>
          <w:p w14:paraId="19D0B8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嘉实基金管理有限公司  光大保德信基金管理有限公司</w:t>
            </w:r>
          </w:p>
          <w:p w14:paraId="1CBCEE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上海东方证券资产管理有限公司</w:t>
            </w:r>
          </w:p>
          <w:p w14:paraId="4329BD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firstLine="240" w:firstLineChars="10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淡水泉（北京）投资管理有限公司</w:t>
            </w:r>
          </w:p>
          <w:p w14:paraId="5C9404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ind w:firstLine="240" w:firstLineChars="100"/>
              <w:jc w:val="left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上海盘京投资管理中心（有限合伙）</w:t>
            </w:r>
          </w:p>
        </w:tc>
      </w:tr>
      <w:tr w14:paraId="078049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7" w:type="dxa"/>
            <w:vAlign w:val="center"/>
          </w:tcPr>
          <w:p w14:paraId="3B5DF04A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2" w:line="219" w:lineRule="auto"/>
              <w:ind w:left="111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4"/>
              </w:rPr>
              <w:t>会议时间</w:t>
            </w:r>
          </w:p>
        </w:tc>
        <w:tc>
          <w:tcPr>
            <w:tcW w:w="6982" w:type="dxa"/>
          </w:tcPr>
          <w:p w14:paraId="1DD82140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2" w:line="220" w:lineRule="auto"/>
              <w:ind w:left="112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sz w:val="24"/>
                <w:szCs w:val="24"/>
                <w:lang w:val="en-US" w:eastAsia="zh-CN" w:bidi="ar-SA"/>
              </w:rPr>
              <w:t>2026年8月18日</w:t>
            </w:r>
            <w:r>
              <w:rPr>
                <w:rFonts w:hint="eastAsia" w:ascii="Times New Roman" w:hAnsi="Times New Roman" w:cs="Times New Roman"/>
                <w:snapToGrid w:val="0"/>
                <w:color w:val="000000"/>
                <w:sz w:val="24"/>
                <w:szCs w:val="24"/>
                <w:lang w:val="en-US" w:eastAsia="zh-CN" w:bidi="ar-SA"/>
              </w:rPr>
              <w:t>—</w:t>
            </w:r>
            <w:r>
              <w:rPr>
                <w:rFonts w:hint="default" w:ascii="Times New Roman" w:hAnsi="Times New Roman" w:eastAsia="宋体" w:cs="Times New Roman"/>
                <w:snapToGrid w:val="0"/>
                <w:color w:val="000000"/>
                <w:sz w:val="24"/>
                <w:szCs w:val="24"/>
                <w:lang w:val="en-US" w:eastAsia="zh-CN" w:bidi="ar-SA"/>
              </w:rPr>
              <w:t>8月26日</w:t>
            </w:r>
          </w:p>
        </w:tc>
      </w:tr>
      <w:tr w14:paraId="6CF758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7" w:type="dxa"/>
            <w:vAlign w:val="center"/>
          </w:tcPr>
          <w:p w14:paraId="5FA2B85C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3" w:line="219" w:lineRule="auto"/>
              <w:ind w:left="111"/>
              <w:jc w:val="both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4"/>
              </w:rPr>
              <w:t>会议地点</w:t>
            </w:r>
          </w:p>
        </w:tc>
        <w:tc>
          <w:tcPr>
            <w:tcW w:w="6982" w:type="dxa"/>
          </w:tcPr>
          <w:p w14:paraId="008798A3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3" w:line="220" w:lineRule="auto"/>
              <w:ind w:left="111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上海 北京</w:t>
            </w:r>
          </w:p>
        </w:tc>
      </w:tr>
      <w:tr w14:paraId="0B6F3A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7" w:type="dxa"/>
            <w:vAlign w:val="center"/>
          </w:tcPr>
          <w:p w14:paraId="6803F09E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3" w:line="312" w:lineRule="auto"/>
              <w:ind w:left="114" w:right="107"/>
              <w:jc w:val="both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5"/>
                <w:lang w:val="en-US" w:eastAsia="zh-CN"/>
              </w:rPr>
              <w:t>上市公司参会</w:t>
            </w:r>
            <w:r>
              <w:rPr>
                <w:rFonts w:hint="default" w:ascii="Times New Roman" w:hAnsi="Times New Roman" w:eastAsia="宋体" w:cs="Times New Roman"/>
                <w:b/>
                <w:bCs/>
                <w:spacing w:val="-5"/>
                <w:lang w:eastAsia="zh-CN"/>
              </w:rPr>
              <w:t>人员姓名</w:t>
            </w:r>
          </w:p>
        </w:tc>
        <w:tc>
          <w:tcPr>
            <w:tcW w:w="6982" w:type="dxa"/>
            <w:tcBorders>
              <w:bottom w:val="single" w:color="auto" w:sz="4" w:space="0"/>
            </w:tcBorders>
          </w:tcPr>
          <w:p w14:paraId="7A32D701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13" w:line="312" w:lineRule="auto"/>
              <w:ind w:left="114" w:right="103" w:firstLine="2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pacing w:val="-3"/>
                <w:lang w:eastAsia="zh-CN"/>
              </w:rPr>
              <w:t>公司董事长兼总经理李建设先生，董事会秘书王善彬先生，董事兼财务总监李培凯先生</w:t>
            </w:r>
            <w:bookmarkStart w:id="0" w:name="_GoBack"/>
            <w:bookmarkEnd w:id="0"/>
          </w:p>
        </w:tc>
      </w:tr>
      <w:tr w14:paraId="036EB7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jc w:val="center"/>
        </w:trPr>
        <w:tc>
          <w:tcPr>
            <w:tcW w:w="1987" w:type="dxa"/>
            <w:tcBorders>
              <w:right w:val="single" w:color="auto" w:sz="4" w:space="0"/>
            </w:tcBorders>
          </w:tcPr>
          <w:p w14:paraId="4510D6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4" w:lineRule="auto"/>
              <w:rPr>
                <w:rFonts w:hint="default" w:ascii="Times New Roman" w:hAnsi="Times New Roman" w:eastAsia="宋体" w:cs="Times New Roman"/>
                <w:lang w:eastAsia="zh-CN"/>
              </w:rPr>
            </w:pPr>
          </w:p>
          <w:p w14:paraId="32040D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4" w:lineRule="auto"/>
              <w:rPr>
                <w:rFonts w:hint="default" w:ascii="Times New Roman" w:hAnsi="Times New Roman" w:eastAsia="宋体" w:cs="Times New Roman"/>
                <w:lang w:eastAsia="zh-CN"/>
              </w:rPr>
            </w:pPr>
          </w:p>
          <w:p w14:paraId="6086FA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4" w:lineRule="auto"/>
              <w:rPr>
                <w:rFonts w:hint="default" w:ascii="Times New Roman" w:hAnsi="Times New Roman" w:eastAsia="宋体" w:cs="Times New Roman"/>
                <w:lang w:eastAsia="zh-CN"/>
              </w:rPr>
            </w:pPr>
          </w:p>
          <w:p w14:paraId="354DD5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4" w:lineRule="auto"/>
              <w:rPr>
                <w:rFonts w:hint="default" w:ascii="Times New Roman" w:hAnsi="Times New Roman" w:eastAsia="宋体" w:cs="Times New Roman"/>
                <w:lang w:eastAsia="zh-CN"/>
              </w:rPr>
            </w:pPr>
          </w:p>
          <w:p w14:paraId="05F96D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4" w:lineRule="auto"/>
              <w:rPr>
                <w:rFonts w:hint="default" w:ascii="Times New Roman" w:hAnsi="Times New Roman" w:eastAsia="宋体" w:cs="Times New Roman"/>
                <w:lang w:eastAsia="zh-CN"/>
              </w:rPr>
            </w:pPr>
          </w:p>
          <w:p w14:paraId="4CE7F5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4" w:lineRule="auto"/>
              <w:rPr>
                <w:rFonts w:hint="default" w:ascii="Times New Roman" w:hAnsi="Times New Roman" w:eastAsia="宋体" w:cs="Times New Roman"/>
                <w:lang w:eastAsia="zh-CN"/>
              </w:rPr>
            </w:pPr>
          </w:p>
          <w:p w14:paraId="79C6945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4" w:lineRule="auto"/>
              <w:rPr>
                <w:rFonts w:hint="default" w:ascii="Times New Roman" w:hAnsi="Times New Roman" w:eastAsia="宋体" w:cs="Times New Roman"/>
                <w:lang w:eastAsia="zh-CN"/>
              </w:rPr>
            </w:pPr>
          </w:p>
          <w:p w14:paraId="523708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4" w:lineRule="auto"/>
              <w:rPr>
                <w:rFonts w:hint="default" w:ascii="Times New Roman" w:hAnsi="Times New Roman" w:eastAsia="宋体" w:cs="Times New Roman"/>
                <w:lang w:eastAsia="zh-CN"/>
              </w:rPr>
            </w:pPr>
          </w:p>
          <w:p w14:paraId="245C90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4" w:lineRule="auto"/>
              <w:rPr>
                <w:rFonts w:hint="default" w:ascii="Times New Roman" w:hAnsi="Times New Roman" w:eastAsia="宋体" w:cs="Times New Roman"/>
                <w:lang w:eastAsia="zh-CN"/>
              </w:rPr>
            </w:pPr>
          </w:p>
          <w:p w14:paraId="0E0F4D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line="245" w:lineRule="auto"/>
              <w:rPr>
                <w:rFonts w:hint="default" w:ascii="Times New Roman" w:hAnsi="Times New Roman" w:eastAsia="宋体" w:cs="Times New Roman"/>
                <w:lang w:eastAsia="zh-CN"/>
              </w:rPr>
            </w:pPr>
          </w:p>
          <w:p w14:paraId="7C225D46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78" w:line="363" w:lineRule="auto"/>
              <w:ind w:left="113" w:right="107" w:firstLine="1"/>
              <w:jc w:val="both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7"/>
                <w:lang w:eastAsia="zh-CN"/>
              </w:rPr>
              <w:t>投资者关系活</w:t>
            </w:r>
            <w:r>
              <w:rPr>
                <w:rFonts w:hint="default" w:ascii="Times New Roman" w:hAnsi="Times New Roman" w:eastAsia="宋体" w:cs="Times New Roman"/>
                <w:b/>
                <w:bCs/>
                <w:spacing w:val="8"/>
                <w:lang w:eastAsia="zh-CN"/>
              </w:rPr>
              <w:t>动主要内容介</w:t>
            </w:r>
            <w:r>
              <w:rPr>
                <w:rFonts w:hint="default" w:ascii="Times New Roman" w:hAnsi="Times New Roman" w:eastAsia="宋体" w:cs="Times New Roman"/>
                <w:b/>
                <w:bCs/>
                <w:spacing w:val="-3"/>
                <w:lang w:eastAsia="zh-CN"/>
              </w:rPr>
              <w:t>绍</w:t>
            </w:r>
          </w:p>
        </w:tc>
        <w:tc>
          <w:tcPr>
            <w:tcW w:w="6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170" w:type="dxa"/>
              <w:left w:w="170" w:type="dxa"/>
              <w:bottom w:w="170" w:type="dxa"/>
              <w:right w:w="170" w:type="dxa"/>
            </w:tcMar>
            <w:vAlign w:val="center"/>
          </w:tcPr>
          <w:p w14:paraId="4598EEB0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firstLine="482" w:firstLineChars="200"/>
              <w:jc w:val="both"/>
              <w:textAlignment w:val="baseline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1、公司基本情况介绍及募投项目进展？</w:t>
            </w:r>
          </w:p>
          <w:p w14:paraId="7948F72E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leftChars="0" w:firstLine="480" w:firstLineChars="200"/>
              <w:jc w:val="both"/>
              <w:textAlignment w:val="baseline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答：安徽林平循环发展股份有限公司（股票简称：林平发展，股票代码：603284）主要从事包装用瓦楞纸、箱板纸产品的研发、生产和销售，是一家具有自主研发及创新能力的高新技术企业；经过多年发展，公司已成长为集废纸利用、热电联产、绿色造纸于一体的资源综合利用企业。</w:t>
            </w:r>
          </w:p>
          <w:p w14:paraId="050E378C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leftChars="0" w:firstLine="480" w:firstLineChars="200"/>
              <w:jc w:val="both"/>
              <w:textAlignment w:val="baseline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公司深耕循环造纸行业二十余年，在循环造纸领域具有较高的知名度，公司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“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林平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”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商标获得中国驰名商标和安徽省著名商标称号，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“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林平牌高档A级施胶瓦楞纸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”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获得安徽名牌产品称号。</w:t>
            </w:r>
          </w:p>
          <w:p w14:paraId="5DE572D2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leftChars="0" w:firstLine="480" w:firstLineChars="200"/>
              <w:jc w:val="both"/>
              <w:textAlignment w:val="baseline"/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公司募投项目进展情况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：</w:t>
            </w:r>
          </w:p>
          <w:p w14:paraId="6506BAAC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leftChars="0" w:firstLine="480" w:firstLineChars="200"/>
              <w:jc w:val="both"/>
              <w:textAlignment w:val="baseline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2026年上半年，公司持续加快重点募投生产线项目落地建设节奏，有序推进产能中长期布局。产能建设方面，年产90万吨绿色环保智能制造新材料项目（二期）已于 2026年3月建成并正式投产运行。该项目顺利投运后，为公司新增60万吨原纸产能，优质先进产能储备得到大幅扩充，有效优化公司现有产能梯队结构。待项目建成投产后，产线具备柔性生产能力，可结合市场价格走势、下游订单结构灵活切换生产瓦楞纸、箱板纸，提升经营弹性，精准响应下游包装行业动态变化的采购需求。</w:t>
            </w:r>
          </w:p>
          <w:p w14:paraId="4047EF55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left="0" w:leftChars="0" w:firstLine="480" w:firstLineChars="200"/>
              <w:jc w:val="both"/>
              <w:textAlignment w:val="baseline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公司同时推进年产60万吨生物基纤维绿色智能制造新材料项目。该项目主要聚焦低克重，是公司高端化的方向发展。结合公司工艺成熟、品质稳定以及深受目标市场认可度高的高克重产品，新增的低克重产品，不但补齐了公司的产品布局，完善了产品矩阵，同时实现技术升级，提高产能，打开新的增长空间，以此实现多元化销售。</w:t>
            </w:r>
          </w:p>
          <w:p w14:paraId="00830E8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firstLine="482" w:firstLineChars="200"/>
              <w:jc w:val="both"/>
              <w:textAlignment w:val="baseline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2、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eastAsia="zh-CN"/>
              </w:rPr>
              <w:t>能否介绍一下公司对未来的规划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？</w:t>
            </w:r>
          </w:p>
          <w:p w14:paraId="7CE74F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48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答：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公司始终坚持以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“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绿色制造+循环经济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eastAsia="zh-CN"/>
              </w:rPr>
              <w:t>”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双轮战略模式，持续推进年产90万吨绿色环保智能制造新材料项目（二期）（该项目已于2026年一季度投产，新增60万吨产能），同时推进年产60万吨生物基纤维绿色智能制造新材料项目尽快落地，增强区域辐射力。中期规划上，公司巩固浙皖苏南市场，开拓华中，拓展赣鄂闽等区域，提升客户服务与粘性，辐射长三角，打造区域性大型造纸企业。关于长期规划，公司持续专注瓦楞纸、箱板纸主业，通过技术创新与产能扩张提升核心竞争力，坚持绿色制造与循环经济理念，打造现代化造纸企业，致力成为行业绿色智造标杆。</w:t>
            </w:r>
          </w:p>
          <w:p w14:paraId="7FF821E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360" w:lineRule="auto"/>
              <w:ind w:firstLine="482" w:firstLineChars="200"/>
              <w:jc w:val="both"/>
              <w:textAlignment w:val="baseline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3、公司业绩同比情况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介绍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？</w:t>
            </w:r>
          </w:p>
          <w:p w14:paraId="31610EE5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答：公司的营业收入相较于去年同期增长了41.13%。主要原因是2026年上半年，纸制品行业下游需求逐步回暖，瓦楞纸和箱板纸市场销售价格回升，公司年产60万吨的8600产线于2026年3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月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顺利投产，产能持续释放，产品销量稳步增长，量价齐升推动营业收入同比增长。</w:t>
            </w:r>
          </w:p>
          <w:p w14:paraId="0C71D993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归属于上市公司股东的净利润较上年同期增长了27.33%。202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年上半年，纸制品行业下游需求逐步回暖，公司瓦楞纸和箱板纸销售量价齐升推动营业收入同比增长。上半年，上游废纸等原材料采购价格维持高位，原材料成本上涨对盈利形成一定挤压；同时，新产线投产初期折旧等固定费用有所增加，规模效应尚未充分释放。受上述两个因素的共同影响，公司净利润同比实现增长。</w:t>
            </w:r>
          </w:p>
          <w:p w14:paraId="113E2617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482" w:firstLineChars="200"/>
              <w:jc w:val="both"/>
              <w:textAlignment w:val="auto"/>
              <w:outlineLvl w:val="1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kern w:val="0"/>
                <w:sz w:val="24"/>
                <w:szCs w:val="24"/>
                <w:lang w:val="en-US" w:eastAsia="zh-CN" w:bidi="ar"/>
              </w:rPr>
              <w:t>4、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如何看待行业发展及需求变化？</w:t>
            </w:r>
          </w:p>
          <w:p w14:paraId="3D1C4E6A">
            <w:pPr>
              <w:pStyle w:val="2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 w:rightChars="0" w:firstLine="480" w:firstLineChars="200"/>
              <w:jc w:val="both"/>
              <w:textAlignment w:val="auto"/>
              <w:outlineLvl w:val="1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  <w:t>答：国内包装纸行业集中度偏低，中小落后产能加速出清，行业向规模化升级。我国人均纸消费量低于欧美，下游食品饮料、家电、电商快递等行业需求稳步增长，叠加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eastAsia="zh-CN"/>
              </w:rPr>
              <w:t>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  <w:t>以纸代塑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  <w:lang w:eastAsia="zh-CN"/>
              </w:rPr>
              <w:t>”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  <w:t>政策，行业具备增长空间。当前出口大于进口，下游客户兼顾出口和内销。但行业淡旺季轮动特征显著，废纸原料价格波动会对盈利形成扰动。在下游库存处于低位、海外包装需求回暖的背景下，行业有望迎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来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  <w:t>景气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</w:rPr>
              <w:t>度提升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  <w:t>。</w:t>
            </w:r>
          </w:p>
          <w:p w14:paraId="68292BC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2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5、部分企业文化纸转产对公司发展有无影响？</w:t>
            </w:r>
          </w:p>
          <w:p w14:paraId="2227BD3B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答：没有影响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eastAsia="zh-CN"/>
              </w:rPr>
              <w:t>。</w:t>
            </w:r>
          </w:p>
          <w:p w14:paraId="4328331E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2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6、公司成本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控制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与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/>
              </w:rPr>
              <w:t>核心优势</w:t>
            </w: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？</w:t>
            </w:r>
          </w:p>
          <w:p w14:paraId="792AD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420" w:leftChars="200" w:right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en-US" w:bidi="ar-SA"/>
              </w:rPr>
              <w:t>答：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（1）循环经济及一体化生产优势</w:t>
            </w:r>
          </w:p>
          <w:p w14:paraId="7F382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120" w:beforeLines="50" w:beforeAutospacing="0" w:after="120" w:afterLines="50" w:afterAutospacing="0" w:line="360" w:lineRule="auto"/>
              <w:ind w:left="0" w:right="0" w:firstLine="480" w:firstLineChars="2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公司深度践行循环经济发展理念，围绕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资源—能源—产品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”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构建了完整的绿色产业链。在原料端，公司以废纸为核心原材料，产品经流通使用后可回收再生，同时食品、印刷等其他领域的纸制品亦可回收用于包装原纸生产，形成了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资源—产品—再生资源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”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的闭环流动，为原料供应提供了源源不断的补充，有效保障了上游资源的稳定性。在生产端，公司配套建设热电联产项目，利用生产过程中产生的浆渣、回收沼气等实施热电联产，发电产生的热蒸汽直接输送至造纸车间烘干部用于纸页烘干，大幅降低了对传统能源的依赖和外购成本，富余蒸汽还可对外销售创造收益。原料的循环再生与能源的综合利用相互协同，不仅构筑了坚实的成本护城河，更实现了经济效益与环保效益双赢。</w:t>
            </w:r>
          </w:p>
          <w:p w14:paraId="6E892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120" w:beforeLines="50" w:beforeAutospacing="0" w:after="120" w:afterLines="50" w:afterAutospacing="0" w:line="360" w:lineRule="auto"/>
              <w:ind w:left="0" w:right="0" w:firstLine="480" w:firstLineChars="20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（2）生产工艺及设备优势</w:t>
            </w:r>
          </w:p>
          <w:p w14:paraId="15A576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120" w:beforeLines="50" w:beforeAutospacing="0" w:after="120" w:afterLines="50" w:afterAutospacing="0" w:line="360" w:lineRule="auto"/>
              <w:ind w:left="0" w:right="0" w:firstLine="480" w:firstLineChars="2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公司坚持走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绿色智造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”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与循环经济相结合的发展道路，在生产工艺与装备层面构筑了坚实的竞争壁垒。公司原纸生产线中包含宽幅更宽、自动化程度更高的6600mm和8600mm生产线，关键设备成新率较高，为产品质量的持续稳定及生产效率的不断提升提供了有力保障。依托国际先进的DCS集散控制系统和智能MCC管控一体化系统，公司实现了从制浆到成纸全流程的精准控制与自动化运行，有效确保了产品物理指标的稳定性。同时，公司深度整合资源综合利用链条，配套建设热电联产车间及高标准的污水处理系统，将生产过程中产生的浆渣、回收沼气转化为能源，实现厂区废水治理设施的全面升级，通过全流程的资源循环与环保投入，不仅降低了生产成本，更实现了节能减排与清洁生产的目标，奠定了公司在行业内的绿色智造标杆地位。</w:t>
            </w:r>
          </w:p>
          <w:p w14:paraId="3EF0B1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120" w:beforeLines="50" w:beforeAutospacing="0" w:after="120" w:afterLines="50" w:afterAutospacing="0" w:line="360" w:lineRule="auto"/>
              <w:ind w:left="0" w:right="0" w:firstLine="480" w:firstLineChars="20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（3）区位优势</w:t>
            </w:r>
          </w:p>
          <w:p w14:paraId="64606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120" w:beforeLines="50" w:beforeAutospacing="0" w:after="120" w:afterLines="50" w:afterAutospacing="0" w:line="360" w:lineRule="auto"/>
              <w:ind w:left="0" w:right="0" w:firstLine="480" w:firstLineChars="2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公司生产基地位居安徽宿州萧县，地处淮海经济区核心位置，是长三角产业转移的重要承接区域。依托这一战略要地，公司坐拥双重优势：一方面，深度融入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苏、浙、皖、鲁、豫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”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核心市场圈，销售半径全面覆盖长三角及周边制造业密集区；另一方面，依托安徽作为国家级家电生产基地的产业禀赋，不仅拥有稳定旺盛的包装用纸需求，更享有周边地区（皖北、豫东、鲁西南）丰富的废纸资源与优质煤炭供应，实现了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近市场、近原料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”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的双重布局。这一独特的区位优势，为公司构筑了稳固的成本护城河与敏捷的市场响应能力。</w:t>
            </w:r>
          </w:p>
          <w:p w14:paraId="3275B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0" w:beforeAutospacing="0" w:after="0" w:afterAutospacing="0" w:line="360" w:lineRule="auto"/>
              <w:ind w:left="0" w:right="0" w:firstLine="480" w:firstLineChars="20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（4）环保优势</w:t>
            </w:r>
          </w:p>
          <w:p w14:paraId="23B17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120" w:beforeLines="50" w:beforeAutospacing="0" w:after="120" w:afterLines="50" w:afterAutospacing="0" w:line="360" w:lineRule="auto"/>
              <w:ind w:left="0" w:right="0" w:firstLine="480" w:firstLineChars="2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公司深度践行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绿水青山就是金山银山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”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的发展理念，依托国家级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绿色工厂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”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的先进经验，大力推进清洁生产，将绿色发展理念贯穿于生产经营全过程。在产品源头端，公司主营的瓦楞纸、箱板纸以废纸为唯一纤维原料，产品本身具备绿色环保、循环回收利用的天然属性，是公认的绿色包装材料。生产过程不产生制浆黑液，废水产生量少，属于典型的能耗低、轻污染的环保型产品，相较于其他包装材料具有明显的环保优势。在环保设施端，公司持续加大环保投入，引进行业先进的工艺与设备，建成了日处理能力20,000吨的污水处理站及日处理能力20,000吨的EIC高效厌氧反应器，形成了完善的污水循环处理系统。公司采用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预处理+厌氧+好氧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”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的先进处理工艺，污水经预处理后排入园区污水处理系统，排放水质各项污染物含量均低于纳管排放标准，实现了稳定达标排放。在资源循环端，公司通过将生产过程中产生的浆渣、污泥及回收的沼气用于热电联产锅炉燃烧，实现了废弃物的资源化利用和无害化处理，进一步提升了资源综合利用水平。凭借在绿色制造领域的持续深耕，公司先后荣获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安徽省清洁生产示范企业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”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安徽省绿色工厂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”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等荣誉，并于2023年3月公司被工业和信息化部认定为2022年度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绿色工厂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”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，在创造经济效益的同时，实现与环境的和谐共生。</w:t>
            </w:r>
          </w:p>
          <w:p w14:paraId="2D616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120" w:beforeLines="50" w:beforeAutospacing="0" w:after="120" w:afterLines="50" w:afterAutospacing="0" w:line="360" w:lineRule="auto"/>
              <w:ind w:left="0" w:right="0" w:firstLine="480" w:firstLineChars="20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（5）技术及管理团队优势</w:t>
            </w:r>
          </w:p>
          <w:p w14:paraId="10689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120" w:beforeLines="50" w:beforeAutospacing="0" w:after="120" w:afterLines="50" w:afterAutospacing="0" w:line="360" w:lineRule="auto"/>
              <w:ind w:left="0" w:right="0" w:firstLine="480" w:firstLineChars="2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公司始终将人才作为企业发展的核心资源，经过多年积累，培育了一支集技术研发、生产制造、市场开拓与现代管理于一体的专业化人才队伍。公司坚持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“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内育外引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”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相结合的人才策略，一方面通过常态化开展技术攻关与岗位交流，引导员工持续学习新知识、掌握新技能，建设学习型、创新型人才梯队；另一方面积极引进外部优秀人才，持续优化人才结构。同时，公司不断完善薪酬激励与职业晋升双通道机制，通过员工持股平台等中长期激励措施，有效保障了核心骨干队伍的稳定性与凝聚力。在管理团队方面，公司核心管理层均拥有十五年以上造纸行业从业经验，对产业周期、技术变革及市场需求有着深刻洞察，能够准确把握行业发展趋势并制定科学务实的战略规划，同时对研发、采购、生产、销售等各环节实施精细化管理，持续提升运营效率、强化成本控制，为企业在激烈市场竞争中保持领先地位提供了坚实保障。</w:t>
            </w:r>
          </w:p>
          <w:p w14:paraId="6BD17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120" w:beforeLines="50" w:beforeAutospacing="0" w:after="120" w:afterLines="50" w:afterAutospacing="0" w:line="360" w:lineRule="auto"/>
              <w:ind w:left="0" w:right="0" w:firstLine="480" w:firstLineChars="20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（6）规模优势</w:t>
            </w:r>
          </w:p>
          <w:p w14:paraId="19544B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pacing w:before="120" w:beforeLines="50" w:beforeAutospacing="0" w:after="120" w:afterLines="50" w:afterAutospacing="0" w:line="360" w:lineRule="auto"/>
              <w:ind w:left="0" w:right="0" w:firstLine="480" w:firstLineChars="200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工业包装用纸行业发挥规模效应才能更加有效的增强盈利能力，属于规模效应明显行业。根据《中国造纸工业2025年度报告》公司箱板纸产量排名全国第十，是中国造纸协会认定的造纸企业产量前30名企业之一，生产规模位于行业前列，与同行业可比公司相比具备一定的规模优势。</w:t>
            </w:r>
          </w:p>
          <w:p w14:paraId="1049804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（7）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en-US" w:bidi="ar-SA"/>
              </w:rPr>
              <w:t>公司商业信用较好，废纸原料采购议价能力更强。公司聚焦研发投入，完善研发硬件设施与实验条件，引进国内外先进研发设备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；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en-US" w:bidi="ar-SA"/>
              </w:rPr>
              <w:t>推行精益生产，精细化库存管理，依靠内部管理持续降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zh-CN" w:bidi="ar-SA"/>
              </w:rPr>
              <w:t>低成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000000"/>
                <w:sz w:val="24"/>
                <w:szCs w:val="24"/>
                <w:lang w:val="en-US" w:eastAsia="en-US" w:bidi="ar-SA"/>
              </w:rPr>
              <w:t>本。</w:t>
            </w:r>
          </w:p>
          <w:p w14:paraId="263B928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2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7、Q2吨净利高于Q1的原因？</w:t>
            </w:r>
          </w:p>
          <w:p w14:paraId="2770B50B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</w:rPr>
              <w:t>答：第一，Q2二期新产能持续释放，产能规模提升，规模效应有效摊薄固定制造费用，利润弹性有望在后续释放。第二，一季度存在较多一次性扰动因素，包括发行相关费用、新产线爬坡带来各类新增成本等，显著压制一季度盈利水平；进入二季度产能爬坡进度改善，一次性费用扰动减弱。第三，行业景气环比修复，下游出口需求向好，包装纸需求回暖，产品量价同步改善，带动单吨盈利修复，多重因素共同推高Q2吨净利。</w:t>
            </w:r>
          </w:p>
          <w:p w14:paraId="6C765759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2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24"/>
                <w:szCs w:val="24"/>
              </w:rPr>
              <w:t>8、下半年公司如何看待下游价格变化？</w:t>
            </w:r>
          </w:p>
          <w:p w14:paraId="62CA6FEC"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80" w:firstLineChars="200"/>
              <w:jc w:val="both"/>
              <w:textAlignment w:val="auto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答：整体判断下半年纸价、量价表现优于上半年，纸价相较上半年有望回升。前期下游二级厂备货充足，需要消化库存，市场会出现阶段性压价。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后期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进入传统包装消费旺季，国内消费叠加出口拉动，供需有望偏紧，带动纸价上行。同时行业具备淡旺季特征，价格不会单边持续上涨，会跟随供需关系出现阶段性震荡波动。目前上下游一起涨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价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，价格差异比较平衡。</w:t>
            </w:r>
          </w:p>
        </w:tc>
      </w:tr>
      <w:tr w14:paraId="4D6399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7" w:type="dxa"/>
          </w:tcPr>
          <w:p w14:paraId="498C2C7F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41" w:line="219" w:lineRule="auto"/>
              <w:ind w:left="131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9"/>
              </w:rPr>
              <w:t>附件清单</w:t>
            </w:r>
          </w:p>
          <w:p w14:paraId="2193E59F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27" w:line="199" w:lineRule="auto"/>
              <w:ind w:left="118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6"/>
              </w:rPr>
              <w:t>（如有）</w:t>
            </w:r>
          </w:p>
        </w:tc>
        <w:tc>
          <w:tcPr>
            <w:tcW w:w="6982" w:type="dxa"/>
            <w:tcBorders>
              <w:top w:val="single" w:color="auto" w:sz="4" w:space="0"/>
            </w:tcBorders>
          </w:tcPr>
          <w:p w14:paraId="41DCC44D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20" w:line="220" w:lineRule="auto"/>
              <w:ind w:left="111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</w:rPr>
              <w:t>无</w:t>
            </w:r>
          </w:p>
        </w:tc>
      </w:tr>
      <w:tr w14:paraId="3CEEB5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987" w:type="dxa"/>
          </w:tcPr>
          <w:p w14:paraId="00F1D62B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21" w:line="220" w:lineRule="auto"/>
              <w:ind w:left="153"/>
              <w:rPr>
                <w:rFonts w:hint="default" w:ascii="Times New Roman" w:hAnsi="Times New Roman" w:eastAsia="宋体" w:cs="Times New Roma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pacing w:val="-28"/>
              </w:rPr>
              <w:t>日期</w:t>
            </w:r>
          </w:p>
        </w:tc>
        <w:tc>
          <w:tcPr>
            <w:tcW w:w="6982" w:type="dxa"/>
          </w:tcPr>
          <w:p w14:paraId="58B1ED70">
            <w:pPr>
              <w:pStyle w:val="13"/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pacing w:before="120" w:line="220" w:lineRule="auto"/>
              <w:ind w:left="112"/>
              <w:rPr>
                <w:rFonts w:hint="default" w:ascii="Times New Roman" w:hAnsi="Times New Roman" w:eastAsia="宋体" w:cs="Times New Roman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lang w:eastAsia="zh-CN"/>
              </w:rPr>
              <w:t>2026年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月</w:t>
            </w:r>
            <w:r>
              <w:rPr>
                <w:rFonts w:hint="default" w:ascii="Times New Roman" w:hAnsi="Times New Roman" w:eastAsia="宋体" w:cs="Times New Roman"/>
                <w:lang w:val="en-US" w:eastAsia="zh-CN"/>
              </w:rPr>
              <w:t>27</w:t>
            </w:r>
            <w:r>
              <w:rPr>
                <w:rFonts w:hint="default" w:ascii="Times New Roman" w:hAnsi="Times New Roman" w:eastAsia="宋体" w:cs="Times New Roman"/>
                <w:lang w:eastAsia="zh-CN"/>
              </w:rPr>
              <w:t>日</w:t>
            </w:r>
          </w:p>
        </w:tc>
      </w:tr>
    </w:tbl>
    <w:p w14:paraId="2CC570E1"/>
    <w:sectPr>
      <w:footerReference r:id="rId3" w:type="default"/>
      <w:pgSz w:w="11906" w:h="16839"/>
      <w:pgMar w:top="1431" w:right="1785" w:bottom="1498" w:left="1481" w:header="0" w:footer="1218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1C6BD7">
    <w:pPr>
      <w:spacing w:line="270" w:lineRule="exact"/>
      <w:ind w:left="4427"/>
      <w:rPr>
        <w:rFonts w:hint="eastAsia" w:ascii="等线" w:hAnsi="等线" w:eastAsia="等线" w:cs="等线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9B53DD">
                          <w:pPr>
                            <w:pStyle w:val="4"/>
                            <w:rPr>
                              <w:rFonts w:hint="default" w:ascii="Times New Roman" w:hAnsi="Times New Roman" w:cs="Times New Roma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9B53DD">
                    <w:pPr>
                      <w:pStyle w:val="4"/>
                      <w:rPr>
                        <w:rFonts w:hint="default" w:ascii="Times New Roman" w:hAnsi="Times New Roman" w:cs="Times New Roman"/>
                      </w:rPr>
                    </w:pP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isplayHorizontalDrawingGridEvery w:val="0"/>
  <w:displayVerticalDrawingGridEvery w:val="2"/>
  <w:characterSpacingControl w:val="doNotCompress"/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6C5"/>
    <w:rsid w:val="00025960"/>
    <w:rsid w:val="001A6C7B"/>
    <w:rsid w:val="001C514C"/>
    <w:rsid w:val="002D428C"/>
    <w:rsid w:val="002D707A"/>
    <w:rsid w:val="00772093"/>
    <w:rsid w:val="007B46C5"/>
    <w:rsid w:val="00A275CF"/>
    <w:rsid w:val="00DC71C5"/>
    <w:rsid w:val="00DE2538"/>
    <w:rsid w:val="00FA4BFC"/>
    <w:rsid w:val="047555C3"/>
    <w:rsid w:val="055E32F7"/>
    <w:rsid w:val="079D5DAC"/>
    <w:rsid w:val="0EA95EDF"/>
    <w:rsid w:val="105674BF"/>
    <w:rsid w:val="118B2BA5"/>
    <w:rsid w:val="152873EC"/>
    <w:rsid w:val="19A9402C"/>
    <w:rsid w:val="1A8B5DA4"/>
    <w:rsid w:val="206B05C5"/>
    <w:rsid w:val="20F23941"/>
    <w:rsid w:val="238139F0"/>
    <w:rsid w:val="25A62705"/>
    <w:rsid w:val="2B62411C"/>
    <w:rsid w:val="2BB12B3E"/>
    <w:rsid w:val="30676C54"/>
    <w:rsid w:val="441B65CB"/>
    <w:rsid w:val="444107E5"/>
    <w:rsid w:val="56170651"/>
    <w:rsid w:val="5CB52971"/>
    <w:rsid w:val="5D0D6F52"/>
    <w:rsid w:val="5F762D22"/>
    <w:rsid w:val="60A77801"/>
    <w:rsid w:val="60A972A5"/>
    <w:rsid w:val="6ECF6F30"/>
    <w:rsid w:val="701E78FE"/>
    <w:rsid w:val="7072458D"/>
    <w:rsid w:val="70BF5715"/>
    <w:rsid w:val="73237AF4"/>
    <w:rsid w:val="7AFD6C5B"/>
    <w:rsid w:val="7E50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宋体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4"/>
    <w:qFormat/>
    <w:uiPriority w:val="0"/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</w:pPr>
    <w:rPr>
      <w:rFonts w:ascii="宋体" w:hAnsi="宋体" w:eastAsia="宋体" w:cs="宋体"/>
      <w:szCs w:val="24"/>
    </w:rPr>
  </w:style>
  <w:style w:type="paragraph" w:styleId="7">
    <w:name w:val="annotation subject"/>
    <w:basedOn w:val="3"/>
    <w:next w:val="3"/>
    <w:link w:val="15"/>
    <w:qFormat/>
    <w:uiPriority w:val="0"/>
    <w:rPr>
      <w:b/>
      <w:bCs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annotation reference"/>
    <w:basedOn w:val="9"/>
    <w:qFormat/>
    <w:uiPriority w:val="0"/>
    <w:rPr>
      <w:sz w:val="21"/>
      <w:szCs w:val="21"/>
    </w:rPr>
  </w:style>
  <w:style w:type="table" w:customStyle="1" w:styleId="12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</w:rPr>
  </w:style>
  <w:style w:type="character" w:customStyle="1" w:styleId="14">
    <w:name w:val="批注文字 字符"/>
    <w:basedOn w:val="9"/>
    <w:link w:val="3"/>
    <w:qFormat/>
    <w:uiPriority w:val="0"/>
    <w:rPr>
      <w:rFonts w:ascii="Arial" w:hAnsi="Arial" w:eastAsia="Arial" w:cs="Arial"/>
      <w:snapToGrid w:val="0"/>
      <w:color w:val="000000"/>
      <w:sz w:val="21"/>
      <w:szCs w:val="21"/>
      <w:lang w:eastAsia="en-US"/>
    </w:rPr>
  </w:style>
  <w:style w:type="character" w:customStyle="1" w:styleId="15">
    <w:name w:val="批注主题 字符"/>
    <w:basedOn w:val="14"/>
    <w:link w:val="7"/>
    <w:qFormat/>
    <w:uiPriority w:val="0"/>
    <w:rPr>
      <w:rFonts w:ascii="Arial" w:hAnsi="Arial" w:eastAsia="Arial" w:cs="Arial"/>
      <w:b/>
      <w:bCs/>
      <w:snapToGrid w:val="0"/>
      <w:color w:val="000000"/>
      <w:sz w:val="21"/>
      <w:szCs w:val="21"/>
      <w:lang w:eastAsia="en-US"/>
    </w:rPr>
  </w:style>
  <w:style w:type="paragraph" w:customStyle="1" w:styleId="16">
    <w:name w:val="修订1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paragraph" w:styleId="17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18">
    <w:name w:val="Revision"/>
    <w:hidden/>
    <w:unhideWhenUsed/>
    <w:qFormat/>
    <w:uiPriority w:val="99"/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4458</Words>
  <Characters>4562</Characters>
  <Lines>12</Lines>
  <Paragraphs>3</Paragraphs>
  <TotalTime>18</TotalTime>
  <ScaleCrop>false</ScaleCrop>
  <LinksUpToDate>false</LinksUpToDate>
  <CharactersWithSpaces>4680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2026-07-11T13:51:00Z</dcterms:created>
  <dc:creator>雨婷 缪</dc:creator>
  <cp:lastModifiedBy>李文雅</cp:lastModifiedBy>
  <dcterms:modified xsi:type="dcterms:W3CDTF">2026-08-26T03:05:01Z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2026-05-18T12:07:42Z</vt:filetime>
  </property>
  <property fmtid="{D5CDD505-2E9C-101B-9397-08002B2CF9AE}" pid="4" name="KSOTemplateDocerSaveRecord">
    <vt:lpwstr>eyJoZGlkIjoiODNjNjQxZDQ1MTI3NDlkNzY1NjFmOThmMGY3ODAwZDMiLCJ1c2VySWQiOiIxNzQ2Nzg1MzczIn0=</vt:lpwstr>
  </property>
  <property fmtid="{D5CDD505-2E9C-101B-9397-08002B2CF9AE}" pid="5" name="KSOProductBuildVer">
    <vt:lpwstr>2052-12.1.0.28505</vt:lpwstr>
  </property>
  <property fmtid="{D5CDD505-2E9C-101B-9397-08002B2CF9AE}" pid="6" name="ICV">
    <vt:lpwstr>B064ED25ADCE45E3ADCCFE92B2875F6D_13</vt:lpwstr>
  </property>
</Properties>
</file>