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87463">
      <w:pPr>
        <w:widowControl/>
        <w:tabs>
          <w:tab w:val="right" w:pos="8360"/>
        </w:tabs>
        <w:spacing w:before="120" w:after="240"/>
        <w:jc w:val="left"/>
        <w:rPr>
          <w:rFonts w:ascii="Times New Roman" w:hAnsi="Times New Roman" w:eastAsia="宋体" w:cs="Times New Roman"/>
          <w:b/>
          <w:bCs/>
          <w:sz w:val="24"/>
          <w:szCs w:val="24"/>
          <w:lang w:val="ru-RU"/>
        </w:rPr>
      </w:pPr>
      <w:r>
        <w:rPr>
          <w:rFonts w:ascii="Times New Roman" w:hAnsi="Times New Roman" w:eastAsia="宋体" w:cs="Times New Roman"/>
          <w:b/>
          <w:bCs/>
          <w:sz w:val="24"/>
          <w:szCs w:val="24"/>
          <w:lang w:val="ru-RU"/>
        </w:rPr>
        <w:t>证券代码：603120</w:t>
      </w:r>
      <w:r>
        <w:rPr>
          <w:rFonts w:ascii="Times New Roman" w:hAnsi="Times New Roman" w:eastAsia="宋体" w:cs="Times New Roman"/>
          <w:b/>
          <w:bCs/>
          <w:sz w:val="24"/>
          <w:szCs w:val="24"/>
          <w:lang w:val="ru-RU"/>
        </w:rPr>
        <w:tab/>
      </w:r>
      <w:r>
        <w:rPr>
          <w:rFonts w:ascii="Times New Roman" w:hAnsi="Times New Roman" w:eastAsia="宋体" w:cs="Times New Roman"/>
          <w:b/>
          <w:bCs/>
          <w:sz w:val="24"/>
          <w:szCs w:val="24"/>
          <w:lang w:val="ru-RU"/>
        </w:rPr>
        <w:t>证券简称：肯特催化</w:t>
      </w:r>
    </w:p>
    <w:p w14:paraId="3F8BEDD5">
      <w:pPr>
        <w:widowControl/>
        <w:adjustRightInd w:val="0"/>
        <w:snapToGrid w:val="0"/>
        <w:spacing w:line="360" w:lineRule="auto"/>
        <w:jc w:val="center"/>
        <w:rPr>
          <w:rFonts w:hint="eastAsia" w:ascii="宋体" w:hAnsi="宋体" w:eastAsia="宋体" w:cs="RDFSIJ+ºÚÌå"/>
          <w:b/>
          <w:bCs/>
          <w:color w:val="000000"/>
          <w:sz w:val="32"/>
          <w:szCs w:val="32"/>
          <w:lang w:val="ru-RU"/>
        </w:rPr>
      </w:pPr>
      <w:r>
        <w:rPr>
          <w:rFonts w:hint="eastAsia" w:ascii="宋体" w:hAnsi="宋体" w:eastAsia="宋体" w:cs="RDFSIJ+ºÚÌå"/>
          <w:b/>
          <w:bCs/>
          <w:color w:val="000000"/>
          <w:sz w:val="32"/>
          <w:szCs w:val="32"/>
          <w:lang w:val="ru-RU"/>
        </w:rPr>
        <w:t>肯特催化材料股份有限公司</w:t>
      </w:r>
    </w:p>
    <w:p w14:paraId="19405468">
      <w:pPr>
        <w:widowControl/>
        <w:adjustRightInd w:val="0"/>
        <w:snapToGrid w:val="0"/>
        <w:spacing w:line="360" w:lineRule="auto"/>
        <w:jc w:val="center"/>
        <w:rPr>
          <w:rFonts w:hint="eastAsia" w:ascii="宋体" w:hAnsi="宋体" w:eastAsia="宋体" w:cs="RDFSIJ+ºÚÌå"/>
          <w:color w:val="000000"/>
          <w:sz w:val="32"/>
          <w:szCs w:val="32"/>
          <w:lang w:val="ru-RU"/>
        </w:rPr>
      </w:pPr>
      <w:r>
        <w:rPr>
          <w:rFonts w:hint="eastAsia" w:ascii="宋体" w:hAnsi="宋体" w:eastAsia="宋体" w:cs="RDFSIJ+ºÚÌå"/>
          <w:b/>
          <w:bCs/>
          <w:color w:val="000000"/>
          <w:sz w:val="32"/>
          <w:szCs w:val="32"/>
          <w:lang w:val="ru-RU"/>
        </w:rPr>
        <w:t>投资者关系活动记录表</w:t>
      </w:r>
    </w:p>
    <w:p w14:paraId="2F9B7ED8">
      <w:pPr>
        <w:widowControl/>
        <w:adjustRightInd w:val="0"/>
        <w:snapToGrid w:val="0"/>
        <w:spacing w:line="360" w:lineRule="auto"/>
        <w:jc w:val="right"/>
        <w:rPr>
          <w:rFonts w:ascii="Times New Roman" w:hAnsi="Times New Roman" w:eastAsia="宋体" w:cs="Times New Roman"/>
          <w:color w:val="000000"/>
          <w:sz w:val="24"/>
          <w:szCs w:val="24"/>
        </w:rPr>
      </w:pPr>
      <w:r>
        <w:rPr>
          <w:rFonts w:ascii="Times New Roman" w:hAnsi="Times New Roman" w:eastAsia="宋体" w:cs="Times New Roman"/>
          <w:color w:val="000000"/>
          <w:sz w:val="24"/>
          <w:szCs w:val="24"/>
          <w:lang w:val="ru-RU"/>
        </w:rPr>
        <w:t>编号：202</w:t>
      </w:r>
      <w:r>
        <w:rPr>
          <w:rFonts w:hint="eastAsia" w:ascii="Times New Roman" w:hAnsi="Times New Roman" w:eastAsia="宋体" w:cs="Times New Roman"/>
          <w:color w:val="000000"/>
          <w:sz w:val="24"/>
          <w:szCs w:val="24"/>
          <w:lang w:val="ru-RU"/>
        </w:rPr>
        <w:t>60</w:t>
      </w:r>
      <w:r>
        <w:rPr>
          <w:rFonts w:hint="eastAsia" w:ascii="Times New Roman" w:hAnsi="Times New Roman" w:eastAsia="宋体" w:cs="Times New Roman"/>
          <w:color w:val="000000"/>
          <w:sz w:val="24"/>
          <w:szCs w:val="24"/>
        </w:rPr>
        <w:t>827</w:t>
      </w:r>
    </w:p>
    <w:tbl>
      <w:tblPr>
        <w:tblStyle w:val="14"/>
        <w:tblW w:w="9640"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7655"/>
      </w:tblGrid>
      <w:tr w14:paraId="4DC7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53F2DD24">
            <w:pPr>
              <w:widowControl/>
              <w:wordWrap w:val="0"/>
              <w:adjustRightInd w:val="0"/>
              <w:snapToGrid w:val="0"/>
              <w:spacing w:before="120" w:line="360" w:lineRule="auto"/>
              <w:jc w:val="center"/>
              <w:rPr>
                <w:rFonts w:hint="eastAsia" w:ascii="宋体" w:hAnsi="宋体" w:eastAsia="宋体" w:cs="Times New Roman"/>
                <w:sz w:val="24"/>
                <w:szCs w:val="24"/>
                <w:lang w:val="ru-RU"/>
              </w:rPr>
            </w:pPr>
            <w:r>
              <w:rPr>
                <w:rFonts w:hint="eastAsia" w:ascii="宋体" w:hAnsi="宋体" w:eastAsia="宋体" w:cs="Times New Roman"/>
                <w:sz w:val="24"/>
                <w:szCs w:val="24"/>
                <w:lang w:val="ru-RU"/>
              </w:rPr>
              <w:t>投资者关系活动类别</w:t>
            </w:r>
          </w:p>
        </w:tc>
        <w:tc>
          <w:tcPr>
            <w:tcW w:w="7655" w:type="dxa"/>
            <w:tcBorders>
              <w:top w:val="single" w:color="auto" w:sz="4" w:space="0"/>
              <w:left w:val="single" w:color="auto" w:sz="4" w:space="0"/>
              <w:bottom w:val="single" w:color="auto" w:sz="4" w:space="0"/>
              <w:right w:val="single" w:color="auto" w:sz="4" w:space="0"/>
            </w:tcBorders>
            <w:vAlign w:val="center"/>
          </w:tcPr>
          <w:p w14:paraId="109277A2">
            <w:pPr>
              <w:tabs>
                <w:tab w:val="right" w:pos="8360"/>
              </w:tabs>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ascii="宋体" w:hAnsi="宋体" w:eastAsia="宋体" w:cs="USHEHF+ËÎÌå"/>
                <w:color w:val="000000"/>
                <w:sz w:val="24"/>
              </w:rPr>
              <w:t>√</w:t>
            </w:r>
            <w:r>
              <w:rPr>
                <w:rFonts w:hint="eastAsia" w:ascii="宋体" w:hAnsi="宋体" w:eastAsia="宋体" w:cs="USHEHF+ËÎÌå"/>
                <w:color w:val="000000"/>
                <w:sz w:val="24"/>
                <w:lang w:val="ru-RU"/>
              </w:rPr>
              <w:t xml:space="preserve">特定对象调研                   □分析师会议 </w:t>
            </w:r>
          </w:p>
          <w:p w14:paraId="5E042943">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bookmarkStart w:id="0" w:name="OLE_LINK1"/>
            <w:r>
              <w:rPr>
                <w:rFonts w:hint="eastAsia" w:ascii="宋体" w:hAnsi="宋体" w:eastAsia="宋体" w:cs="USHEHF+ËÎÌå"/>
                <w:color w:val="000000"/>
                <w:sz w:val="24"/>
                <w:lang w:val="ru-RU"/>
              </w:rPr>
              <w:t>□</w:t>
            </w:r>
            <w:bookmarkEnd w:id="0"/>
            <w:r>
              <w:rPr>
                <w:rFonts w:hint="eastAsia" w:ascii="宋体" w:hAnsi="宋体" w:eastAsia="宋体" w:cs="USHEHF+ËÎÌå"/>
                <w:color w:val="000000"/>
                <w:sz w:val="24"/>
                <w:lang w:val="ru-RU"/>
              </w:rPr>
              <w:t>媒体采访                       □业绩说明会</w:t>
            </w:r>
          </w:p>
          <w:p w14:paraId="60AFDE02">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□新闻发布会                     □路演活动</w:t>
            </w:r>
          </w:p>
          <w:p w14:paraId="55E4D76E">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□现场参观</w:t>
            </w:r>
          </w:p>
          <w:p w14:paraId="1D6BDB46">
            <w:pPr>
              <w:wordWrap w:val="0"/>
              <w:autoSpaceDE w:val="0"/>
              <w:autoSpaceDN w:val="0"/>
              <w:adjustRightInd w:val="0"/>
              <w:snapToGrid w:val="0"/>
              <w:spacing w:before="156" w:beforeLines="50" w:after="156" w:afterLines="50"/>
              <w:jc w:val="left"/>
              <w:rPr>
                <w:rFonts w:hint="eastAsia" w:ascii="宋体" w:hAnsi="宋体" w:eastAsia="宋体" w:cs="USHEHF+ËÎÌå"/>
                <w:color w:val="000000"/>
                <w:sz w:val="24"/>
                <w:u w:val="single"/>
              </w:rPr>
            </w:pPr>
            <w:r>
              <w:rPr>
                <w:rFonts w:hint="eastAsia" w:ascii="Segoe UI Symbol" w:hAnsi="Segoe UI Symbol" w:eastAsia="宋体" w:cs="Segoe UI Symbol"/>
                <w:color w:val="000000"/>
                <w:sz w:val="24"/>
                <w:lang w:val="ru-RU"/>
              </w:rPr>
              <w:t>□</w:t>
            </w:r>
            <w:r>
              <w:rPr>
                <w:rFonts w:hint="eastAsia" w:ascii="宋体" w:hAnsi="宋体" w:eastAsia="宋体" w:cs="宋体"/>
                <w:color w:val="000000"/>
                <w:sz w:val="24"/>
                <w:lang w:val="ru-RU"/>
              </w:rPr>
              <w:t>其他：</w:t>
            </w:r>
            <w:r>
              <w:rPr>
                <w:rFonts w:hint="eastAsia" w:ascii="宋体" w:hAnsi="宋体" w:eastAsia="宋体" w:cs="USHEHF+ËÎÌå"/>
                <w:color w:val="000000"/>
                <w:sz w:val="24"/>
                <w:u w:val="single"/>
                <w:lang w:val="ru-RU"/>
              </w:rPr>
              <w:t xml:space="preserve"> </w:t>
            </w:r>
            <w:r>
              <w:rPr>
                <w:rFonts w:hint="eastAsia" w:ascii="宋体" w:hAnsi="宋体" w:eastAsia="宋体" w:cs="USHEHF+ËÎÌå"/>
                <w:color w:val="000000"/>
                <w:sz w:val="24"/>
                <w:u w:val="single"/>
              </w:rPr>
              <w:t xml:space="preserve">     </w:t>
            </w:r>
          </w:p>
        </w:tc>
      </w:tr>
      <w:tr w14:paraId="7CE71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062D9586">
            <w:pPr>
              <w:widowControl/>
              <w:wordWrap w:val="0"/>
              <w:adjustRightInd w:val="0"/>
              <w:snapToGrid w:val="0"/>
              <w:spacing w:before="120" w:line="360" w:lineRule="auto"/>
              <w:jc w:val="center"/>
              <w:rPr>
                <w:rFonts w:hint="eastAsia" w:ascii="宋体" w:hAnsi="宋体" w:eastAsia="宋体" w:cs="USHEHF+ËÎÌå"/>
                <w:color w:val="000000"/>
                <w:sz w:val="24"/>
                <w:lang w:val="ru-RU"/>
              </w:rPr>
            </w:pPr>
            <w:r>
              <w:rPr>
                <w:rFonts w:hint="eastAsia" w:ascii="宋体" w:hAnsi="宋体" w:eastAsia="宋体" w:cs="USHEHF+ËÎÌå"/>
                <w:color w:val="000000"/>
                <w:sz w:val="24"/>
                <w:lang w:val="ru-RU"/>
              </w:rPr>
              <w:t>参与</w:t>
            </w:r>
            <w:r>
              <w:rPr>
                <w:rFonts w:hint="eastAsia" w:ascii="宋体" w:hAnsi="宋体" w:eastAsia="宋体" w:cs="Times New Roman"/>
                <w:sz w:val="24"/>
                <w:szCs w:val="24"/>
                <w:lang w:val="ru-RU"/>
              </w:rPr>
              <w:t>单位</w:t>
            </w:r>
            <w:r>
              <w:rPr>
                <w:rFonts w:hint="eastAsia" w:ascii="宋体" w:hAnsi="宋体" w:eastAsia="宋体" w:cs="USHEHF+ËÎÌå"/>
                <w:color w:val="000000"/>
                <w:sz w:val="24"/>
                <w:lang w:val="ru-RU"/>
              </w:rPr>
              <w:t>名称及人员姓名</w:t>
            </w:r>
          </w:p>
        </w:tc>
        <w:tc>
          <w:tcPr>
            <w:tcW w:w="7655" w:type="dxa"/>
            <w:tcBorders>
              <w:top w:val="single" w:color="auto" w:sz="4" w:space="0"/>
              <w:left w:val="single" w:color="auto" w:sz="4" w:space="0"/>
              <w:bottom w:val="single" w:color="auto" w:sz="4" w:space="0"/>
              <w:right w:val="single" w:color="auto" w:sz="4" w:space="0"/>
            </w:tcBorders>
            <w:vAlign w:val="center"/>
          </w:tcPr>
          <w:p w14:paraId="70CDD62D">
            <w:pPr>
              <w:spacing w:line="360" w:lineRule="auto"/>
              <w:rPr>
                <w:rFonts w:hint="eastAsia" w:ascii="宋体" w:hAnsi="宋体" w:eastAsia="宋体"/>
                <w:sz w:val="24"/>
                <w:szCs w:val="24"/>
              </w:rPr>
            </w:pPr>
            <w:r>
              <w:rPr>
                <w:rFonts w:hint="eastAsia" w:ascii="宋体" w:hAnsi="宋体" w:eastAsia="宋体"/>
                <w:sz w:val="24"/>
                <w:szCs w:val="24"/>
              </w:rPr>
              <w:t>国科龙晖姜俊峰</w:t>
            </w:r>
            <w:r>
              <w:rPr>
                <w:rFonts w:hint="eastAsia" w:ascii="宋体" w:hAnsi="宋体" w:eastAsia="宋体"/>
                <w:sz w:val="24"/>
                <w:szCs w:val="24"/>
              </w:rPr>
              <w:tab/>
            </w:r>
            <w:r>
              <w:rPr>
                <w:rFonts w:hint="eastAsia" w:ascii="宋体" w:hAnsi="宋体" w:eastAsia="宋体"/>
                <w:sz w:val="24"/>
                <w:szCs w:val="24"/>
              </w:rPr>
              <w:t>上海泓悦泰俞海洋</w:t>
            </w:r>
          </w:p>
          <w:p w14:paraId="7E8CD86D">
            <w:pPr>
              <w:spacing w:line="360" w:lineRule="auto"/>
              <w:rPr>
                <w:rFonts w:hint="eastAsia" w:ascii="宋体" w:hAnsi="宋体" w:eastAsia="宋体"/>
                <w:sz w:val="24"/>
                <w:szCs w:val="24"/>
              </w:rPr>
            </w:pPr>
            <w:r>
              <w:rPr>
                <w:rFonts w:hint="eastAsia" w:ascii="宋体" w:hAnsi="宋体" w:eastAsia="宋体"/>
                <w:sz w:val="24"/>
                <w:szCs w:val="24"/>
              </w:rPr>
              <w:t>国泰君安杨焕璐   上海睽源投资盛杭杭</w:t>
            </w:r>
          </w:p>
          <w:p w14:paraId="1DCDD813">
            <w:pPr>
              <w:spacing w:line="360" w:lineRule="auto"/>
              <w:rPr>
                <w:rFonts w:hint="eastAsia" w:ascii="宋体" w:hAnsi="宋体" w:eastAsia="宋体"/>
                <w:sz w:val="24"/>
                <w:szCs w:val="24"/>
              </w:rPr>
            </w:pPr>
            <w:r>
              <w:rPr>
                <w:rFonts w:hint="eastAsia" w:ascii="宋体" w:hAnsi="宋体" w:eastAsia="宋体"/>
                <w:sz w:val="24"/>
                <w:szCs w:val="24"/>
              </w:rPr>
              <w:t>华金证券姜南   柏然基金雷嘉欣   维金资本张浣</w:t>
            </w:r>
          </w:p>
        </w:tc>
      </w:tr>
      <w:tr w14:paraId="6001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47C4D635">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时间</w:t>
            </w:r>
          </w:p>
        </w:tc>
        <w:tc>
          <w:tcPr>
            <w:tcW w:w="7655" w:type="dxa"/>
            <w:tcBorders>
              <w:top w:val="single" w:color="auto" w:sz="4" w:space="0"/>
              <w:left w:val="single" w:color="auto" w:sz="4" w:space="0"/>
              <w:bottom w:val="single" w:color="auto" w:sz="4" w:space="0"/>
              <w:right w:val="single" w:color="auto" w:sz="4" w:space="0"/>
            </w:tcBorders>
            <w:vAlign w:val="center"/>
          </w:tcPr>
          <w:p w14:paraId="655A9B39">
            <w:pPr>
              <w:widowControl/>
              <w:wordWrap w:val="0"/>
              <w:adjustRightInd w:val="0"/>
              <w:spacing w:before="120" w:after="240"/>
              <w:jc w:val="left"/>
              <w:rPr>
                <w:rFonts w:ascii="Times New Roman" w:hAnsi="Times New Roman" w:eastAsia="宋体" w:cs="Times New Roman"/>
                <w:sz w:val="24"/>
                <w:szCs w:val="24"/>
                <w:lang w:val="ru-RU"/>
              </w:rPr>
            </w:pPr>
            <w:r>
              <w:rPr>
                <w:rFonts w:ascii="Times New Roman" w:hAnsi="Times New Roman" w:eastAsia="宋体" w:cs="Times New Roman"/>
                <w:sz w:val="24"/>
                <w:szCs w:val="24"/>
                <w:lang w:val="ru-RU"/>
              </w:rPr>
              <w:t>202</w:t>
            </w:r>
            <w:r>
              <w:rPr>
                <w:rFonts w:hint="eastAsia" w:ascii="Times New Roman" w:hAnsi="Times New Roman" w:eastAsia="宋体" w:cs="Times New Roman"/>
                <w:sz w:val="24"/>
                <w:szCs w:val="24"/>
                <w:lang w:val="ru-RU"/>
              </w:rPr>
              <w:t>6</w:t>
            </w:r>
            <w:r>
              <w:rPr>
                <w:rFonts w:ascii="Times New Roman" w:hAnsi="Times New Roman" w:eastAsia="宋体" w:cs="Times New Roman"/>
                <w:sz w:val="24"/>
                <w:szCs w:val="24"/>
              </w:rPr>
              <w:t>年</w:t>
            </w:r>
            <w:r>
              <w:rPr>
                <w:rFonts w:hint="eastAsia" w:ascii="Times New Roman" w:hAnsi="Times New Roman" w:eastAsia="宋体" w:cs="Times New Roman"/>
                <w:sz w:val="24"/>
                <w:szCs w:val="24"/>
                <w:lang w:val="ru-RU"/>
              </w:rPr>
              <w:t>08</w:t>
            </w:r>
            <w:r>
              <w:rPr>
                <w:rFonts w:ascii="Times New Roman" w:hAnsi="Times New Roman" w:eastAsia="宋体" w:cs="Times New Roman"/>
                <w:sz w:val="24"/>
                <w:szCs w:val="24"/>
              </w:rPr>
              <w:t>月</w:t>
            </w:r>
            <w:r>
              <w:rPr>
                <w:rFonts w:hint="eastAsia" w:ascii="Times New Roman" w:hAnsi="Times New Roman" w:eastAsia="宋体" w:cs="Times New Roman"/>
                <w:sz w:val="24"/>
                <w:szCs w:val="24"/>
                <w:lang w:val="ru-RU"/>
              </w:rPr>
              <w:t>27</w:t>
            </w:r>
            <w:r>
              <w:rPr>
                <w:rFonts w:ascii="Times New Roman" w:hAnsi="Times New Roman" w:eastAsia="宋体" w:cs="Times New Roman"/>
                <w:sz w:val="24"/>
                <w:szCs w:val="24"/>
              </w:rPr>
              <w:t>日</w:t>
            </w:r>
            <w:r>
              <w:rPr>
                <w:rFonts w:hint="eastAsia" w:ascii="Times New Roman" w:hAnsi="Times New Roman" w:eastAsia="宋体" w:cs="Times New Roman"/>
                <w:sz w:val="24"/>
                <w:szCs w:val="24"/>
                <w:lang w:val="ru-RU"/>
              </w:rPr>
              <w:t>（</w:t>
            </w:r>
            <w:r>
              <w:rPr>
                <w:rFonts w:hint="eastAsia" w:ascii="Times New Roman" w:hAnsi="Times New Roman" w:eastAsia="宋体" w:cs="Times New Roman"/>
                <w:sz w:val="24"/>
                <w:szCs w:val="24"/>
              </w:rPr>
              <w:t>星期二</w:t>
            </w:r>
            <w:r>
              <w:rPr>
                <w:rFonts w:hint="eastAsia" w:ascii="Times New Roman" w:hAnsi="Times New Roman" w:eastAsia="宋体" w:cs="Times New Roman"/>
                <w:sz w:val="24"/>
                <w:szCs w:val="24"/>
                <w:lang w:val="ru-RU"/>
              </w:rPr>
              <w:t>）下</w:t>
            </w:r>
            <w:r>
              <w:rPr>
                <w:rFonts w:hint="eastAsia" w:ascii="Times New Roman" w:hAnsi="Times New Roman" w:eastAsia="宋体" w:cs="Times New Roman"/>
                <w:sz w:val="24"/>
                <w:szCs w:val="24"/>
              </w:rPr>
              <w:t>午</w:t>
            </w:r>
            <w:r>
              <w:rPr>
                <w:rFonts w:hint="eastAsia" w:ascii="Times New Roman" w:hAnsi="Times New Roman" w:eastAsia="宋体" w:cs="Times New Roman"/>
                <w:sz w:val="24"/>
                <w:szCs w:val="24"/>
                <w:lang w:val="ru-RU"/>
              </w:rPr>
              <w:t>14:00-16:00</w:t>
            </w:r>
          </w:p>
        </w:tc>
      </w:tr>
      <w:tr w14:paraId="7F72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40990242">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地点</w:t>
            </w:r>
          </w:p>
        </w:tc>
        <w:tc>
          <w:tcPr>
            <w:tcW w:w="7655" w:type="dxa"/>
            <w:tcBorders>
              <w:top w:val="single" w:color="auto" w:sz="4" w:space="0"/>
              <w:left w:val="single" w:color="auto" w:sz="4" w:space="0"/>
              <w:bottom w:val="single" w:color="auto" w:sz="4" w:space="0"/>
              <w:right w:val="single" w:color="auto" w:sz="4" w:space="0"/>
            </w:tcBorders>
            <w:vAlign w:val="center"/>
          </w:tcPr>
          <w:p w14:paraId="48F87A23">
            <w:pPr>
              <w:wordWrap w:val="0"/>
              <w:autoSpaceDE w:val="0"/>
              <w:autoSpaceDN w:val="0"/>
              <w:adjustRightInd w:val="0"/>
              <w:snapToGrid w:val="0"/>
              <w:spacing w:line="276" w:lineRule="auto"/>
              <w:jc w:val="left"/>
              <w:rPr>
                <w:rFonts w:hint="eastAsia" w:ascii="宋体" w:hAnsi="宋体" w:eastAsia="宋体" w:cstheme="minorEastAsia"/>
                <w:sz w:val="24"/>
                <w:szCs w:val="24"/>
              </w:rPr>
            </w:pPr>
            <w:r>
              <w:rPr>
                <w:rFonts w:hint="eastAsia" w:ascii="宋体" w:hAnsi="宋体" w:eastAsia="宋体" w:cstheme="minorEastAsia"/>
                <w:sz w:val="24"/>
                <w:szCs w:val="24"/>
              </w:rPr>
              <w:t>肯特科技会议室</w:t>
            </w:r>
          </w:p>
        </w:tc>
      </w:tr>
      <w:tr w14:paraId="7BB4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542390F8">
            <w:pPr>
              <w:widowControl/>
              <w:wordWrap w:val="0"/>
              <w:adjustRightInd w:val="0"/>
              <w:snapToGrid w:val="0"/>
              <w:spacing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上市公司接待人员姓名</w:t>
            </w:r>
          </w:p>
        </w:tc>
        <w:tc>
          <w:tcPr>
            <w:tcW w:w="7655" w:type="dxa"/>
            <w:tcBorders>
              <w:top w:val="single" w:color="auto" w:sz="4" w:space="0"/>
              <w:left w:val="single" w:color="auto" w:sz="4" w:space="0"/>
              <w:bottom w:val="single" w:color="auto" w:sz="4" w:space="0"/>
              <w:right w:val="single" w:color="auto" w:sz="4" w:space="0"/>
            </w:tcBorders>
            <w:vAlign w:val="center"/>
          </w:tcPr>
          <w:p w14:paraId="6088D084">
            <w:pPr>
              <w:wordWrap w:val="0"/>
              <w:autoSpaceDE w:val="0"/>
              <w:autoSpaceDN w:val="0"/>
              <w:spacing w:line="360" w:lineRule="auto"/>
              <w:jc w:val="left"/>
              <w:rPr>
                <w:rFonts w:hint="eastAsia" w:ascii="宋体" w:hAnsi="宋体" w:eastAsia="宋体" w:cs="USHEHF+ËÎÌå"/>
                <w:color w:val="000000"/>
                <w:sz w:val="24"/>
                <w:szCs w:val="24"/>
                <w:lang w:val="ru-RU"/>
              </w:rPr>
            </w:pPr>
            <w:r>
              <w:rPr>
                <w:rFonts w:hint="eastAsia" w:ascii="宋体" w:hAnsi="宋体" w:eastAsia="宋体" w:cs="USHEHF+ËÎÌå"/>
                <w:color w:val="000000"/>
                <w:sz w:val="24"/>
                <w:szCs w:val="24"/>
                <w:lang w:val="ru-RU"/>
              </w:rPr>
              <w:t>董事会秘书：张志明</w:t>
            </w:r>
          </w:p>
        </w:tc>
      </w:tr>
      <w:tr w14:paraId="4894B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3D3A00BE">
            <w:pPr>
              <w:widowControl/>
              <w:wordWrap w:val="0"/>
              <w:adjustRightInd w:val="0"/>
              <w:snapToGrid w:val="0"/>
              <w:spacing w:before="120" w:line="360" w:lineRule="auto"/>
              <w:jc w:val="center"/>
              <w:rPr>
                <w:rFonts w:hint="eastAsia" w:ascii="宋体" w:hAnsi="宋体" w:eastAsia="宋体" w:cs="Times New Roman"/>
                <w:color w:val="000000"/>
                <w:sz w:val="24"/>
                <w:lang w:val="ru-RU"/>
              </w:rPr>
            </w:pPr>
            <w:r>
              <w:rPr>
                <w:rFonts w:hint="eastAsia" w:ascii="宋体" w:hAnsi="宋体" w:eastAsia="宋体" w:cs="等线"/>
                <w:color w:val="000000"/>
                <w:sz w:val="24"/>
                <w:lang w:val="ru-RU"/>
              </w:rPr>
              <w:t>投资者关系活动主要内容介绍</w:t>
            </w:r>
          </w:p>
        </w:tc>
        <w:tc>
          <w:tcPr>
            <w:tcW w:w="7655" w:type="dxa"/>
            <w:tcBorders>
              <w:top w:val="single" w:color="auto" w:sz="4" w:space="0"/>
              <w:left w:val="single" w:color="auto" w:sz="4" w:space="0"/>
              <w:bottom w:val="single" w:color="auto" w:sz="4" w:space="0"/>
              <w:right w:val="single" w:color="auto" w:sz="4" w:space="0"/>
            </w:tcBorders>
            <w:vAlign w:val="center"/>
          </w:tcPr>
          <w:p w14:paraId="18ED8392">
            <w:pPr>
              <w:widowControl/>
              <w:spacing w:line="36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一、基本情况介绍</w:t>
            </w:r>
          </w:p>
          <w:p w14:paraId="5CB5CA04">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是一家专注于季铵（鏻）化合物产品研发、生产和销售的高新技术企业，成立于2009年，总部位于浙江仙居，下辖全资子公司江西肯特化学有限公司和浙江肯特催化材料科技有限公司。公司拥有季铵盐、季铵碱、季鏻盐、冠醚等四大系列产品，为精细化工、分子筛、高分子材料、电池电解液、油田化学品、电子化学品等领域的客户提供产品和服务。</w:t>
            </w:r>
          </w:p>
          <w:p w14:paraId="11DAAE32">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通过多年的技术研发创新及产业化应用，公司产品应用形式不断拓展。从初期的相转移催化剂逐步延伸至分子筛模板剂、固化促进剂、电解液添加剂、电子化学品等多用途，实现了产品结构的持续优化与应用场景的拓展。</w:t>
            </w:r>
          </w:p>
          <w:p w14:paraId="2CC269BC">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（一）研发创新布局</w:t>
            </w:r>
          </w:p>
          <w:p w14:paraId="5F6686AC">
            <w:pPr>
              <w:widowControl/>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公司</w:t>
            </w:r>
            <w:r>
              <w:rPr>
                <w:rFonts w:hint="eastAsia" w:ascii="Times New Roman" w:hAnsi="Times New Roman" w:eastAsia="宋体" w:cs="Times New Roman"/>
                <w:sz w:val="24"/>
                <w:szCs w:val="24"/>
              </w:rPr>
              <w:t>推行</w:t>
            </w:r>
            <w:r>
              <w:rPr>
                <w:rFonts w:ascii="Times New Roman" w:hAnsi="Times New Roman" w:eastAsia="宋体" w:cs="Times New Roman"/>
                <w:sz w:val="24"/>
                <w:szCs w:val="24"/>
              </w:rPr>
              <w:t>与客户并行研发</w:t>
            </w:r>
            <w:r>
              <w:rPr>
                <w:rFonts w:hint="eastAsia" w:ascii="Times New Roman" w:hAnsi="Times New Roman" w:eastAsia="宋体" w:cs="Times New Roman"/>
                <w:sz w:val="24"/>
                <w:szCs w:val="24"/>
              </w:rPr>
              <w:t>的</w:t>
            </w:r>
            <w:r>
              <w:rPr>
                <w:rFonts w:ascii="Times New Roman" w:hAnsi="Times New Roman" w:eastAsia="宋体" w:cs="Times New Roman"/>
                <w:sz w:val="24"/>
                <w:szCs w:val="24"/>
              </w:rPr>
              <w:t>策略，持续加大研发投入，</w:t>
            </w:r>
            <w:r>
              <w:rPr>
                <w:rFonts w:hint="eastAsia" w:ascii="Times New Roman" w:hAnsi="Times New Roman" w:eastAsia="宋体" w:cs="Times New Roman"/>
                <w:sz w:val="24"/>
                <w:szCs w:val="24"/>
              </w:rPr>
              <w:t>搭建</w:t>
            </w:r>
            <w:r>
              <w:rPr>
                <w:rFonts w:ascii="Times New Roman" w:hAnsi="Times New Roman" w:eastAsia="宋体" w:cs="Times New Roman"/>
                <w:sz w:val="24"/>
                <w:szCs w:val="24"/>
              </w:rPr>
              <w:t>省级高新技术企业研究开发中心等多</w:t>
            </w:r>
            <w:r>
              <w:rPr>
                <w:rFonts w:hint="eastAsia" w:ascii="Times New Roman" w:hAnsi="Times New Roman" w:eastAsia="宋体" w:cs="Times New Roman"/>
                <w:sz w:val="24"/>
                <w:szCs w:val="24"/>
              </w:rPr>
              <w:t>层级</w:t>
            </w:r>
            <w:r>
              <w:rPr>
                <w:rFonts w:ascii="Times New Roman" w:hAnsi="Times New Roman" w:eastAsia="宋体" w:cs="Times New Roman"/>
                <w:sz w:val="24"/>
                <w:szCs w:val="24"/>
              </w:rPr>
              <w:t>创新平台</w:t>
            </w:r>
            <w:r>
              <w:rPr>
                <w:rFonts w:hint="eastAsia" w:ascii="Times New Roman" w:hAnsi="Times New Roman" w:eastAsia="宋体" w:cs="Times New Roman"/>
                <w:sz w:val="24"/>
                <w:szCs w:val="24"/>
              </w:rPr>
              <w:t>；长期</w:t>
            </w:r>
            <w:r>
              <w:rPr>
                <w:rFonts w:ascii="Times New Roman" w:hAnsi="Times New Roman" w:eastAsia="宋体" w:cs="Times New Roman"/>
                <w:sz w:val="24"/>
                <w:szCs w:val="24"/>
              </w:rPr>
              <w:t>与浙江大学、吉林大学等国内知名高校</w:t>
            </w:r>
            <w:r>
              <w:rPr>
                <w:rFonts w:hint="eastAsia" w:ascii="Times New Roman" w:hAnsi="Times New Roman" w:eastAsia="宋体" w:cs="Times New Roman"/>
                <w:sz w:val="24"/>
                <w:szCs w:val="24"/>
              </w:rPr>
              <w:t>开展深度</w:t>
            </w:r>
            <w:r>
              <w:rPr>
                <w:rFonts w:ascii="Times New Roman" w:hAnsi="Times New Roman" w:eastAsia="宋体" w:cs="Times New Roman"/>
                <w:sz w:val="24"/>
                <w:szCs w:val="24"/>
              </w:rPr>
              <w:t>产学研合作，</w:t>
            </w:r>
            <w:r>
              <w:rPr>
                <w:rFonts w:hint="eastAsia" w:ascii="Times New Roman" w:hAnsi="Times New Roman" w:eastAsia="宋体" w:cs="Times New Roman"/>
                <w:sz w:val="24"/>
                <w:szCs w:val="24"/>
              </w:rPr>
              <w:t>搭建</w:t>
            </w:r>
            <w:r>
              <w:rPr>
                <w:rFonts w:ascii="Times New Roman" w:hAnsi="Times New Roman" w:eastAsia="宋体" w:cs="Times New Roman"/>
                <w:sz w:val="24"/>
                <w:szCs w:val="24"/>
              </w:rPr>
              <w:t>完善技术创新体系，为</w:t>
            </w:r>
            <w:r>
              <w:rPr>
                <w:rFonts w:hint="eastAsia" w:ascii="Times New Roman" w:hAnsi="Times New Roman" w:eastAsia="宋体" w:cs="Times New Roman"/>
                <w:sz w:val="24"/>
                <w:szCs w:val="24"/>
              </w:rPr>
              <w:t>新</w:t>
            </w:r>
            <w:r>
              <w:rPr>
                <w:rFonts w:ascii="Times New Roman" w:hAnsi="Times New Roman" w:eastAsia="宋体" w:cs="Times New Roman"/>
                <w:sz w:val="24"/>
                <w:szCs w:val="24"/>
              </w:rPr>
              <w:t>品</w:t>
            </w:r>
            <w:r>
              <w:rPr>
                <w:rFonts w:hint="eastAsia" w:ascii="Times New Roman" w:hAnsi="Times New Roman" w:eastAsia="宋体" w:cs="Times New Roman"/>
                <w:sz w:val="24"/>
                <w:szCs w:val="24"/>
              </w:rPr>
              <w:t>开发、工艺优化</w:t>
            </w:r>
            <w:r>
              <w:rPr>
                <w:rFonts w:ascii="Times New Roman" w:hAnsi="Times New Roman" w:eastAsia="宋体" w:cs="Times New Roman"/>
                <w:sz w:val="24"/>
                <w:szCs w:val="24"/>
              </w:rPr>
              <w:t>提供坚实</w:t>
            </w:r>
            <w:r>
              <w:rPr>
                <w:rFonts w:hint="eastAsia" w:ascii="Times New Roman" w:hAnsi="Times New Roman" w:eastAsia="宋体" w:cs="Times New Roman"/>
                <w:sz w:val="24"/>
                <w:szCs w:val="24"/>
              </w:rPr>
              <w:t>支撑</w:t>
            </w:r>
            <w:r>
              <w:rPr>
                <w:rFonts w:ascii="Times New Roman" w:hAnsi="Times New Roman" w:eastAsia="宋体" w:cs="Times New Roman"/>
                <w:sz w:val="24"/>
                <w:szCs w:val="24"/>
              </w:rPr>
              <w:t>。</w:t>
            </w:r>
          </w:p>
          <w:p w14:paraId="6D4D8750">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（二）市场客户运营</w:t>
            </w:r>
          </w:p>
          <w:p w14:paraId="7A1EA815">
            <w:pPr>
              <w:widowControl/>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凭借稳定的产品</w:t>
            </w:r>
            <w:r>
              <w:rPr>
                <w:rFonts w:hint="eastAsia" w:ascii="Times New Roman" w:hAnsi="Times New Roman" w:eastAsia="宋体" w:cs="Times New Roman"/>
                <w:sz w:val="24"/>
                <w:szCs w:val="24"/>
              </w:rPr>
              <w:t>品质与</w:t>
            </w:r>
            <w:r>
              <w:rPr>
                <w:rFonts w:ascii="Times New Roman" w:hAnsi="Times New Roman" w:eastAsia="宋体" w:cs="Times New Roman"/>
                <w:sz w:val="24"/>
                <w:szCs w:val="24"/>
              </w:rPr>
              <w:t>良好的行业口碑，</w:t>
            </w:r>
            <w:r>
              <w:rPr>
                <w:rFonts w:hint="eastAsia" w:ascii="Times New Roman" w:hAnsi="Times New Roman" w:eastAsia="宋体" w:cs="Times New Roman"/>
                <w:sz w:val="24"/>
                <w:szCs w:val="24"/>
              </w:rPr>
              <w:t>公司</w:t>
            </w:r>
            <w:r>
              <w:rPr>
                <w:rFonts w:ascii="Times New Roman" w:hAnsi="Times New Roman" w:eastAsia="宋体" w:cs="Times New Roman"/>
                <w:sz w:val="24"/>
                <w:szCs w:val="24"/>
              </w:rPr>
              <w:t>与</w:t>
            </w:r>
            <w:r>
              <w:rPr>
                <w:rFonts w:hint="eastAsia" w:ascii="Times New Roman" w:hAnsi="Times New Roman" w:eastAsia="宋体" w:cs="Times New Roman"/>
                <w:sz w:val="24"/>
                <w:szCs w:val="24"/>
              </w:rPr>
              <w:t>各</w:t>
            </w:r>
            <w:r>
              <w:rPr>
                <w:rFonts w:ascii="Times New Roman" w:hAnsi="Times New Roman" w:eastAsia="宋体" w:cs="Times New Roman"/>
                <w:sz w:val="24"/>
                <w:szCs w:val="24"/>
              </w:rPr>
              <w:t>下游领域</w:t>
            </w:r>
            <w:r>
              <w:rPr>
                <w:rFonts w:hint="eastAsia" w:ascii="Times New Roman" w:hAnsi="Times New Roman" w:eastAsia="宋体" w:cs="Times New Roman"/>
                <w:sz w:val="24"/>
                <w:szCs w:val="24"/>
              </w:rPr>
              <w:t>头部</w:t>
            </w:r>
            <w:r>
              <w:rPr>
                <w:rFonts w:ascii="Times New Roman" w:hAnsi="Times New Roman" w:eastAsia="宋体" w:cs="Times New Roman"/>
                <w:sz w:val="24"/>
                <w:szCs w:val="24"/>
              </w:rPr>
              <w:t>企业建立长期</w:t>
            </w:r>
            <w:r>
              <w:rPr>
                <w:rFonts w:hint="eastAsia" w:ascii="Times New Roman" w:hAnsi="Times New Roman" w:eastAsia="宋体" w:cs="Times New Roman"/>
                <w:sz w:val="24"/>
                <w:szCs w:val="24"/>
              </w:rPr>
              <w:t>深度</w:t>
            </w:r>
            <w:r>
              <w:rPr>
                <w:rFonts w:ascii="Times New Roman" w:hAnsi="Times New Roman" w:eastAsia="宋体" w:cs="Times New Roman"/>
                <w:sz w:val="24"/>
                <w:szCs w:val="24"/>
              </w:rPr>
              <w:t>合作。同时，搭</w:t>
            </w:r>
            <w:r>
              <w:rPr>
                <w:rFonts w:hint="eastAsia" w:ascii="Times New Roman" w:hAnsi="Times New Roman" w:eastAsia="宋体" w:cs="Times New Roman"/>
                <w:sz w:val="24"/>
                <w:szCs w:val="24"/>
              </w:rPr>
              <w:t>建</w:t>
            </w:r>
            <w:r>
              <w:rPr>
                <w:rFonts w:ascii="Times New Roman" w:hAnsi="Times New Roman" w:eastAsia="宋体" w:cs="Times New Roman"/>
                <w:sz w:val="24"/>
                <w:szCs w:val="24"/>
              </w:rPr>
              <w:t>完善的客户关系管理体系，</w:t>
            </w:r>
            <w:r>
              <w:rPr>
                <w:rFonts w:hint="eastAsia" w:ascii="Times New Roman" w:hAnsi="Times New Roman" w:eastAsia="宋体" w:cs="Times New Roman"/>
                <w:sz w:val="24"/>
                <w:szCs w:val="24"/>
              </w:rPr>
              <w:t>常态化开展</w:t>
            </w:r>
            <w:r>
              <w:rPr>
                <w:rFonts w:ascii="Times New Roman" w:hAnsi="Times New Roman" w:eastAsia="宋体" w:cs="Times New Roman"/>
                <w:sz w:val="24"/>
                <w:szCs w:val="24"/>
              </w:rPr>
              <w:t>客户满意度</w:t>
            </w:r>
            <w:r>
              <w:rPr>
                <w:rFonts w:hint="eastAsia" w:ascii="Times New Roman" w:hAnsi="Times New Roman" w:eastAsia="宋体" w:cs="Times New Roman"/>
                <w:sz w:val="24"/>
                <w:szCs w:val="24"/>
              </w:rPr>
              <w:t>调研</w:t>
            </w:r>
            <w:r>
              <w:rPr>
                <w:rFonts w:ascii="Times New Roman" w:hAnsi="Times New Roman" w:eastAsia="宋体" w:cs="Times New Roman"/>
                <w:sz w:val="24"/>
                <w:szCs w:val="24"/>
              </w:rPr>
              <w:t>、组建快速响应技术服务团队，</w:t>
            </w:r>
            <w:r>
              <w:rPr>
                <w:rFonts w:hint="eastAsia" w:ascii="Times New Roman" w:hAnsi="Times New Roman" w:eastAsia="宋体" w:cs="Times New Roman"/>
                <w:sz w:val="24"/>
                <w:szCs w:val="24"/>
              </w:rPr>
              <w:t>持续</w:t>
            </w:r>
            <w:r>
              <w:rPr>
                <w:rFonts w:ascii="Times New Roman" w:hAnsi="Times New Roman" w:eastAsia="宋体" w:cs="Times New Roman"/>
                <w:sz w:val="24"/>
                <w:szCs w:val="24"/>
              </w:rPr>
              <w:t>深化与核心客户战略合作，形成结构均衡、</w:t>
            </w:r>
            <w:r>
              <w:rPr>
                <w:rFonts w:hint="eastAsia" w:ascii="Times New Roman" w:hAnsi="Times New Roman" w:eastAsia="宋体" w:cs="Times New Roman"/>
                <w:sz w:val="24"/>
                <w:szCs w:val="24"/>
              </w:rPr>
              <w:t>高</w:t>
            </w:r>
            <w:r>
              <w:rPr>
                <w:rFonts w:ascii="Times New Roman" w:hAnsi="Times New Roman" w:eastAsia="宋体" w:cs="Times New Roman"/>
                <w:sz w:val="24"/>
                <w:szCs w:val="24"/>
              </w:rPr>
              <w:t>粘性的客户资源网络，</w:t>
            </w:r>
            <w:r>
              <w:rPr>
                <w:rFonts w:hint="eastAsia" w:ascii="Times New Roman" w:hAnsi="Times New Roman" w:eastAsia="宋体" w:cs="Times New Roman"/>
                <w:sz w:val="24"/>
                <w:szCs w:val="24"/>
              </w:rPr>
              <w:t>行业</w:t>
            </w:r>
            <w:r>
              <w:rPr>
                <w:rFonts w:ascii="Times New Roman" w:hAnsi="Times New Roman" w:eastAsia="宋体" w:cs="Times New Roman"/>
                <w:sz w:val="24"/>
                <w:szCs w:val="24"/>
              </w:rPr>
              <w:t>影响力</w:t>
            </w:r>
            <w:r>
              <w:rPr>
                <w:rFonts w:hint="eastAsia" w:ascii="Times New Roman" w:hAnsi="Times New Roman" w:eastAsia="宋体" w:cs="Times New Roman"/>
                <w:sz w:val="24"/>
                <w:szCs w:val="24"/>
              </w:rPr>
              <w:t>持续增强</w:t>
            </w:r>
            <w:r>
              <w:rPr>
                <w:rFonts w:ascii="Times New Roman" w:hAnsi="Times New Roman" w:eastAsia="宋体" w:cs="Times New Roman"/>
                <w:sz w:val="24"/>
                <w:szCs w:val="24"/>
              </w:rPr>
              <w:t>。</w:t>
            </w:r>
          </w:p>
          <w:p w14:paraId="6694181F">
            <w:pPr>
              <w:widowControl/>
              <w:spacing w:line="360" w:lineRule="auto"/>
              <w:rPr>
                <w:rFonts w:hint="eastAsia" w:ascii="宋体" w:hAnsi="宋体" w:eastAsia="宋体" w:cs="Times New Roman"/>
                <w:sz w:val="24"/>
                <w:szCs w:val="24"/>
              </w:rPr>
            </w:pPr>
            <w:r>
              <w:rPr>
                <w:rFonts w:hint="eastAsia" w:ascii="Times New Roman" w:hAnsi="Times New Roman" w:eastAsia="宋体" w:cs="Times New Roman"/>
                <w:sz w:val="24"/>
                <w:szCs w:val="24"/>
              </w:rPr>
              <w:t>（三）产能建设规划</w:t>
            </w:r>
          </w:p>
          <w:p w14:paraId="1A3E67B0">
            <w:pPr>
              <w:widowControl/>
              <w:spacing w:line="360" w:lineRule="auto"/>
              <w:ind w:firstLine="480" w:firstLineChars="200"/>
              <w:rPr>
                <w:rFonts w:ascii="Times New Roman" w:hAnsi="Times New Roman" w:eastAsia="宋体" w:cs="Times New Roman"/>
                <w:sz w:val="24"/>
                <w:szCs w:val="24"/>
              </w:rPr>
            </w:pPr>
            <w:bookmarkStart w:id="1" w:name="OLE_LINK2"/>
            <w:r>
              <w:rPr>
                <w:rFonts w:hint="eastAsia" w:ascii="宋体" w:hAnsi="宋体" w:eastAsia="宋体" w:cs="Times New Roman"/>
                <w:sz w:val="24"/>
                <w:szCs w:val="24"/>
              </w:rPr>
              <w:t>目前</w:t>
            </w:r>
            <w:r>
              <w:rPr>
                <w:rFonts w:ascii="宋体" w:hAnsi="宋体" w:eastAsia="宋体" w:cs="Times New Roman"/>
                <w:sz w:val="24"/>
                <w:szCs w:val="24"/>
              </w:rPr>
              <w:t>，公司</w:t>
            </w:r>
            <w:r>
              <w:rPr>
                <w:rFonts w:hint="eastAsia" w:ascii="宋体" w:hAnsi="宋体" w:eastAsia="宋体" w:cs="Times New Roman"/>
                <w:sz w:val="24"/>
                <w:szCs w:val="24"/>
              </w:rPr>
              <w:t>正</w:t>
            </w:r>
            <w:r>
              <w:rPr>
                <w:rFonts w:ascii="宋体" w:hAnsi="宋体" w:eastAsia="宋体" w:cs="Times New Roman"/>
                <w:sz w:val="24"/>
                <w:szCs w:val="24"/>
              </w:rPr>
              <w:t>全力推进“年</w:t>
            </w:r>
            <w:r>
              <w:rPr>
                <w:rFonts w:ascii="Times New Roman" w:hAnsi="Times New Roman" w:eastAsia="宋体" w:cs="Times New Roman"/>
                <w:sz w:val="24"/>
                <w:szCs w:val="24"/>
              </w:rPr>
              <w:t>产8,860吨功能性催化新材料项</w:t>
            </w:r>
            <w:r>
              <w:rPr>
                <w:rFonts w:ascii="宋体" w:hAnsi="宋体" w:eastAsia="宋体" w:cs="Times New Roman"/>
                <w:sz w:val="24"/>
                <w:szCs w:val="24"/>
              </w:rPr>
              <w:t>目”的</w:t>
            </w:r>
            <w:r>
              <w:rPr>
                <w:rFonts w:ascii="Times New Roman" w:hAnsi="Times New Roman" w:eastAsia="宋体" w:cs="Times New Roman"/>
                <w:sz w:val="24"/>
                <w:szCs w:val="24"/>
              </w:rPr>
              <w:t>建设，匹配</w:t>
            </w:r>
            <w:r>
              <w:rPr>
                <w:rFonts w:hint="eastAsia" w:ascii="Times New Roman" w:hAnsi="Times New Roman" w:eastAsia="宋体" w:cs="Times New Roman"/>
                <w:sz w:val="24"/>
                <w:szCs w:val="24"/>
              </w:rPr>
              <w:t>下游</w:t>
            </w:r>
            <w:r>
              <w:rPr>
                <w:rFonts w:ascii="Times New Roman" w:hAnsi="Times New Roman" w:eastAsia="宋体" w:cs="Times New Roman"/>
                <w:sz w:val="24"/>
                <w:szCs w:val="24"/>
              </w:rPr>
              <w:t>不断增长的市场需求，</w:t>
            </w:r>
            <w:r>
              <w:rPr>
                <w:rFonts w:hint="eastAsia" w:ascii="Times New Roman" w:hAnsi="Times New Roman" w:eastAsia="宋体" w:cs="Times New Roman"/>
                <w:sz w:val="24"/>
                <w:szCs w:val="24"/>
              </w:rPr>
              <w:t>实现</w:t>
            </w:r>
            <w:r>
              <w:rPr>
                <w:rFonts w:ascii="Times New Roman" w:hAnsi="Times New Roman" w:eastAsia="宋体" w:cs="Times New Roman"/>
                <w:sz w:val="24"/>
                <w:szCs w:val="24"/>
              </w:rPr>
              <w:t>产能</w:t>
            </w:r>
            <w:r>
              <w:rPr>
                <w:rFonts w:hint="eastAsia" w:ascii="Times New Roman" w:hAnsi="Times New Roman" w:eastAsia="宋体" w:cs="Times New Roman"/>
                <w:sz w:val="24"/>
                <w:szCs w:val="24"/>
              </w:rPr>
              <w:t>扩容与</w:t>
            </w:r>
            <w:r>
              <w:rPr>
                <w:rFonts w:ascii="Times New Roman" w:hAnsi="Times New Roman" w:eastAsia="宋体" w:cs="Times New Roman"/>
                <w:sz w:val="24"/>
                <w:szCs w:val="24"/>
              </w:rPr>
              <w:t>产品结构</w:t>
            </w:r>
            <w:r>
              <w:rPr>
                <w:rFonts w:hint="eastAsia" w:ascii="Times New Roman" w:hAnsi="Times New Roman" w:eastAsia="宋体" w:cs="Times New Roman"/>
                <w:sz w:val="24"/>
                <w:szCs w:val="24"/>
              </w:rPr>
              <w:t>优化同步落地</w:t>
            </w:r>
            <w:r>
              <w:rPr>
                <w:rFonts w:ascii="Times New Roman" w:hAnsi="Times New Roman" w:eastAsia="宋体" w:cs="Times New Roman"/>
                <w:sz w:val="24"/>
                <w:szCs w:val="24"/>
              </w:rPr>
              <w:t>。</w:t>
            </w:r>
          </w:p>
          <w:p w14:paraId="5AB027A7">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（四）中长期发展规划</w:t>
            </w:r>
          </w:p>
          <w:p w14:paraId="39101699">
            <w:pPr>
              <w:widowControl/>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未来，公司</w:t>
            </w:r>
            <w:r>
              <w:rPr>
                <w:rFonts w:ascii="宋体" w:hAnsi="宋体" w:eastAsia="宋体" w:cs="Times New Roman"/>
                <w:sz w:val="24"/>
                <w:szCs w:val="24"/>
              </w:rPr>
              <w:t>将</w:t>
            </w:r>
            <w:r>
              <w:rPr>
                <w:rFonts w:hint="eastAsia" w:ascii="宋体" w:hAnsi="宋体" w:eastAsia="宋体" w:cs="Times New Roman"/>
                <w:sz w:val="24"/>
                <w:szCs w:val="24"/>
              </w:rPr>
              <w:t>始终坚守</w:t>
            </w:r>
            <w:r>
              <w:rPr>
                <w:rFonts w:ascii="宋体" w:hAnsi="宋体" w:eastAsia="宋体" w:cs="Times New Roman"/>
                <w:sz w:val="24"/>
                <w:szCs w:val="24"/>
              </w:rPr>
              <w:t>“客户至上，精益求精”的发</w:t>
            </w:r>
            <w:r>
              <w:rPr>
                <w:rFonts w:ascii="Times New Roman" w:hAnsi="Times New Roman" w:eastAsia="宋体" w:cs="Times New Roman"/>
                <w:sz w:val="24"/>
                <w:szCs w:val="24"/>
              </w:rPr>
              <w:t>展理念，</w:t>
            </w:r>
            <w:r>
              <w:rPr>
                <w:rFonts w:hint="eastAsia" w:ascii="Times New Roman" w:hAnsi="Times New Roman" w:eastAsia="宋体" w:cs="Times New Roman"/>
                <w:sz w:val="24"/>
                <w:szCs w:val="24"/>
              </w:rPr>
              <w:t>稳固</w:t>
            </w:r>
            <w:r>
              <w:rPr>
                <w:rFonts w:ascii="Times New Roman" w:hAnsi="Times New Roman" w:eastAsia="宋体" w:cs="Times New Roman"/>
                <w:sz w:val="24"/>
                <w:szCs w:val="24"/>
              </w:rPr>
              <w:t>现有</w:t>
            </w:r>
            <w:r>
              <w:rPr>
                <w:rFonts w:hint="eastAsia" w:ascii="Times New Roman" w:hAnsi="Times New Roman" w:eastAsia="宋体" w:cs="Times New Roman"/>
                <w:sz w:val="24"/>
                <w:szCs w:val="24"/>
              </w:rPr>
              <w:t>赛道</w:t>
            </w:r>
            <w:r>
              <w:rPr>
                <w:rFonts w:ascii="Times New Roman" w:hAnsi="Times New Roman" w:eastAsia="宋体" w:cs="Times New Roman"/>
                <w:sz w:val="24"/>
                <w:szCs w:val="24"/>
              </w:rPr>
              <w:t>市场份额，加速新兴领域</w:t>
            </w:r>
            <w:r>
              <w:rPr>
                <w:rFonts w:hint="eastAsia" w:ascii="Times New Roman" w:hAnsi="Times New Roman" w:eastAsia="宋体" w:cs="Times New Roman"/>
                <w:sz w:val="24"/>
                <w:szCs w:val="24"/>
              </w:rPr>
              <w:t>产品</w:t>
            </w:r>
            <w:r>
              <w:rPr>
                <w:rFonts w:ascii="Times New Roman" w:hAnsi="Times New Roman" w:eastAsia="宋体" w:cs="Times New Roman"/>
                <w:sz w:val="24"/>
                <w:szCs w:val="24"/>
              </w:rPr>
              <w:t>商业化落地，</w:t>
            </w:r>
            <w:r>
              <w:rPr>
                <w:rFonts w:hint="eastAsia" w:ascii="Times New Roman" w:hAnsi="Times New Roman" w:eastAsia="宋体" w:cs="Times New Roman"/>
                <w:sz w:val="24"/>
                <w:szCs w:val="24"/>
              </w:rPr>
              <w:t>筑牢企业</w:t>
            </w:r>
            <w:r>
              <w:rPr>
                <w:rFonts w:ascii="Times New Roman" w:hAnsi="Times New Roman" w:eastAsia="宋体" w:cs="Times New Roman"/>
                <w:sz w:val="24"/>
                <w:szCs w:val="24"/>
              </w:rPr>
              <w:t>长期可持续发展根基。</w:t>
            </w:r>
          </w:p>
          <w:bookmarkEnd w:id="1"/>
          <w:p w14:paraId="68A6B607">
            <w:pPr>
              <w:widowControl/>
              <w:spacing w:line="360" w:lineRule="auto"/>
              <w:ind w:firstLine="480" w:firstLineChars="200"/>
              <w:rPr>
                <w:rFonts w:ascii="Times New Roman" w:hAnsi="Times New Roman" w:eastAsia="宋体" w:cs="Times New Roman"/>
                <w:sz w:val="24"/>
                <w:szCs w:val="24"/>
              </w:rPr>
            </w:pPr>
          </w:p>
          <w:p w14:paraId="391AE5CC">
            <w:pPr>
              <w:widowControl/>
              <w:spacing w:line="360" w:lineRule="auto"/>
              <w:rPr>
                <w:rFonts w:ascii="Times New Roman" w:hAnsi="Times New Roman" w:eastAsia="宋体" w:cs="Times New Roman"/>
                <w:b/>
                <w:bCs/>
                <w:sz w:val="24"/>
                <w:szCs w:val="24"/>
              </w:rPr>
            </w:pPr>
            <w:r>
              <w:rPr>
                <w:rFonts w:ascii="Times New Roman" w:hAnsi="Times New Roman" w:eastAsia="宋体" w:cs="Times New Roman"/>
                <w:b/>
                <w:bCs/>
                <w:sz w:val="24"/>
                <w:szCs w:val="24"/>
              </w:rPr>
              <w:t>二、问答交流环节</w:t>
            </w:r>
          </w:p>
          <w:p w14:paraId="39702BF7">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1.提问：公司目前的主营业务和主要产品应用形式是怎样的？</w:t>
            </w:r>
          </w:p>
          <w:p w14:paraId="573A541E">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专注于季铵（鏻）化合物产品的研发、生产与销售，已形成以季铵盐、季铵碱、季鏻盐、冠醚为核心的四大产品体系。产品主要服务于精细化工、分子筛、高分子材料、电池电解液、油田化学品及电子化学品等下游应用领域，为各行业客户提供高品质的产品与配套技术服务，核心产品包括以下几类：</w:t>
            </w:r>
          </w:p>
          <w:p w14:paraId="22D20FA9">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1)相转移催化剂</w:t>
            </w:r>
          </w:p>
          <w:p w14:paraId="0609E656">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相转移催化剂（PTC）是一类能有效促进互不相溶的两种或多种相（通常为油相和水相）之间物质传递与反应的化合物。其核心作用是通过与反应体系中的活性物种（如离子）结合，形成可溶于另一相的“离子对”或复合物，打破相界限制，使原本难以接触的反应物在同一相（或相界面）发生反应，从而显著提高反应速率、降低反应条件（如温度）并提升产物收率。</w:t>
            </w:r>
          </w:p>
          <w:p w14:paraId="61E7E7BD">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相转移催化剂技术具有以下优势：大幅提升反应转化率与产物纯度；降低反应温度，减少能源消耗；兼具高效性、经济性与绿色安全性。随着环保政策趋严，以及医药、农药、液晶单体等新兴领域对低碳化、低成本工艺的迫切需求，PTC凭借其卓越的性能契合度，正成为推动新产业技术升级的关键助剂，市场前景极为广阔。</w:t>
            </w:r>
          </w:p>
          <w:p w14:paraId="6D558ACF">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2）分子筛模板剂</w:t>
            </w:r>
          </w:p>
          <w:p w14:paraId="3C49BCBF">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我国分子筛行业起步较晚，长期处于技术追赶阶段。但近年来国内经济腾飞及下游需求的爆发，为国内分子筛行业的发展带来了较大的机遇。国内分子筛企业通过持续的技术攻关，部分产品性能已达到国际标准，下游客户认可度显著提高，国产分子筛产品的国产替代进程持续推进。</w:t>
            </w:r>
          </w:p>
          <w:p w14:paraId="4679E45B">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分子筛主要通过水热合成法制备，模板剂在反应过程中起着关键作用。分子筛模板剂在硅铝原料缩聚并形成有序多孔结构的反应中起着“结构导向”作用，还直接影响着硅酸根或硅铝酸根的胶体化学性质，对分子筛的晶化过程与孔道结构的形成有十分重要的影响。</w:t>
            </w:r>
          </w:p>
          <w:p w14:paraId="2C63702C">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随着国产模板剂技术的进步，叠加下游催化、吸附分离等领域市场规模的持续扩张，国内模板剂生产企业正迎来较大的市场机遇。</w:t>
            </w:r>
          </w:p>
          <w:p w14:paraId="264A4FA4">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作为分子筛模板剂细分领域领军企业，深耕季铵碱多年，拥有自主可控核心制备工艺，具有季铵盐到季铵碱模板剂完整产业链，源头把控品质、优化生产成本；产线实现全自动化生产，批次质量高度稳定。产品线覆盖多品类分子筛合成所需模板剂，凭产业规模优势、核心技术全方位助力下游客户实现长效高质量发展。国内市场份额稳居前列，是国内分子筛厂商国产化替代的核心供应商，综合竞争优势显著。报告期内，本业务板块销量、营业收入同比实现双增长，客户合作粘性强，下游合作格局保持高度稳定。</w:t>
            </w:r>
          </w:p>
          <w:p w14:paraId="37E00D57">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3）固化促进剂</w:t>
            </w:r>
          </w:p>
          <w:p w14:paraId="1F004EEB">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固化促进剂是一种用于加速化学反应或提高材料硬度的添加剂，广泛应用于涂料、粘合剂及复合材料领域。随着新材料科学的进步，现代固化促进剂在催化效率、耐久性及环境友好性方面取得了长足进步，不仅提升了生产效率，更通过配方优化，增强产品的安全环保属性。</w:t>
            </w:r>
          </w:p>
          <w:p w14:paraId="5CDB8E4B">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固化促进剂的种类较多，理论上，具有表面活性的物质都可以用作固化促进剂。常见的固化促进剂包括胺类及其衍生物（叔胺、咪唑）、季铵盐、季鏻盐、冠醚等。其中，季铵盐、季鏻盐是环氧、酸酐体系非常有效的固化促进剂，如四丁基溴化铵、四乙基溴化铵等，特别适用于聚酯树脂、环氧树脂粉末涂料生产；冠醚凭借优异的表面活性、反应惰性及离子转移速率，能加速氰基丙烯酸酯胶粘剂的胶液吸收空气中的水，从而促进单体聚合、固化。</w:t>
            </w:r>
          </w:p>
          <w:p w14:paraId="0F5A330D">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在当前高分子材料合成工艺日益精细化的背景下，高性能固化促进剂的应用场景不断拓展，已成为提升材料综合性能不可或缺的关键组分。</w:t>
            </w:r>
          </w:p>
          <w:p w14:paraId="0591301E">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4）电解液添加剂</w:t>
            </w:r>
          </w:p>
          <w:p w14:paraId="0CD4B358">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电解液作为电池中离子传输的载体，广泛应用于锂电池、超级电容器等领域中。电解液的核心原材料包括溶质、溶剂和添加剂。尽管添加剂用量占比最小，但其却是电解液企业的核心技术所在，直接决定了电池的电导率、阻燃性、过充保护及倍率性能等关键指标。公司季铵盐、季鏻盐可作为添加剂用于电解液制备，在新能源汽车的爆发式增长及消费电子迭代升级的双重驱动下，市场对高性能电解液添加剂的需求持续增加，为产品提供了广阔的市场空间。</w:t>
            </w:r>
          </w:p>
          <w:p w14:paraId="5C20F000">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5）电子化学品</w:t>
            </w:r>
          </w:p>
          <w:p w14:paraId="6EBC2042">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电子化学品，一般泛指电子工业使用的专用化学品及化工材料，是电子元器件、印刷线路板、工业及消费类整机生产制造中不可或缺的关键材料，产品覆盖基板材料、光致抗蚀剂、电镀化学品、封装材料、高纯试剂、特种气体、清洗剂等十余个大类。行业呈现品类繁多、纯度标准严苛、技术迭代迅速、资金密集、附加值较高等显著特征。</w:t>
            </w:r>
          </w:p>
          <w:p w14:paraId="0F9DD38D">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湿电子化学品作为电子工业重要支撑材料，是微电子、光电子湿法工艺制程(湿法蚀刻、清洗、显影、剥离等工序)所需关键基础原料，广泛应用于集成电路、显示面板、太阳能光伏等电子产品制造领域。根据共研产业研究院《2026-2032年中国湿电子化学品市场深度调研与发展前景报告》，国内湿电子化学品市场规模持续扩张、全球市场份额稳步提升。但相较欧美、日韩头部企业，国内企业在生产规模、核心技术方面仍存在差距，行业国产化替代具有较大提升空间。</w:t>
            </w:r>
          </w:p>
          <w:p w14:paraId="72079F64">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季铵碱类产品属于湿电子化学品重要品类，因其精确的蚀刻控制和低金属残留等特性，已成为光刻、清洗等核心制程难以替代的化学物料，目前正处于国产化替代与产业升级的关键阶段。随着国内半导体、平板显示等核心产业对高纯电子化学品的需求持续增长，相关细分赛道增长潜力凸显。</w:t>
            </w:r>
          </w:p>
          <w:p w14:paraId="741D91E8">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此外，公司生产的高端季铵盐类产品可应用于电子化学品、工业催化剂等，服务下游行业头部客户，对应市场需求持续扩容。公司自主研发的高端季铵盐类产品依托持续迭代的专属配方体系，借助垂直一体化产业链布局，构筑自身核心竞争优势。</w:t>
            </w:r>
          </w:p>
          <w:p w14:paraId="326D612A">
            <w:pPr>
              <w:widowControl/>
              <w:spacing w:line="360" w:lineRule="auto"/>
              <w:rPr>
                <w:rFonts w:ascii="Times New Roman" w:hAnsi="Times New Roman" w:eastAsia="宋体" w:cs="Times New Roman"/>
                <w:sz w:val="24"/>
                <w:szCs w:val="24"/>
              </w:rPr>
            </w:pPr>
          </w:p>
          <w:p w14:paraId="371222C9">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2.提问：公司当前主要产品的市场供需格局及产能利用情况如何？</w:t>
            </w:r>
          </w:p>
          <w:p w14:paraId="4B193E95">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主营产品以各类相转移催化剂为核心，下游市场需求整体保持稳健增长。随着医药、农药、精细化工、分子筛及电子化学品等终端应用领域的持续拓展，产品需求保持良性增长。公司现有产能利用率处于较高水平，能够有效承接市场订单，确保产品的稳定供应与交付。</w:t>
            </w:r>
          </w:p>
          <w:p w14:paraId="2C85AB60">
            <w:pPr>
              <w:widowControl/>
              <w:spacing w:line="360" w:lineRule="auto"/>
              <w:rPr>
                <w:rFonts w:ascii="Times New Roman" w:hAnsi="Times New Roman" w:eastAsia="宋体" w:cs="Times New Roman"/>
                <w:sz w:val="24"/>
                <w:szCs w:val="24"/>
              </w:rPr>
            </w:pPr>
          </w:p>
          <w:p w14:paraId="212588E5">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3.提问：请分析一下公司的核心竞争力和行业地位？</w:t>
            </w:r>
          </w:p>
          <w:p w14:paraId="31DB39AC">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自设立以来，始终专注于从事季铵（鏻）化合物等产品研发、生产和销售，坚持加强自身研发队伍建设，通过持续的技术创新，不断优化生产工艺、提升产品质量、丰富产品结构。目前，公司已形成季铵盐、季铵碱、季鏻盐、冠醚四大系列产品，产品质量稳定，下游应用领域广泛。</w:t>
            </w:r>
          </w:p>
          <w:p w14:paraId="3F9C9C29">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资质荣誉方面，公司及子公司在2019和2021年先后获得江西省和浙江省省级专精特新中小企业认定，公司于2022年入选工业和信息化部第四批国家级专精特新“小巨人”企业，充分印证了在细分领域的龙头地位和核心竞争力。</w:t>
            </w:r>
          </w:p>
          <w:p w14:paraId="295DD747">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技术与人才储备方面，截至2026年6月30日，公司拥有研发人员65人，拥有有效国内发明专利55件、实用新型专利158件、国际发明专利3件，熟练掌握季铵盐合成、季鏻盐合成、冠醚合成及离子膜有机电解等核心生产技术，构筑深厚技术壁垒。</w:t>
            </w:r>
          </w:p>
          <w:p w14:paraId="4FB19A33">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市场口碑方面，公司凭借稳定的产品品质</w:t>
            </w:r>
            <w:bookmarkStart w:id="2" w:name="_GoBack"/>
            <w:bookmarkEnd w:id="2"/>
            <w:r>
              <w:rPr>
                <w:rFonts w:hint="eastAsia" w:ascii="Times New Roman" w:hAnsi="Times New Roman" w:eastAsia="宋体" w:cs="Times New Roman"/>
                <w:sz w:val="24"/>
                <w:szCs w:val="24"/>
              </w:rPr>
              <w:t>与良好的行业信誉，与下游多个应用领域的知名企业建立了长期稳定的合作关系，客户粘性较强。</w:t>
            </w:r>
          </w:p>
          <w:p w14:paraId="684E368E">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综合而言，公司在多重竞争优势的叠加下，行业领先地位稳固，核心竞争力持续增强。</w:t>
            </w:r>
          </w:p>
          <w:p w14:paraId="369C7F25">
            <w:pPr>
              <w:widowControl/>
              <w:spacing w:line="360" w:lineRule="auto"/>
              <w:rPr>
                <w:rFonts w:ascii="Times New Roman" w:hAnsi="Times New Roman" w:eastAsia="宋体" w:cs="Times New Roman"/>
                <w:sz w:val="24"/>
                <w:szCs w:val="24"/>
              </w:rPr>
            </w:pPr>
          </w:p>
          <w:p w14:paraId="7C750A34">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4.提问：公司在产能扩张方面有哪些具体计划和推进安排？</w:t>
            </w:r>
          </w:p>
          <w:p w14:paraId="34D6BADD">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将根据下游市场需求变化及整体战略部署，重点推进两方面工作：一是对现有产线开展技术改造与提质增效，持续挖掘存量产能潜力；二是加快募投项目的建设与投产进度，进一步扩大产能规模、提升生产效率，以更加充分地满足客户多元化和定制化的采购需求。“年产8,860吨功能性催化新材料项目”于2026年3月经公司临时股东会审议通过产品结构调整、内部投资结构调整并延期，目前项目处于主体施工阶段，截至2026年6月30日累计投入募集资金5,907.58万元，募集资金投入进度22.11%，项目进度符合预期，详见公司同日披露的《关于2026年半年度募集资金存放与实际使用情况的专项报告》。</w:t>
            </w:r>
          </w:p>
          <w:p w14:paraId="194549F4">
            <w:pPr>
              <w:widowControl/>
              <w:spacing w:line="360" w:lineRule="auto"/>
              <w:rPr>
                <w:rFonts w:ascii="Times New Roman" w:hAnsi="Times New Roman" w:eastAsia="宋体" w:cs="Times New Roman"/>
                <w:sz w:val="24"/>
                <w:szCs w:val="24"/>
              </w:rPr>
            </w:pPr>
          </w:p>
          <w:p w14:paraId="2EC87AE5">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5.提问：公司在研发投入及未来技术布局方面有哪些规划？</w:t>
            </w:r>
          </w:p>
          <w:p w14:paraId="27A7D8BF">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公司将持续加大研发投入力度，完善高端技术人才的引进与内部培养机制并不断深化与国内高等院校的产学研协同合作，2026年7月，公司获批准设立国家级博士后科研工作站。未来，公司的技术研发将重点聚焦于现有生产工艺的优化迭代、全新产品开发以及前沿技术市场转化落地。通过构建高效、完善的产学研合作协同研发体系与快速响应机制，以技术创新驱动企业高质量发展。</w:t>
            </w:r>
          </w:p>
          <w:p w14:paraId="63C377C3">
            <w:pPr>
              <w:widowControl/>
              <w:spacing w:line="360" w:lineRule="auto"/>
              <w:rPr>
                <w:rFonts w:ascii="Times New Roman" w:hAnsi="Times New Roman" w:eastAsia="宋体" w:cs="Times New Roman"/>
                <w:sz w:val="24"/>
                <w:szCs w:val="24"/>
              </w:rPr>
            </w:pPr>
          </w:p>
          <w:p w14:paraId="1C26E723">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6.提问：公司上半年的业绩情况如何？</w:t>
            </w:r>
          </w:p>
          <w:p w14:paraId="4A76827F">
            <w:pPr>
              <w:widowControl/>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答：2026年上半年，面对复杂多变的市场环境，公司紧扣年度经营计划，在稳固传统精细化工业务基本盘的基础上，加速推进多款新产品的市场拓展。一方面持续巩固相转移催化剂、分子筛模板剂等细分领域的国内领先地位，另一方面加快布局电解液添加剂、电子化学品等新兴领域，持续拓宽下游应用场景，推动产品向高端化、差异化方向升级。</w:t>
            </w:r>
          </w:p>
          <w:p w14:paraId="559F102F">
            <w:pPr>
              <w:widowControl/>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报告期内，公司实现营业收入33,502.92万元，同比增长13.28%；归属于母公司所有者的净利润4,114.42万元，同比增长4.56%；扣除非经常性损益后的净利润3,799.14万元，同比增长4.63%；经营活动产生的现金流量净额5,519.61万元，同比增长2.58%。面对复杂的市场环境和原材料价格波动，公司凭借技术优势和产品结构优化，保持了良好的盈利能力，展现出较强的经营韧性。</w:t>
            </w:r>
          </w:p>
          <w:p w14:paraId="2E99545D">
            <w:pPr>
              <w:widowControl/>
              <w:spacing w:line="360" w:lineRule="auto"/>
              <w:rPr>
                <w:rFonts w:ascii="Times New Roman" w:hAnsi="Times New Roman" w:eastAsia="宋体" w:cs="Times New Roman"/>
                <w:sz w:val="24"/>
                <w:szCs w:val="24"/>
              </w:rPr>
            </w:pPr>
          </w:p>
          <w:p w14:paraId="74DE3404">
            <w:pPr>
              <w:widowControl/>
              <w:spacing w:line="360" w:lineRule="auto"/>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7.提问：可否介绍一下公司中长期的发展规划？</w:t>
            </w:r>
          </w:p>
          <w:p w14:paraId="06CF897D">
            <w:pPr>
              <w:widowControl/>
              <w:spacing w:line="360" w:lineRule="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答：2026年，化工行业有望在多重利好因素驱动下保持温和增长态势。公司将立足相转移催化剂、分子筛模板剂、电解液添加剂、电子化学品、油田化学品等主要领域，深耕主业、拓展新兴市场，稳步推动业务规模与盈利能力的共同提升，夯实企业长期可持续发展的基础。</w:t>
            </w:r>
          </w:p>
        </w:tc>
      </w:tr>
      <w:tr w14:paraId="1044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635C3425">
            <w:pPr>
              <w:widowControl/>
              <w:wordWrap w:val="0"/>
              <w:adjustRightInd w:val="0"/>
              <w:snapToGrid w:val="0"/>
              <w:spacing w:before="120" w:line="360" w:lineRule="auto"/>
              <w:jc w:val="center"/>
              <w:rPr>
                <w:rFonts w:hint="eastAsia" w:ascii="宋体" w:hAnsi="宋体" w:eastAsia="宋体" w:cs="USHEHF+ËÎÌå"/>
                <w:color w:val="000000"/>
                <w:sz w:val="24"/>
                <w:lang w:val="ru-RU"/>
              </w:rPr>
            </w:pPr>
            <w:r>
              <w:rPr>
                <w:rFonts w:ascii="Times New Roman" w:hAnsi="Times New Roman" w:eastAsia="宋体" w:cs="Times New Roman"/>
                <w:bCs/>
                <w:iCs/>
                <w:color w:val="000000"/>
                <w:sz w:val="24"/>
                <w:szCs w:val="24"/>
              </w:rPr>
              <w:t>关于本次活动是否涉及应当披露重大信息的说明</w:t>
            </w:r>
          </w:p>
        </w:tc>
        <w:tc>
          <w:tcPr>
            <w:tcW w:w="7655" w:type="dxa"/>
            <w:tcBorders>
              <w:top w:val="single" w:color="auto" w:sz="4" w:space="0"/>
              <w:left w:val="single" w:color="auto" w:sz="4" w:space="0"/>
              <w:bottom w:val="single" w:color="auto" w:sz="4" w:space="0"/>
              <w:right w:val="single" w:color="auto" w:sz="4" w:space="0"/>
            </w:tcBorders>
            <w:vAlign w:val="center"/>
          </w:tcPr>
          <w:p w14:paraId="63495B69">
            <w:pPr>
              <w:widowControl/>
              <w:wordWrap w:val="0"/>
              <w:adjustRightInd w:val="0"/>
              <w:snapToGrid w:val="0"/>
              <w:spacing w:before="120" w:after="240" w:line="360" w:lineRule="auto"/>
              <w:jc w:val="left"/>
              <w:rPr>
                <w:rFonts w:hint="eastAsia" w:ascii="宋体" w:hAnsi="宋体" w:eastAsia="宋体" w:cs="Times New Roman"/>
                <w:sz w:val="22"/>
                <w:lang w:val="ru-RU"/>
              </w:rPr>
            </w:pPr>
            <w:r>
              <w:rPr>
                <w:rFonts w:ascii="Times New Roman" w:hAnsi="Times New Roman" w:eastAsia="宋体" w:cs="Times New Roman"/>
                <w:bCs/>
                <w:iCs/>
                <w:color w:val="000000"/>
                <w:sz w:val="24"/>
                <w:szCs w:val="24"/>
              </w:rPr>
              <w:t>本次投资者调研活动全程严格遵守信息披露相关法律法规，不存在未披露重大内幕信息泄露</w:t>
            </w:r>
            <w:r>
              <w:rPr>
                <w:rFonts w:hint="eastAsia" w:ascii="Times New Roman" w:hAnsi="Times New Roman" w:eastAsia="宋体" w:cs="Times New Roman"/>
                <w:bCs/>
                <w:iCs/>
                <w:color w:val="000000"/>
                <w:sz w:val="24"/>
                <w:szCs w:val="24"/>
              </w:rPr>
              <w:t>等</w:t>
            </w:r>
            <w:r>
              <w:rPr>
                <w:rFonts w:ascii="Times New Roman" w:hAnsi="Times New Roman" w:eastAsia="宋体" w:cs="Times New Roman"/>
                <w:bCs/>
                <w:iCs/>
                <w:color w:val="000000"/>
                <w:sz w:val="24"/>
                <w:szCs w:val="24"/>
              </w:rPr>
              <w:t>情形。</w:t>
            </w:r>
          </w:p>
        </w:tc>
      </w:tr>
      <w:tr w14:paraId="5B03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0CF0A774">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附件清单（如有）</w:t>
            </w:r>
          </w:p>
        </w:tc>
        <w:tc>
          <w:tcPr>
            <w:tcW w:w="7655" w:type="dxa"/>
            <w:tcBorders>
              <w:top w:val="single" w:color="auto" w:sz="4" w:space="0"/>
              <w:left w:val="single" w:color="auto" w:sz="4" w:space="0"/>
              <w:bottom w:val="single" w:color="auto" w:sz="4" w:space="0"/>
              <w:right w:val="single" w:color="auto" w:sz="4" w:space="0"/>
            </w:tcBorders>
            <w:vAlign w:val="center"/>
          </w:tcPr>
          <w:p w14:paraId="0754CB2F">
            <w:pPr>
              <w:widowControl/>
              <w:wordWrap w:val="0"/>
              <w:adjustRightInd w:val="0"/>
              <w:snapToGrid w:val="0"/>
              <w:spacing w:before="120" w:after="240"/>
              <w:jc w:val="left"/>
              <w:rPr>
                <w:rFonts w:hint="eastAsia" w:ascii="宋体" w:hAnsi="宋体" w:eastAsia="宋体" w:cs="Times New Roman"/>
                <w:sz w:val="22"/>
                <w:lang w:val="ru-RU"/>
              </w:rPr>
            </w:pPr>
            <w:r>
              <w:rPr>
                <w:rFonts w:hint="eastAsia" w:ascii="宋体" w:hAnsi="宋体" w:eastAsia="宋体" w:cs="Times New Roman"/>
                <w:sz w:val="22"/>
                <w:lang w:val="ru-RU"/>
              </w:rPr>
              <w:t>无</w:t>
            </w:r>
          </w:p>
        </w:tc>
      </w:tr>
      <w:tr w14:paraId="0F5B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Borders>
              <w:top w:val="single" w:color="auto" w:sz="4" w:space="0"/>
              <w:left w:val="single" w:color="auto" w:sz="4" w:space="0"/>
              <w:bottom w:val="single" w:color="auto" w:sz="4" w:space="0"/>
              <w:right w:val="single" w:color="auto" w:sz="4" w:space="0"/>
            </w:tcBorders>
            <w:vAlign w:val="center"/>
          </w:tcPr>
          <w:p w14:paraId="323EC183">
            <w:pPr>
              <w:widowControl/>
              <w:wordWrap w:val="0"/>
              <w:adjustRightInd w:val="0"/>
              <w:snapToGrid w:val="0"/>
              <w:spacing w:before="120" w:line="360" w:lineRule="auto"/>
              <w:jc w:val="center"/>
              <w:rPr>
                <w:rFonts w:hint="eastAsia" w:ascii="宋体" w:hAnsi="宋体" w:eastAsia="宋体" w:cs="Times New Roman"/>
                <w:sz w:val="22"/>
                <w:lang w:val="ru-RU"/>
              </w:rPr>
            </w:pPr>
            <w:r>
              <w:rPr>
                <w:rFonts w:hint="eastAsia" w:ascii="宋体" w:hAnsi="宋体" w:eastAsia="宋体" w:cs="USHEHF+ËÎÌå"/>
                <w:color w:val="000000"/>
                <w:sz w:val="24"/>
                <w:lang w:val="ru-RU"/>
              </w:rPr>
              <w:t>日期</w:t>
            </w:r>
          </w:p>
        </w:tc>
        <w:tc>
          <w:tcPr>
            <w:tcW w:w="7655" w:type="dxa"/>
            <w:tcBorders>
              <w:top w:val="single" w:color="auto" w:sz="4" w:space="0"/>
              <w:left w:val="single" w:color="auto" w:sz="4" w:space="0"/>
              <w:bottom w:val="single" w:color="auto" w:sz="4" w:space="0"/>
              <w:right w:val="single" w:color="auto" w:sz="4" w:space="0"/>
            </w:tcBorders>
            <w:vAlign w:val="center"/>
          </w:tcPr>
          <w:p w14:paraId="2C929B47">
            <w:pPr>
              <w:widowControl/>
              <w:wordWrap w:val="0"/>
              <w:adjustRightInd w:val="0"/>
              <w:snapToGrid w:val="0"/>
              <w:spacing w:before="120" w:after="240"/>
              <w:jc w:val="left"/>
              <w:rPr>
                <w:rFonts w:ascii="Times New Roman" w:hAnsi="Times New Roman" w:eastAsia="宋体" w:cs="Times New Roman"/>
                <w:sz w:val="24"/>
                <w:szCs w:val="24"/>
                <w:lang w:val="ru-RU"/>
              </w:rPr>
            </w:pPr>
            <w:r>
              <w:rPr>
                <w:rFonts w:hint="eastAsia" w:ascii="Times New Roman" w:hAnsi="Times New Roman" w:eastAsia="宋体" w:cs="Times New Roman"/>
                <w:sz w:val="24"/>
                <w:szCs w:val="24"/>
                <w:lang w:val="ru-RU"/>
              </w:rPr>
              <w:t>2026年0</w:t>
            </w:r>
            <w:r>
              <w:rPr>
                <w:rFonts w:hint="eastAsia" w:ascii="Times New Roman" w:hAnsi="Times New Roman" w:eastAsia="宋体" w:cs="Times New Roman"/>
                <w:sz w:val="24"/>
                <w:szCs w:val="24"/>
              </w:rPr>
              <w:t>8</w:t>
            </w:r>
            <w:r>
              <w:rPr>
                <w:rFonts w:hint="eastAsia" w:ascii="Times New Roman" w:hAnsi="Times New Roman" w:eastAsia="宋体" w:cs="Times New Roman"/>
                <w:sz w:val="24"/>
                <w:szCs w:val="24"/>
                <w:lang w:val="ru-RU"/>
              </w:rPr>
              <w:t>月</w:t>
            </w:r>
            <w:r>
              <w:rPr>
                <w:rFonts w:hint="eastAsia" w:ascii="Times New Roman" w:hAnsi="Times New Roman" w:eastAsia="宋体" w:cs="Times New Roman"/>
                <w:sz w:val="24"/>
                <w:szCs w:val="24"/>
              </w:rPr>
              <w:t>27</w:t>
            </w:r>
            <w:r>
              <w:rPr>
                <w:rFonts w:hint="eastAsia" w:ascii="Times New Roman" w:hAnsi="Times New Roman" w:eastAsia="宋体" w:cs="Times New Roman"/>
                <w:sz w:val="24"/>
                <w:szCs w:val="24"/>
                <w:lang w:val="ru-RU"/>
              </w:rPr>
              <w:t>日</w:t>
            </w:r>
          </w:p>
        </w:tc>
      </w:tr>
    </w:tbl>
    <w:p w14:paraId="4DFD2916">
      <w:pPr>
        <w:rPr>
          <w:rFonts w:hint="eastAsia" w:ascii="宋体" w:hAnsi="宋体" w:eastAsia="宋体"/>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RDFSIJ+ºÚÌå">
    <w:altName w:val="Microsoft Sans Serif"/>
    <w:panose1 w:val="00000000000000000000"/>
    <w:charset w:val="00"/>
    <w:family w:val="auto"/>
    <w:pitch w:val="default"/>
    <w:sig w:usb0="00000000" w:usb1="00000000" w:usb2="01010101" w:usb3="01010101" w:csb0="01010101" w:csb1="01010101"/>
  </w:font>
  <w:font w:name="Microsoft Sans Serif">
    <w:panose1 w:val="020B0604020202020204"/>
    <w:charset w:val="00"/>
    <w:family w:val="auto"/>
    <w:pitch w:val="default"/>
    <w:sig w:usb0="E5002EFF" w:usb1="C000605B" w:usb2="00000029" w:usb3="00000000" w:csb0="200101FF" w:csb1="20280000"/>
  </w:font>
  <w:font w:name="USHEHF+ËÎÌå">
    <w:altName w:val="Microsoft Sans Serif"/>
    <w:panose1 w:val="00000000000000000000"/>
    <w:charset w:val="00"/>
    <w:family w:val="auto"/>
    <w:pitch w:val="default"/>
    <w:sig w:usb0="00000000" w:usb1="00000000" w:usb2="01010101" w:usb3="01010101" w:csb0="01010101" w:csb1="01010101"/>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15651294"/>
    </w:sdtPr>
    <w:sdtEndPr>
      <w:rPr>
        <w:rFonts w:ascii="Times New Roman" w:hAnsi="Times New Roman" w:cs="Times New Roman"/>
      </w:rPr>
    </w:sdtEndPr>
    <w:sdtContent>
      <w:p w14:paraId="7E7AC8E9">
        <w:pPr>
          <w:pStyle w:val="5"/>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0MTdjODcwZGU1NzQyYzNhNDhiNzk0NWIyMjQ4MDQifQ=="/>
  </w:docVars>
  <w:rsids>
    <w:rsidRoot w:val="008D4693"/>
    <w:rsid w:val="00004123"/>
    <w:rsid w:val="0000779B"/>
    <w:rsid w:val="00030341"/>
    <w:rsid w:val="000309F9"/>
    <w:rsid w:val="00037129"/>
    <w:rsid w:val="00041B5C"/>
    <w:rsid w:val="000618A5"/>
    <w:rsid w:val="00072B02"/>
    <w:rsid w:val="0007641A"/>
    <w:rsid w:val="000874DF"/>
    <w:rsid w:val="000E099B"/>
    <w:rsid w:val="000F2A6D"/>
    <w:rsid w:val="00100534"/>
    <w:rsid w:val="00102411"/>
    <w:rsid w:val="001065FD"/>
    <w:rsid w:val="001077EE"/>
    <w:rsid w:val="00114CA3"/>
    <w:rsid w:val="00141B08"/>
    <w:rsid w:val="00174A48"/>
    <w:rsid w:val="001808D8"/>
    <w:rsid w:val="001811BB"/>
    <w:rsid w:val="00184F74"/>
    <w:rsid w:val="00186632"/>
    <w:rsid w:val="001B1D83"/>
    <w:rsid w:val="001B3B04"/>
    <w:rsid w:val="001C019D"/>
    <w:rsid w:val="001D456E"/>
    <w:rsid w:val="001E103A"/>
    <w:rsid w:val="00207057"/>
    <w:rsid w:val="00207F98"/>
    <w:rsid w:val="00211364"/>
    <w:rsid w:val="002136EE"/>
    <w:rsid w:val="002171E1"/>
    <w:rsid w:val="00222C62"/>
    <w:rsid w:val="00224325"/>
    <w:rsid w:val="002247F1"/>
    <w:rsid w:val="00244E0A"/>
    <w:rsid w:val="00246255"/>
    <w:rsid w:val="00257164"/>
    <w:rsid w:val="00275B52"/>
    <w:rsid w:val="00276807"/>
    <w:rsid w:val="002963B7"/>
    <w:rsid w:val="002D7C7D"/>
    <w:rsid w:val="002F0A0A"/>
    <w:rsid w:val="002F1F4F"/>
    <w:rsid w:val="00304635"/>
    <w:rsid w:val="003048CA"/>
    <w:rsid w:val="0031393E"/>
    <w:rsid w:val="00316044"/>
    <w:rsid w:val="0032062B"/>
    <w:rsid w:val="00324724"/>
    <w:rsid w:val="003416AE"/>
    <w:rsid w:val="00347BDA"/>
    <w:rsid w:val="00357A65"/>
    <w:rsid w:val="003628AB"/>
    <w:rsid w:val="00364046"/>
    <w:rsid w:val="003665B2"/>
    <w:rsid w:val="00367582"/>
    <w:rsid w:val="003802CC"/>
    <w:rsid w:val="003A0860"/>
    <w:rsid w:val="003A5D33"/>
    <w:rsid w:val="003B111C"/>
    <w:rsid w:val="003B26AA"/>
    <w:rsid w:val="003B6F82"/>
    <w:rsid w:val="003C6FB4"/>
    <w:rsid w:val="003E5945"/>
    <w:rsid w:val="003F433C"/>
    <w:rsid w:val="003F5CE7"/>
    <w:rsid w:val="004055B3"/>
    <w:rsid w:val="00410EE2"/>
    <w:rsid w:val="004113A7"/>
    <w:rsid w:val="0041536A"/>
    <w:rsid w:val="00417833"/>
    <w:rsid w:val="00432B2C"/>
    <w:rsid w:val="00450001"/>
    <w:rsid w:val="0046685B"/>
    <w:rsid w:val="004956B7"/>
    <w:rsid w:val="004960F1"/>
    <w:rsid w:val="004A77B4"/>
    <w:rsid w:val="004A7DB1"/>
    <w:rsid w:val="004B31B5"/>
    <w:rsid w:val="004B6228"/>
    <w:rsid w:val="004C3B14"/>
    <w:rsid w:val="004C772F"/>
    <w:rsid w:val="004C7DC2"/>
    <w:rsid w:val="004F36D5"/>
    <w:rsid w:val="00515F44"/>
    <w:rsid w:val="0052744E"/>
    <w:rsid w:val="00537186"/>
    <w:rsid w:val="00553AC9"/>
    <w:rsid w:val="00562C53"/>
    <w:rsid w:val="005753B1"/>
    <w:rsid w:val="00581694"/>
    <w:rsid w:val="00582448"/>
    <w:rsid w:val="005927F6"/>
    <w:rsid w:val="00593543"/>
    <w:rsid w:val="005964F7"/>
    <w:rsid w:val="005974F6"/>
    <w:rsid w:val="005A5603"/>
    <w:rsid w:val="005A5CE6"/>
    <w:rsid w:val="005B65EF"/>
    <w:rsid w:val="005C7E38"/>
    <w:rsid w:val="005D2CDB"/>
    <w:rsid w:val="00612466"/>
    <w:rsid w:val="00634EE0"/>
    <w:rsid w:val="00641E8D"/>
    <w:rsid w:val="0065522C"/>
    <w:rsid w:val="006646C5"/>
    <w:rsid w:val="00673FAE"/>
    <w:rsid w:val="006A2EBA"/>
    <w:rsid w:val="006B2ADA"/>
    <w:rsid w:val="006B4E2A"/>
    <w:rsid w:val="006B5E13"/>
    <w:rsid w:val="006F24D1"/>
    <w:rsid w:val="00705AE4"/>
    <w:rsid w:val="0073214A"/>
    <w:rsid w:val="0076189F"/>
    <w:rsid w:val="00762524"/>
    <w:rsid w:val="007657E9"/>
    <w:rsid w:val="00767156"/>
    <w:rsid w:val="007772AD"/>
    <w:rsid w:val="007A1F2D"/>
    <w:rsid w:val="007A50D8"/>
    <w:rsid w:val="007C75FF"/>
    <w:rsid w:val="007D1311"/>
    <w:rsid w:val="007D7901"/>
    <w:rsid w:val="007F3F25"/>
    <w:rsid w:val="007F63EA"/>
    <w:rsid w:val="0082731E"/>
    <w:rsid w:val="00832C04"/>
    <w:rsid w:val="008332C1"/>
    <w:rsid w:val="00833488"/>
    <w:rsid w:val="00834FC9"/>
    <w:rsid w:val="00854142"/>
    <w:rsid w:val="00873750"/>
    <w:rsid w:val="00885121"/>
    <w:rsid w:val="008A152B"/>
    <w:rsid w:val="008A2B69"/>
    <w:rsid w:val="008C63A8"/>
    <w:rsid w:val="008D4693"/>
    <w:rsid w:val="008D5B0B"/>
    <w:rsid w:val="008F7A80"/>
    <w:rsid w:val="009249D5"/>
    <w:rsid w:val="0093169F"/>
    <w:rsid w:val="009333D0"/>
    <w:rsid w:val="009450FD"/>
    <w:rsid w:val="00974494"/>
    <w:rsid w:val="00985595"/>
    <w:rsid w:val="009875C4"/>
    <w:rsid w:val="00994BFD"/>
    <w:rsid w:val="00996355"/>
    <w:rsid w:val="009B0958"/>
    <w:rsid w:val="009C11AE"/>
    <w:rsid w:val="009E5559"/>
    <w:rsid w:val="009E7CC3"/>
    <w:rsid w:val="00A20D31"/>
    <w:rsid w:val="00A32163"/>
    <w:rsid w:val="00A352F3"/>
    <w:rsid w:val="00A358B1"/>
    <w:rsid w:val="00A65DD5"/>
    <w:rsid w:val="00A81981"/>
    <w:rsid w:val="00A83A45"/>
    <w:rsid w:val="00AA702B"/>
    <w:rsid w:val="00AA70BF"/>
    <w:rsid w:val="00AC58BF"/>
    <w:rsid w:val="00AC75BE"/>
    <w:rsid w:val="00B02047"/>
    <w:rsid w:val="00B1719D"/>
    <w:rsid w:val="00B20D98"/>
    <w:rsid w:val="00B26201"/>
    <w:rsid w:val="00B44BEE"/>
    <w:rsid w:val="00B47502"/>
    <w:rsid w:val="00B6000E"/>
    <w:rsid w:val="00B67029"/>
    <w:rsid w:val="00B760AD"/>
    <w:rsid w:val="00BA259B"/>
    <w:rsid w:val="00BB6EE2"/>
    <w:rsid w:val="00C10A4A"/>
    <w:rsid w:val="00C14A09"/>
    <w:rsid w:val="00C2318A"/>
    <w:rsid w:val="00C3507B"/>
    <w:rsid w:val="00C436F9"/>
    <w:rsid w:val="00C51686"/>
    <w:rsid w:val="00C67EB3"/>
    <w:rsid w:val="00C85B4B"/>
    <w:rsid w:val="00C97898"/>
    <w:rsid w:val="00CA36D3"/>
    <w:rsid w:val="00CA5826"/>
    <w:rsid w:val="00CB6A4A"/>
    <w:rsid w:val="00CC4A87"/>
    <w:rsid w:val="00CF23EA"/>
    <w:rsid w:val="00CF67CF"/>
    <w:rsid w:val="00D00812"/>
    <w:rsid w:val="00D1138C"/>
    <w:rsid w:val="00D3414F"/>
    <w:rsid w:val="00D35A7E"/>
    <w:rsid w:val="00D42C5C"/>
    <w:rsid w:val="00D71363"/>
    <w:rsid w:val="00DB15D2"/>
    <w:rsid w:val="00DB1911"/>
    <w:rsid w:val="00DB299F"/>
    <w:rsid w:val="00DD56DE"/>
    <w:rsid w:val="00DF1A3B"/>
    <w:rsid w:val="00E14C26"/>
    <w:rsid w:val="00E2048E"/>
    <w:rsid w:val="00E352E6"/>
    <w:rsid w:val="00E43AE3"/>
    <w:rsid w:val="00E45FD5"/>
    <w:rsid w:val="00E57D5F"/>
    <w:rsid w:val="00E829C7"/>
    <w:rsid w:val="00E924AF"/>
    <w:rsid w:val="00EA230F"/>
    <w:rsid w:val="00EB0C05"/>
    <w:rsid w:val="00ED1D76"/>
    <w:rsid w:val="00ED76CF"/>
    <w:rsid w:val="00EE3707"/>
    <w:rsid w:val="00EE7006"/>
    <w:rsid w:val="00F035AF"/>
    <w:rsid w:val="00F04EE8"/>
    <w:rsid w:val="00F11B12"/>
    <w:rsid w:val="00F34504"/>
    <w:rsid w:val="00F8245A"/>
    <w:rsid w:val="00F86299"/>
    <w:rsid w:val="00FA0AF2"/>
    <w:rsid w:val="00FB3D64"/>
    <w:rsid w:val="00FC0DFA"/>
    <w:rsid w:val="00FD3B09"/>
    <w:rsid w:val="00FE3514"/>
    <w:rsid w:val="00FE6BE9"/>
    <w:rsid w:val="00FF5571"/>
    <w:rsid w:val="00FF71D8"/>
    <w:rsid w:val="0E157728"/>
    <w:rsid w:val="21823A71"/>
    <w:rsid w:val="27110EAB"/>
    <w:rsid w:val="27F82CDF"/>
    <w:rsid w:val="2C7A5105"/>
    <w:rsid w:val="2FD65143"/>
    <w:rsid w:val="34E857D9"/>
    <w:rsid w:val="4A182415"/>
    <w:rsid w:val="4B6702F3"/>
    <w:rsid w:val="50122996"/>
    <w:rsid w:val="537B1F4B"/>
    <w:rsid w:val="58A62645"/>
    <w:rsid w:val="5B7D7A78"/>
    <w:rsid w:val="689626B7"/>
    <w:rsid w:val="6BC91E1E"/>
    <w:rsid w:val="6D3451EC"/>
    <w:rsid w:val="74835EFA"/>
    <w:rsid w:val="77400EE8"/>
    <w:rsid w:val="7EC367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spacing w:before="260" w:after="260" w:line="413" w:lineRule="auto"/>
      <w:outlineLvl w:val="1"/>
    </w:pPr>
    <w:rPr>
      <w:rFonts w:ascii="Arial" w:hAnsi="Arial" w:eastAsia="黑体"/>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2"/>
    <w:unhideWhenUsed/>
    <w:qFormat/>
    <w:uiPriority w:val="99"/>
    <w:pPr>
      <w:jc w:val="left"/>
    </w:pPr>
  </w:style>
  <w:style w:type="paragraph" w:styleId="4">
    <w:name w:val="Balloon Text"/>
    <w:basedOn w:val="1"/>
    <w:link w:val="13"/>
    <w:semiHidden/>
    <w:unhideWhenUsed/>
    <w:qFormat/>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5"/>
    <w:semiHidden/>
    <w:unhideWhenUsed/>
    <w:qFormat/>
    <w:uiPriority w:val="99"/>
    <w:rPr>
      <w:b/>
      <w:bCs/>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annotation reference"/>
    <w:basedOn w:val="10"/>
    <w:semiHidden/>
    <w:unhideWhenUsed/>
    <w:qFormat/>
    <w:uiPriority w:val="99"/>
    <w:rPr>
      <w:sz w:val="21"/>
      <w:szCs w:val="21"/>
    </w:rPr>
  </w:style>
  <w:style w:type="character" w:customStyle="1" w:styleId="12">
    <w:name w:val="批注文字 字符"/>
    <w:basedOn w:val="10"/>
    <w:link w:val="3"/>
    <w:qFormat/>
    <w:uiPriority w:val="99"/>
  </w:style>
  <w:style w:type="character" w:customStyle="1" w:styleId="13">
    <w:name w:val="批注框文本 字符"/>
    <w:basedOn w:val="10"/>
    <w:link w:val="4"/>
    <w:semiHidden/>
    <w:qFormat/>
    <w:uiPriority w:val="99"/>
    <w:rPr>
      <w:sz w:val="18"/>
      <w:szCs w:val="18"/>
    </w:rPr>
  </w:style>
  <w:style w:type="table" w:customStyle="1" w:styleId="14">
    <w:name w:val="网格型1"/>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批注主题 字符"/>
    <w:basedOn w:val="12"/>
    <w:link w:val="7"/>
    <w:semiHidden/>
    <w:qFormat/>
    <w:uiPriority w:val="99"/>
    <w:rPr>
      <w:b/>
      <w:bCs/>
    </w:rPr>
  </w:style>
  <w:style w:type="character" w:customStyle="1" w:styleId="16">
    <w:name w:val="页眉 字符"/>
    <w:basedOn w:val="10"/>
    <w:link w:val="6"/>
    <w:qFormat/>
    <w:uiPriority w:val="99"/>
    <w:rPr>
      <w:sz w:val="18"/>
      <w:szCs w:val="18"/>
    </w:rPr>
  </w:style>
  <w:style w:type="character" w:customStyle="1" w:styleId="17">
    <w:name w:val="页脚 字符"/>
    <w:basedOn w:val="10"/>
    <w:link w:val="5"/>
    <w:qFormat/>
    <w:uiPriority w:val="99"/>
    <w:rPr>
      <w:sz w:val="18"/>
      <w:szCs w:val="18"/>
    </w:rPr>
  </w:style>
  <w:style w:type="paragraph" w:customStyle="1" w:styleId="18">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styleId="2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6660A-EF25-4AA7-81F4-369DAF386591}">
  <ds:schemaRefs/>
</ds:datastoreItem>
</file>

<file path=docProps/app.xml><?xml version="1.0" encoding="utf-8"?>
<Properties xmlns="http://schemas.openxmlformats.org/officeDocument/2006/extended-properties" xmlns:vt="http://schemas.openxmlformats.org/officeDocument/2006/docPropsVTypes">
  <Template>Normal.dotm</Template>
  <Pages>7</Pages>
  <Words>4696</Words>
  <Characters>4853</Characters>
  <Lines>35</Lines>
  <Paragraphs>10</Paragraphs>
  <TotalTime>28</TotalTime>
  <ScaleCrop>false</ScaleCrop>
  <LinksUpToDate>false</LinksUpToDate>
  <CharactersWithSpaces>4934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2023-12-04T06:19:00Z</dcterms:created>
  <dc:creator>23221</dc:creator>
  <cp:lastModifiedBy>LiuQQ</cp:lastModifiedBy>
  <dcterms:modified xsi:type="dcterms:W3CDTF">2026-08-27T09:26:38Z</dcterms:modified>
  <cp:revision>138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7A252B4734964D688867968983CADEF0_13</vt:lpwstr>
  </property>
  <property fmtid="{D5CDD505-2E9C-101B-9397-08002B2CF9AE}" pid="4" name="KSOTemplateDocerSaveRecord">
    <vt:lpwstr>eyJoZGlkIjoiY2NmZTY4NmI2ZThjZGU0Yjc3NmE0M2Y0MWE4ODFlNWQiLCJ1c2VySWQiOiIxMTQ5MTU5NTg4In0=</vt:lpwstr>
  </property>
</Properties>
</file>