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F385" w14:textId="77777777" w:rsidR="00AB6BEC" w:rsidRDefault="00B723B0">
      <w:pPr>
        <w:pStyle w:val="a5"/>
        <w:tabs>
          <w:tab w:val="left" w:pos="5721"/>
        </w:tabs>
        <w:spacing w:before="60"/>
        <w:rPr>
          <w:rFonts w:ascii="微软雅黑" w:eastAsia="微软雅黑" w:hAnsi="微软雅黑" w:hint="eastAsia"/>
        </w:rPr>
      </w:pPr>
      <w:r>
        <w:rPr>
          <w:rFonts w:ascii="微软雅黑" w:eastAsia="微软雅黑" w:hAnsi="微软雅黑"/>
        </w:rPr>
        <w:t>证券代码</w:t>
      </w:r>
      <w:r>
        <w:rPr>
          <w:rFonts w:ascii="微软雅黑" w:eastAsia="微软雅黑" w:hAnsi="微软雅黑"/>
          <w:spacing w:val="-3"/>
        </w:rPr>
        <w:t>：600221</w:t>
      </w:r>
      <w:r>
        <w:rPr>
          <w:rFonts w:ascii="微软雅黑" w:eastAsia="微软雅黑" w:hAnsi="微软雅黑" w:hint="eastAsia"/>
          <w:spacing w:val="-3"/>
        </w:rPr>
        <w:t>、9</w:t>
      </w:r>
      <w:r>
        <w:rPr>
          <w:rFonts w:ascii="微软雅黑" w:eastAsia="微软雅黑" w:hAnsi="微软雅黑"/>
          <w:spacing w:val="-3"/>
        </w:rPr>
        <w:t xml:space="preserve">00945                         </w:t>
      </w:r>
      <w:r>
        <w:rPr>
          <w:rFonts w:ascii="微软雅黑" w:eastAsia="微软雅黑" w:hAnsi="微软雅黑" w:hint="eastAsia"/>
          <w:spacing w:val="-3"/>
          <w:lang w:val="en-US"/>
        </w:rPr>
        <w:t xml:space="preserve">    </w:t>
      </w:r>
      <w:r>
        <w:rPr>
          <w:rFonts w:ascii="微软雅黑" w:eastAsia="微软雅黑" w:hAnsi="微软雅黑"/>
          <w:spacing w:val="-3"/>
        </w:rPr>
        <w:t xml:space="preserve">   </w:t>
      </w:r>
      <w:r>
        <w:rPr>
          <w:rFonts w:ascii="微软雅黑" w:eastAsia="微软雅黑" w:hAnsi="微软雅黑"/>
        </w:rPr>
        <w:t>证券</w:t>
      </w:r>
      <w:r>
        <w:rPr>
          <w:rFonts w:ascii="微软雅黑" w:eastAsia="微软雅黑" w:hAnsi="微软雅黑"/>
          <w:spacing w:val="-5"/>
        </w:rPr>
        <w:t>简</w:t>
      </w:r>
      <w:r>
        <w:rPr>
          <w:rFonts w:ascii="微软雅黑" w:eastAsia="微软雅黑" w:hAnsi="微软雅黑"/>
        </w:rPr>
        <w:t>称：</w:t>
      </w:r>
      <w:r>
        <w:rPr>
          <w:rFonts w:ascii="微软雅黑" w:eastAsia="微软雅黑" w:hAnsi="微软雅黑" w:hint="eastAsia"/>
        </w:rPr>
        <w:t>海航控股、海控B股</w:t>
      </w:r>
    </w:p>
    <w:p w14:paraId="1376FFB9" w14:textId="77777777" w:rsidR="00AB6BEC" w:rsidRDefault="00B723B0">
      <w:pPr>
        <w:spacing w:before="178"/>
        <w:jc w:val="center"/>
        <w:rPr>
          <w:rFonts w:ascii="微软雅黑" w:eastAsia="微软雅黑" w:hAnsi="微软雅黑" w:hint="eastAsia"/>
          <w:b/>
          <w:sz w:val="24"/>
        </w:rPr>
      </w:pPr>
      <w:r>
        <w:rPr>
          <w:rFonts w:ascii="微软雅黑" w:eastAsia="微软雅黑" w:hAnsi="微软雅黑" w:hint="eastAsia"/>
          <w:b/>
          <w:sz w:val="24"/>
        </w:rPr>
        <w:t>海南航空控股股份有限公司投资者关系活动记录表</w:t>
      </w:r>
    </w:p>
    <w:p w14:paraId="573D1DD8" w14:textId="77777777" w:rsidR="00AB6BEC" w:rsidRDefault="00B723B0">
      <w:pPr>
        <w:pStyle w:val="a5"/>
        <w:spacing w:after="23"/>
        <w:ind w:right="44"/>
        <w:jc w:val="right"/>
        <w:rPr>
          <w:rFonts w:ascii="微软雅黑" w:eastAsia="微软雅黑" w:hAnsi="微软雅黑" w:hint="eastAsia"/>
        </w:rPr>
      </w:pPr>
      <w:r>
        <w:rPr>
          <w:rFonts w:ascii="微软雅黑" w:eastAsia="微软雅黑" w:hAnsi="微软雅黑"/>
        </w:rPr>
        <w:t>编号：</w:t>
      </w:r>
      <w:r>
        <w:rPr>
          <w:rFonts w:ascii="微软雅黑" w:eastAsia="微软雅黑" w:hAnsi="微软雅黑" w:hint="eastAsia"/>
        </w:rPr>
        <w:t>2</w:t>
      </w:r>
      <w:r>
        <w:rPr>
          <w:rFonts w:ascii="微软雅黑" w:eastAsia="微软雅黑" w:hAnsi="微软雅黑"/>
        </w:rPr>
        <w:t>02</w:t>
      </w:r>
      <w:r>
        <w:rPr>
          <w:rFonts w:ascii="微软雅黑" w:eastAsia="微软雅黑" w:hAnsi="微软雅黑" w:hint="eastAsia"/>
          <w:lang w:val="en-US"/>
        </w:rPr>
        <w:t>6</w:t>
      </w:r>
      <w:r>
        <w:rPr>
          <w:rFonts w:ascii="微软雅黑" w:eastAsia="微软雅黑" w:hAnsi="微软雅黑"/>
        </w:rPr>
        <w:t>-00</w:t>
      </w:r>
      <w:r>
        <w:rPr>
          <w:rFonts w:ascii="微软雅黑" w:eastAsia="微软雅黑" w:hAnsi="微软雅黑" w:hint="eastAsia"/>
        </w:rPr>
        <w:t>2</w:t>
      </w:r>
    </w:p>
    <w:tbl>
      <w:tblPr>
        <w:tblStyle w:val="TableNormal"/>
        <w:tblW w:w="89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3862"/>
        <w:gridCol w:w="3374"/>
      </w:tblGrid>
      <w:tr w:rsidR="00AB6BEC" w14:paraId="4ECF1A88" w14:textId="77777777">
        <w:trPr>
          <w:trHeight w:val="1560"/>
          <w:jc w:val="center"/>
        </w:trPr>
        <w:tc>
          <w:tcPr>
            <w:tcW w:w="1696" w:type="dxa"/>
            <w:vAlign w:val="center"/>
          </w:tcPr>
          <w:p w14:paraId="5EAEC5CD"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t>投资者关系</w:t>
            </w:r>
            <w:proofErr w:type="spellEnd"/>
          </w:p>
          <w:p w14:paraId="71E73D9C"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t>活动类别</w:t>
            </w:r>
            <w:proofErr w:type="spellEnd"/>
          </w:p>
        </w:tc>
        <w:tc>
          <w:tcPr>
            <w:tcW w:w="3862" w:type="dxa"/>
            <w:tcBorders>
              <w:right w:val="nil"/>
            </w:tcBorders>
          </w:tcPr>
          <w:p w14:paraId="4F337857" w14:textId="77777777" w:rsidR="00AB6BEC" w:rsidRDefault="00B723B0">
            <w:pPr>
              <w:pStyle w:val="TableParagraph"/>
              <w:tabs>
                <w:tab w:val="left" w:pos="2419"/>
              </w:tabs>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√特定对</w:t>
            </w:r>
            <w:r>
              <w:rPr>
                <w:rFonts w:ascii="微软雅黑" w:eastAsia="微软雅黑" w:hAnsi="微软雅黑"/>
                <w:spacing w:val="-5"/>
                <w:sz w:val="21"/>
                <w:szCs w:val="21"/>
                <w:lang w:eastAsia="zh-CN"/>
              </w:rPr>
              <w:t>象</w:t>
            </w:r>
            <w:r>
              <w:rPr>
                <w:rFonts w:ascii="微软雅黑" w:eastAsia="微软雅黑" w:hAnsi="微软雅黑"/>
                <w:sz w:val="21"/>
                <w:szCs w:val="21"/>
                <w:lang w:eastAsia="zh-CN"/>
              </w:rPr>
              <w:t>调研</w:t>
            </w:r>
          </w:p>
          <w:p w14:paraId="049C8663" w14:textId="77777777" w:rsidR="00AB6BEC" w:rsidRDefault="00B723B0">
            <w:pPr>
              <w:pStyle w:val="TableParagraph"/>
              <w:tabs>
                <w:tab w:val="left" w:pos="2419"/>
              </w:tabs>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□媒体采访</w:t>
            </w:r>
          </w:p>
          <w:p w14:paraId="03DC4335" w14:textId="77777777" w:rsidR="00AB6BEC" w:rsidRDefault="00B723B0">
            <w:pPr>
              <w:pStyle w:val="TableParagraph"/>
              <w:tabs>
                <w:tab w:val="left" w:pos="2419"/>
              </w:tabs>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□新闻发</w:t>
            </w:r>
            <w:r>
              <w:rPr>
                <w:rFonts w:ascii="微软雅黑" w:eastAsia="微软雅黑" w:hAnsi="微软雅黑"/>
                <w:spacing w:val="-5"/>
                <w:sz w:val="21"/>
                <w:szCs w:val="21"/>
                <w:lang w:eastAsia="zh-CN"/>
              </w:rPr>
              <w:t>布</w:t>
            </w:r>
            <w:r>
              <w:rPr>
                <w:rFonts w:ascii="微软雅黑" w:eastAsia="微软雅黑" w:hAnsi="微软雅黑"/>
                <w:sz w:val="21"/>
                <w:szCs w:val="21"/>
                <w:lang w:eastAsia="zh-CN"/>
              </w:rPr>
              <w:t>会</w:t>
            </w:r>
          </w:p>
          <w:p w14:paraId="340B076B"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□现场参观</w:t>
            </w:r>
          </w:p>
          <w:p w14:paraId="2628726F" w14:textId="77777777" w:rsidR="00AB6BEC" w:rsidRDefault="00B723B0">
            <w:pPr>
              <w:pStyle w:val="TableParagraph"/>
              <w:spacing w:line="400" w:lineRule="exact"/>
              <w:ind w:left="0"/>
              <w:rPr>
                <w:rFonts w:ascii="微软雅黑" w:eastAsia="微软雅黑" w:hAnsi="微软雅黑" w:hint="eastAsia"/>
                <w:sz w:val="21"/>
                <w:szCs w:val="21"/>
              </w:rPr>
            </w:pPr>
            <w:r>
              <w:rPr>
                <w:rFonts w:ascii="微软雅黑" w:eastAsia="微软雅黑" w:hAnsi="微软雅黑"/>
                <w:sz w:val="21"/>
                <w:szCs w:val="21"/>
              </w:rPr>
              <w:t>□</w:t>
            </w:r>
            <w:proofErr w:type="spellStart"/>
            <w:r>
              <w:rPr>
                <w:rFonts w:ascii="微软雅黑" w:eastAsia="微软雅黑" w:hAnsi="微软雅黑"/>
                <w:sz w:val="21"/>
                <w:szCs w:val="21"/>
              </w:rPr>
              <w:t>其他（现场会议</w:t>
            </w:r>
            <w:proofErr w:type="spellEnd"/>
            <w:r>
              <w:rPr>
                <w:rFonts w:ascii="微软雅黑" w:eastAsia="微软雅黑" w:hAnsi="微软雅黑"/>
                <w:sz w:val="21"/>
                <w:szCs w:val="21"/>
              </w:rPr>
              <w:t>）</w:t>
            </w:r>
          </w:p>
        </w:tc>
        <w:tc>
          <w:tcPr>
            <w:tcW w:w="3374" w:type="dxa"/>
            <w:tcBorders>
              <w:left w:val="nil"/>
            </w:tcBorders>
          </w:tcPr>
          <w:p w14:paraId="78BAC8A3" w14:textId="77777777" w:rsidR="00AB6BEC" w:rsidRDefault="00B723B0">
            <w:pPr>
              <w:pStyle w:val="TableParagraph"/>
              <w:tabs>
                <w:tab w:val="left" w:pos="2419"/>
              </w:tabs>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w:t>
            </w:r>
            <w:r>
              <w:rPr>
                <w:rFonts w:ascii="微软雅黑" w:eastAsia="微软雅黑" w:hAnsi="微软雅黑"/>
                <w:spacing w:val="-5"/>
                <w:sz w:val="21"/>
                <w:szCs w:val="21"/>
                <w:lang w:eastAsia="zh-CN"/>
              </w:rPr>
              <w:t>分</w:t>
            </w:r>
            <w:r>
              <w:rPr>
                <w:rFonts w:ascii="微软雅黑" w:eastAsia="微软雅黑" w:hAnsi="微软雅黑"/>
                <w:sz w:val="21"/>
                <w:szCs w:val="21"/>
                <w:lang w:eastAsia="zh-CN"/>
              </w:rPr>
              <w:t>析师会议</w:t>
            </w:r>
          </w:p>
          <w:p w14:paraId="30B01DE3" w14:textId="77777777" w:rsidR="00AB6BEC" w:rsidRDefault="00B723B0">
            <w:pPr>
              <w:pStyle w:val="TableParagraph"/>
              <w:tabs>
                <w:tab w:val="left" w:pos="2419"/>
              </w:tabs>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w:t>
            </w:r>
            <w:r>
              <w:rPr>
                <w:rFonts w:ascii="微软雅黑" w:eastAsia="微软雅黑" w:hAnsi="微软雅黑"/>
                <w:spacing w:val="-5"/>
                <w:sz w:val="21"/>
                <w:szCs w:val="21"/>
                <w:lang w:eastAsia="zh-CN"/>
              </w:rPr>
              <w:t>业</w:t>
            </w:r>
            <w:r>
              <w:rPr>
                <w:rFonts w:ascii="微软雅黑" w:eastAsia="微软雅黑" w:hAnsi="微软雅黑"/>
                <w:sz w:val="21"/>
                <w:szCs w:val="21"/>
                <w:lang w:eastAsia="zh-CN"/>
              </w:rPr>
              <w:t>绩说明会</w:t>
            </w:r>
          </w:p>
          <w:p w14:paraId="6F774CED" w14:textId="77777777" w:rsidR="00AB6BEC" w:rsidRDefault="00B723B0">
            <w:pPr>
              <w:pStyle w:val="TableParagraph"/>
              <w:tabs>
                <w:tab w:val="left" w:pos="2419"/>
              </w:tabs>
              <w:spacing w:line="400" w:lineRule="exact"/>
              <w:ind w:left="0"/>
              <w:rPr>
                <w:rFonts w:ascii="微软雅黑" w:eastAsia="微软雅黑" w:hAnsi="微软雅黑" w:hint="eastAsia"/>
                <w:sz w:val="21"/>
                <w:szCs w:val="21"/>
              </w:rPr>
            </w:pPr>
            <w:r>
              <w:rPr>
                <w:rFonts w:ascii="微软雅黑" w:eastAsia="微软雅黑" w:hAnsi="微软雅黑"/>
                <w:sz w:val="21"/>
                <w:szCs w:val="21"/>
              </w:rPr>
              <w:t>□</w:t>
            </w:r>
            <w:proofErr w:type="spellStart"/>
            <w:r>
              <w:rPr>
                <w:rFonts w:ascii="微软雅黑" w:eastAsia="微软雅黑" w:hAnsi="微软雅黑"/>
                <w:spacing w:val="-5"/>
                <w:sz w:val="21"/>
                <w:szCs w:val="21"/>
              </w:rPr>
              <w:t>路</w:t>
            </w:r>
            <w:r>
              <w:rPr>
                <w:rFonts w:ascii="微软雅黑" w:eastAsia="微软雅黑" w:hAnsi="微软雅黑"/>
                <w:sz w:val="21"/>
                <w:szCs w:val="21"/>
              </w:rPr>
              <w:t>演活动</w:t>
            </w:r>
            <w:proofErr w:type="spellEnd"/>
          </w:p>
        </w:tc>
      </w:tr>
      <w:tr w:rsidR="00AB6BEC" w14:paraId="4C8DD5CD" w14:textId="77777777">
        <w:trPr>
          <w:trHeight w:val="708"/>
          <w:jc w:val="center"/>
        </w:trPr>
        <w:tc>
          <w:tcPr>
            <w:tcW w:w="1696" w:type="dxa"/>
            <w:vAlign w:val="center"/>
          </w:tcPr>
          <w:p w14:paraId="7A39A5C0"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t>参与单位名称</w:t>
            </w:r>
            <w:proofErr w:type="spellEnd"/>
          </w:p>
        </w:tc>
        <w:tc>
          <w:tcPr>
            <w:tcW w:w="7236" w:type="dxa"/>
            <w:gridSpan w:val="2"/>
          </w:tcPr>
          <w:p w14:paraId="46D11EA9"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广发证券：陈宇、魏依</w:t>
            </w:r>
          </w:p>
          <w:p w14:paraId="2F7BB35E" w14:textId="072FB290" w:rsidR="003035AF" w:rsidRDefault="003035AF">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中信证券：</w:t>
            </w:r>
            <w:r w:rsidRPr="003035AF">
              <w:rPr>
                <w:rFonts w:ascii="微软雅黑" w:eastAsia="微软雅黑" w:hAnsi="微软雅黑"/>
                <w:sz w:val="21"/>
                <w:szCs w:val="21"/>
                <w:lang w:eastAsia="zh-CN"/>
              </w:rPr>
              <w:t>扈世民</w:t>
            </w:r>
          </w:p>
          <w:p w14:paraId="5F920DC3" w14:textId="3B7C6D59"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源乘私募基金：钟飔帆</w:t>
            </w:r>
          </w:p>
          <w:p w14:paraId="0126DFEA"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中银三星人寿保险：林相洁</w:t>
            </w:r>
          </w:p>
          <w:p w14:paraId="4B68C0F7"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浙商证券：郑树明</w:t>
            </w:r>
          </w:p>
          <w:p w14:paraId="0CBF9CFA"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中银国际证券：王靖添、何贯嘉</w:t>
            </w:r>
          </w:p>
          <w:p w14:paraId="2DF5C836"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申万宏源证券：王凯婕、郑逸欢</w:t>
            </w:r>
          </w:p>
          <w:p w14:paraId="490E8B98"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长城基金：徐丰</w:t>
            </w:r>
          </w:p>
          <w:p w14:paraId="0FFEE4F8"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华福证券：汤悦</w:t>
            </w:r>
          </w:p>
          <w:p w14:paraId="40A2AD60"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华泰证券：黄凡洋</w:t>
            </w:r>
          </w:p>
          <w:p w14:paraId="3BE206F4"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国联民生证券：赵怡然、张骁瀚</w:t>
            </w:r>
          </w:p>
          <w:p w14:paraId="693198A1"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国泰海通证券：陈亦凡、岳鑫</w:t>
            </w:r>
          </w:p>
          <w:p w14:paraId="2EB93819"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国金证券：虞楠、陈子约</w:t>
            </w:r>
          </w:p>
          <w:p w14:paraId="1B3EEE69"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中金公司：吴其坤</w:t>
            </w:r>
          </w:p>
          <w:p w14:paraId="584CF6DA"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中金基金：王佳铭</w:t>
            </w:r>
          </w:p>
          <w:p w14:paraId="1BA6F8B1"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财通证券：李逸</w:t>
            </w:r>
          </w:p>
          <w:p w14:paraId="6F9F5C90"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创金合信基金：李晗</w:t>
            </w:r>
          </w:p>
          <w:p w14:paraId="4FAEFE57"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招商证券：张瑜玲</w:t>
            </w:r>
          </w:p>
          <w:p w14:paraId="07603D87"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开源证券：刘毅</w:t>
            </w:r>
          </w:p>
          <w:p w14:paraId="1225296E"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华夏理财：王莎</w:t>
            </w:r>
          </w:p>
          <w:p w14:paraId="36B31C15"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天风证券：解晓雯</w:t>
            </w:r>
          </w:p>
          <w:p w14:paraId="1049112C"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国投证券资管：刘亚洲</w:t>
            </w:r>
          </w:p>
          <w:p w14:paraId="5E2479A8"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建信理财：唐文成</w:t>
            </w:r>
          </w:p>
          <w:p w14:paraId="385C1678"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GIC 狮城产业投资：troy liu</w:t>
            </w:r>
          </w:p>
          <w:p w14:paraId="3FD6DDC6"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lastRenderedPageBreak/>
              <w:t>霸菱资管：Baiding Rong</w:t>
            </w:r>
          </w:p>
          <w:p w14:paraId="3106C926"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华宝基金：毛文博</w:t>
            </w:r>
          </w:p>
          <w:p w14:paraId="57C5948B" w14:textId="77777777" w:rsidR="003035AF"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海富通基金：陈林海</w:t>
            </w:r>
          </w:p>
          <w:p w14:paraId="2A2E50C0" w14:textId="3F69C55F" w:rsidR="00AB6BEC" w:rsidRPr="003035AF" w:rsidRDefault="00B723B0">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航旅圈：陈姗姗</w:t>
            </w:r>
          </w:p>
          <w:p w14:paraId="22802B34"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建信资管：杨晨</w:t>
            </w:r>
          </w:p>
          <w:p w14:paraId="2A0627C8"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bookmarkStart w:id="0" w:name="OLE_LINK3"/>
            <w:r w:rsidRPr="003035AF">
              <w:rPr>
                <w:rFonts w:ascii="微软雅黑" w:eastAsia="微软雅黑" w:hAnsi="微软雅黑" w:hint="eastAsia"/>
                <w:sz w:val="21"/>
                <w:szCs w:val="21"/>
                <w:lang w:eastAsia="zh-CN"/>
              </w:rPr>
              <w:t>大成基金</w:t>
            </w:r>
            <w:bookmarkEnd w:id="0"/>
            <w:r w:rsidRPr="003035AF">
              <w:rPr>
                <w:rFonts w:ascii="微软雅黑" w:eastAsia="微软雅黑" w:hAnsi="微软雅黑" w:hint="eastAsia"/>
                <w:sz w:val="21"/>
                <w:szCs w:val="21"/>
                <w:lang w:eastAsia="zh-CN"/>
              </w:rPr>
              <w:t>（深圳）：林振辉</w:t>
            </w:r>
          </w:p>
          <w:p w14:paraId="4930FED8"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摩根大通：邱洁丽</w:t>
            </w:r>
          </w:p>
          <w:p w14:paraId="77AD807A"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前海海富资管：元梓槐</w:t>
            </w:r>
          </w:p>
          <w:p w14:paraId="5626CA9F" w14:textId="2A5F36E1"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UBS：米禹煊</w:t>
            </w:r>
            <w:r>
              <w:rPr>
                <w:rFonts w:ascii="微软雅黑" w:eastAsia="微软雅黑" w:hAnsi="微软雅黑" w:hint="eastAsia"/>
                <w:sz w:val="21"/>
                <w:szCs w:val="21"/>
                <w:lang w:eastAsia="zh-CN"/>
              </w:rPr>
              <w:t>、</w:t>
            </w:r>
            <w:r w:rsidRPr="003035AF">
              <w:rPr>
                <w:rFonts w:ascii="微软雅黑" w:eastAsia="微软雅黑" w:hAnsi="微软雅黑" w:hint="eastAsia"/>
                <w:sz w:val="21"/>
                <w:szCs w:val="21"/>
                <w:lang w:eastAsia="zh-CN"/>
              </w:rPr>
              <w:t>高铭</w:t>
            </w:r>
            <w:r>
              <w:rPr>
                <w:rFonts w:ascii="微软雅黑" w:eastAsia="微软雅黑" w:hAnsi="微软雅黑" w:hint="eastAsia"/>
                <w:sz w:val="21"/>
                <w:szCs w:val="21"/>
                <w:lang w:eastAsia="zh-CN"/>
              </w:rPr>
              <w:t>、</w:t>
            </w:r>
            <w:r w:rsidRPr="003035AF">
              <w:rPr>
                <w:rFonts w:ascii="微软雅黑" w:eastAsia="微软雅黑" w:hAnsi="微软雅黑" w:hint="eastAsia"/>
                <w:sz w:val="21"/>
                <w:szCs w:val="21"/>
                <w:lang w:eastAsia="zh-CN"/>
              </w:rPr>
              <w:t>陈欣</w:t>
            </w:r>
          </w:p>
          <w:p w14:paraId="29380ACF" w14:textId="47EE41D1"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摩根士丹利：范倩蕾</w:t>
            </w:r>
            <w:r>
              <w:rPr>
                <w:rFonts w:ascii="微软雅黑" w:eastAsia="微软雅黑" w:hAnsi="微软雅黑" w:hint="eastAsia"/>
                <w:sz w:val="21"/>
                <w:szCs w:val="21"/>
                <w:lang w:eastAsia="zh-CN"/>
              </w:rPr>
              <w:t>、</w:t>
            </w:r>
            <w:r w:rsidRPr="003035AF">
              <w:rPr>
                <w:rFonts w:ascii="微软雅黑" w:eastAsia="微软雅黑" w:hAnsi="微软雅黑" w:hint="eastAsia"/>
                <w:sz w:val="21"/>
                <w:szCs w:val="21"/>
                <w:lang w:eastAsia="zh-CN"/>
              </w:rPr>
              <w:t>宋天一</w:t>
            </w:r>
          </w:p>
          <w:p w14:paraId="660360E4"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美银：韩诗晨</w:t>
            </w:r>
          </w:p>
          <w:p w14:paraId="2AA905C9"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安信基金：陈相合</w:t>
            </w:r>
          </w:p>
          <w:p w14:paraId="5D6A29CF"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博道基金：罗煜</w:t>
            </w:r>
          </w:p>
          <w:p w14:paraId="4CD2C490" w14:textId="03EAA9D9"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汇丰前海：吴彦丰</w:t>
            </w:r>
            <w:r>
              <w:rPr>
                <w:rFonts w:ascii="微软雅黑" w:eastAsia="微软雅黑" w:hAnsi="微软雅黑" w:hint="eastAsia"/>
                <w:sz w:val="21"/>
                <w:szCs w:val="21"/>
                <w:lang w:eastAsia="zh-CN"/>
              </w:rPr>
              <w:t>、</w:t>
            </w:r>
            <w:r w:rsidRPr="003035AF">
              <w:rPr>
                <w:rFonts w:ascii="微软雅黑" w:eastAsia="微软雅黑" w:hAnsi="微软雅黑" w:hint="eastAsia"/>
                <w:sz w:val="21"/>
                <w:szCs w:val="21"/>
                <w:lang w:eastAsia="zh-CN"/>
              </w:rPr>
              <w:t>孙晓迪</w:t>
            </w:r>
          </w:p>
          <w:p w14:paraId="49EC4472"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工银瑞信：熊宫涛</w:t>
            </w:r>
          </w:p>
          <w:p w14:paraId="1A738E4E"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果实资本：蔡红辉</w:t>
            </w:r>
          </w:p>
          <w:p w14:paraId="5E2712B0"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红石榴：何英</w:t>
            </w:r>
          </w:p>
          <w:p w14:paraId="1C04C74D"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佳岳投资：薄琳琳</w:t>
            </w:r>
          </w:p>
          <w:p w14:paraId="7E5E94E2"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鸿途私募：刘岚军</w:t>
            </w:r>
          </w:p>
          <w:p w14:paraId="0D829FFC" w14:textId="77777777" w:rsidR="003035AF" w:rsidRPr="003035AF"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中信投资：孔培宇</w:t>
            </w:r>
          </w:p>
          <w:p w14:paraId="747F23D0" w14:textId="67404004" w:rsidR="00AB6BEC" w:rsidRDefault="003035AF" w:rsidP="003035AF">
            <w:pPr>
              <w:pStyle w:val="TableParagraph"/>
              <w:spacing w:line="400" w:lineRule="exact"/>
              <w:ind w:left="0"/>
              <w:rPr>
                <w:rFonts w:ascii="微软雅黑" w:eastAsia="微软雅黑" w:hAnsi="微软雅黑" w:hint="eastAsia"/>
                <w:sz w:val="21"/>
                <w:szCs w:val="21"/>
                <w:lang w:eastAsia="zh-CN"/>
              </w:rPr>
            </w:pPr>
            <w:r w:rsidRPr="003035AF">
              <w:rPr>
                <w:rFonts w:ascii="微软雅黑" w:eastAsia="微软雅黑" w:hAnsi="微软雅黑" w:hint="eastAsia"/>
                <w:sz w:val="21"/>
                <w:szCs w:val="21"/>
                <w:lang w:eastAsia="zh-CN"/>
              </w:rPr>
              <w:t>正圆投资：张琮</w:t>
            </w:r>
          </w:p>
        </w:tc>
      </w:tr>
      <w:tr w:rsidR="00AB6BEC" w14:paraId="67A26A47" w14:textId="77777777">
        <w:trPr>
          <w:trHeight w:val="412"/>
          <w:jc w:val="center"/>
        </w:trPr>
        <w:tc>
          <w:tcPr>
            <w:tcW w:w="1696" w:type="dxa"/>
            <w:vAlign w:val="center"/>
          </w:tcPr>
          <w:p w14:paraId="78500165"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lastRenderedPageBreak/>
              <w:t>时间</w:t>
            </w:r>
            <w:proofErr w:type="spellEnd"/>
          </w:p>
        </w:tc>
        <w:tc>
          <w:tcPr>
            <w:tcW w:w="7236" w:type="dxa"/>
            <w:gridSpan w:val="2"/>
          </w:tcPr>
          <w:p w14:paraId="30527D6C" w14:textId="77777777" w:rsidR="00AB6BEC" w:rsidRDefault="00B723B0">
            <w:pPr>
              <w:pStyle w:val="TableParagraph"/>
              <w:spacing w:line="400" w:lineRule="exact"/>
              <w:ind w:left="0"/>
              <w:jc w:val="center"/>
              <w:rPr>
                <w:rFonts w:ascii="微软雅黑" w:eastAsia="微软雅黑" w:hAnsi="微软雅黑" w:hint="eastAsia"/>
                <w:sz w:val="21"/>
                <w:szCs w:val="21"/>
              </w:rPr>
            </w:pPr>
            <w:r>
              <w:rPr>
                <w:rFonts w:ascii="微软雅黑" w:eastAsia="微软雅黑" w:hAnsi="微软雅黑" w:hint="eastAsia"/>
                <w:sz w:val="21"/>
                <w:szCs w:val="21"/>
              </w:rPr>
              <w:t>2026年8月26日</w:t>
            </w:r>
          </w:p>
        </w:tc>
      </w:tr>
      <w:tr w:rsidR="00AB6BEC" w14:paraId="5820B8E2" w14:textId="77777777">
        <w:trPr>
          <w:trHeight w:val="354"/>
          <w:jc w:val="center"/>
        </w:trPr>
        <w:tc>
          <w:tcPr>
            <w:tcW w:w="1696" w:type="dxa"/>
            <w:vAlign w:val="center"/>
          </w:tcPr>
          <w:p w14:paraId="5CD42206"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t>地点</w:t>
            </w:r>
            <w:proofErr w:type="spellEnd"/>
          </w:p>
        </w:tc>
        <w:tc>
          <w:tcPr>
            <w:tcW w:w="7236" w:type="dxa"/>
            <w:gridSpan w:val="2"/>
          </w:tcPr>
          <w:p w14:paraId="512A2029" w14:textId="77777777" w:rsidR="00AB6BEC" w:rsidRDefault="00B723B0">
            <w:pPr>
              <w:pStyle w:val="TableParagraph"/>
              <w:spacing w:line="400" w:lineRule="exact"/>
              <w:ind w:left="0"/>
              <w:jc w:val="center"/>
              <w:rPr>
                <w:rFonts w:ascii="微软雅黑" w:eastAsia="微软雅黑" w:hAnsi="微软雅黑" w:hint="eastAsia"/>
                <w:sz w:val="21"/>
                <w:szCs w:val="21"/>
                <w:lang w:val="en-US"/>
              </w:rPr>
            </w:pPr>
            <w:proofErr w:type="spellStart"/>
            <w:r>
              <w:rPr>
                <w:rFonts w:ascii="微软雅黑" w:eastAsia="微软雅黑" w:hAnsi="微软雅黑" w:hint="eastAsia"/>
                <w:sz w:val="21"/>
                <w:szCs w:val="21"/>
                <w:lang w:val="en-US"/>
              </w:rPr>
              <w:t>线上交流</w:t>
            </w:r>
            <w:proofErr w:type="spellEnd"/>
          </w:p>
        </w:tc>
      </w:tr>
      <w:tr w:rsidR="00AB6BEC" w14:paraId="6189DEEA" w14:textId="77777777">
        <w:trPr>
          <w:trHeight w:val="422"/>
          <w:jc w:val="center"/>
        </w:trPr>
        <w:tc>
          <w:tcPr>
            <w:tcW w:w="1696" w:type="dxa"/>
            <w:vAlign w:val="center"/>
          </w:tcPr>
          <w:p w14:paraId="7A6196D5" w14:textId="77777777" w:rsidR="00AB6BEC" w:rsidRDefault="00B723B0">
            <w:pPr>
              <w:pStyle w:val="TableParagraph"/>
              <w:spacing w:line="400" w:lineRule="exact"/>
              <w:ind w:left="0"/>
              <w:jc w:val="center"/>
              <w:rPr>
                <w:rFonts w:ascii="微软雅黑" w:eastAsia="微软雅黑" w:hAnsi="微软雅黑" w:hint="eastAsia"/>
                <w:b/>
                <w:sz w:val="21"/>
                <w:szCs w:val="21"/>
                <w:lang w:eastAsia="zh-CN"/>
              </w:rPr>
            </w:pPr>
            <w:r>
              <w:rPr>
                <w:rFonts w:ascii="微软雅黑" w:eastAsia="微软雅黑" w:hAnsi="微软雅黑"/>
                <w:b/>
                <w:sz w:val="21"/>
                <w:szCs w:val="21"/>
                <w:lang w:eastAsia="zh-CN"/>
              </w:rPr>
              <w:t>上市公司</w:t>
            </w:r>
          </w:p>
          <w:p w14:paraId="0CE45654" w14:textId="77777777" w:rsidR="00AB6BEC" w:rsidRDefault="00B723B0">
            <w:pPr>
              <w:pStyle w:val="TableParagraph"/>
              <w:spacing w:line="400" w:lineRule="exact"/>
              <w:ind w:left="0"/>
              <w:jc w:val="center"/>
              <w:rPr>
                <w:rFonts w:ascii="微软雅黑" w:eastAsia="微软雅黑" w:hAnsi="微软雅黑" w:hint="eastAsia"/>
                <w:b/>
                <w:sz w:val="21"/>
                <w:szCs w:val="21"/>
                <w:lang w:eastAsia="zh-CN"/>
              </w:rPr>
            </w:pPr>
            <w:r>
              <w:rPr>
                <w:rFonts w:ascii="微软雅黑" w:eastAsia="微软雅黑" w:hAnsi="微软雅黑"/>
                <w:b/>
                <w:sz w:val="21"/>
                <w:szCs w:val="21"/>
                <w:lang w:eastAsia="zh-CN"/>
              </w:rPr>
              <w:t>接待人员姓名</w:t>
            </w:r>
          </w:p>
        </w:tc>
        <w:tc>
          <w:tcPr>
            <w:tcW w:w="7236" w:type="dxa"/>
            <w:gridSpan w:val="2"/>
            <w:vAlign w:val="center"/>
          </w:tcPr>
          <w:p w14:paraId="1E0F1F09"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董事会秘书：葛兴峰</w:t>
            </w:r>
          </w:p>
          <w:p w14:paraId="0F6A2AF4"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财务部总经理：曹京斐</w:t>
            </w:r>
          </w:p>
          <w:p w14:paraId="17DF032F" w14:textId="77777777" w:rsidR="00AB6BEC" w:rsidRDefault="00B723B0">
            <w:pPr>
              <w:pStyle w:val="TableParagraph"/>
              <w:spacing w:line="400" w:lineRule="exact"/>
              <w:ind w:left="0"/>
              <w:rPr>
                <w:rFonts w:ascii="微软雅黑" w:eastAsia="微软雅黑" w:hAnsi="微软雅黑" w:hint="eastAsia"/>
                <w:sz w:val="21"/>
                <w:szCs w:val="21"/>
                <w:lang w:eastAsia="zh-CN"/>
              </w:rPr>
            </w:pPr>
            <w:r>
              <w:rPr>
                <w:rFonts w:ascii="微软雅黑" w:eastAsia="微软雅黑" w:hAnsi="微软雅黑"/>
                <w:sz w:val="21"/>
                <w:szCs w:val="21"/>
                <w:lang w:eastAsia="zh-CN"/>
              </w:rPr>
              <w:t>市场营销</w:t>
            </w:r>
            <w:r>
              <w:rPr>
                <w:rFonts w:ascii="微软雅黑" w:eastAsia="微软雅黑" w:hAnsi="微软雅黑" w:hint="eastAsia"/>
                <w:sz w:val="21"/>
                <w:szCs w:val="21"/>
                <w:lang w:eastAsia="zh-CN"/>
              </w:rPr>
              <w:t>委</w:t>
            </w:r>
            <w:r>
              <w:rPr>
                <w:rFonts w:ascii="微软雅黑" w:eastAsia="微软雅黑" w:hAnsi="微软雅黑"/>
                <w:sz w:val="21"/>
                <w:szCs w:val="21"/>
                <w:lang w:eastAsia="zh-CN"/>
              </w:rPr>
              <w:t>副主任</w:t>
            </w:r>
            <w:r>
              <w:rPr>
                <w:rFonts w:ascii="微软雅黑" w:eastAsia="微软雅黑" w:hAnsi="微软雅黑" w:hint="eastAsia"/>
                <w:sz w:val="21"/>
                <w:szCs w:val="21"/>
                <w:lang w:eastAsia="zh-CN"/>
              </w:rPr>
              <w:t>：李淋淋</w:t>
            </w:r>
          </w:p>
        </w:tc>
      </w:tr>
      <w:tr w:rsidR="00AB6BEC" w14:paraId="4190845E" w14:textId="77777777">
        <w:trPr>
          <w:trHeight w:val="90"/>
          <w:jc w:val="center"/>
        </w:trPr>
        <w:tc>
          <w:tcPr>
            <w:tcW w:w="1696" w:type="dxa"/>
            <w:vAlign w:val="center"/>
          </w:tcPr>
          <w:p w14:paraId="0139A3BC" w14:textId="77777777" w:rsidR="00AB6BEC" w:rsidRDefault="00B723B0">
            <w:pPr>
              <w:pStyle w:val="TableParagraph"/>
              <w:spacing w:line="400" w:lineRule="exact"/>
              <w:ind w:left="0"/>
              <w:jc w:val="center"/>
              <w:rPr>
                <w:rFonts w:ascii="微软雅黑" w:eastAsia="微软雅黑" w:hAnsi="微软雅黑" w:hint="eastAsia"/>
                <w:b/>
                <w:sz w:val="21"/>
                <w:szCs w:val="21"/>
                <w:lang w:eastAsia="zh-CN"/>
              </w:rPr>
            </w:pPr>
            <w:r>
              <w:rPr>
                <w:rFonts w:ascii="微软雅黑" w:eastAsia="微软雅黑" w:hAnsi="微软雅黑"/>
                <w:b/>
                <w:sz w:val="21"/>
                <w:szCs w:val="21"/>
                <w:lang w:eastAsia="zh-CN"/>
              </w:rPr>
              <w:t>投资者关系活动</w:t>
            </w:r>
          </w:p>
          <w:p w14:paraId="1B4B05EB" w14:textId="77777777" w:rsidR="00AB6BEC" w:rsidRDefault="00B723B0">
            <w:pPr>
              <w:pStyle w:val="TableParagraph"/>
              <w:spacing w:line="400" w:lineRule="exact"/>
              <w:ind w:left="0"/>
              <w:jc w:val="center"/>
              <w:rPr>
                <w:rFonts w:ascii="微软雅黑" w:eastAsia="微软雅黑" w:hAnsi="微软雅黑" w:hint="eastAsia"/>
                <w:b/>
                <w:sz w:val="21"/>
                <w:szCs w:val="21"/>
                <w:lang w:eastAsia="zh-CN"/>
              </w:rPr>
            </w:pPr>
            <w:r>
              <w:rPr>
                <w:rFonts w:ascii="微软雅黑" w:eastAsia="微软雅黑" w:hAnsi="微软雅黑"/>
                <w:b/>
                <w:sz w:val="21"/>
                <w:szCs w:val="21"/>
                <w:lang w:eastAsia="zh-CN"/>
              </w:rPr>
              <w:t>主要内容介绍</w:t>
            </w:r>
          </w:p>
        </w:tc>
        <w:tc>
          <w:tcPr>
            <w:tcW w:w="7236" w:type="dxa"/>
            <w:gridSpan w:val="2"/>
          </w:tcPr>
          <w:p w14:paraId="0A149582" w14:textId="310806E2" w:rsidR="00AB6BEC" w:rsidRDefault="00B723B0">
            <w:pPr>
              <w:adjustRightInd w:val="0"/>
              <w:snapToGrid w:val="0"/>
              <w:ind w:firstLineChars="200" w:firstLine="420"/>
              <w:rPr>
                <w:rFonts w:ascii="微软雅黑" w:eastAsia="微软雅黑" w:hAnsi="微软雅黑" w:hint="eastAsia"/>
                <w:sz w:val="21"/>
                <w:szCs w:val="21"/>
                <w:lang w:val="en-US" w:eastAsia="zh-CN"/>
              </w:rPr>
            </w:pPr>
            <w:bookmarkStart w:id="1" w:name="OLE_LINK2"/>
            <w:r>
              <w:rPr>
                <w:rFonts w:ascii="微软雅黑" w:eastAsia="微软雅黑" w:hAnsi="微软雅黑" w:hint="eastAsia"/>
                <w:sz w:val="21"/>
                <w:szCs w:val="21"/>
                <w:lang w:val="en-US" w:eastAsia="zh-CN"/>
              </w:rPr>
              <w:t>海南航空控股股份有限公司（以下简称“海航控股”或“公司”）于</w:t>
            </w:r>
            <w:r>
              <w:rPr>
                <w:rFonts w:ascii="微软雅黑" w:eastAsia="微软雅黑" w:hAnsi="微软雅黑" w:hint="eastAsia"/>
                <w:sz w:val="21"/>
                <w:szCs w:val="21"/>
                <w:lang w:eastAsia="zh-CN"/>
              </w:rPr>
              <w:t>2026年8月2</w:t>
            </w:r>
            <w:r>
              <w:rPr>
                <w:rFonts w:ascii="微软雅黑" w:eastAsia="微软雅黑" w:hAnsi="微软雅黑"/>
                <w:sz w:val="21"/>
                <w:szCs w:val="21"/>
                <w:lang w:eastAsia="zh-CN"/>
              </w:rPr>
              <w:t>6</w:t>
            </w:r>
            <w:r>
              <w:rPr>
                <w:rFonts w:ascii="微软雅黑" w:eastAsia="微软雅黑" w:hAnsi="微软雅黑" w:hint="eastAsia"/>
                <w:sz w:val="21"/>
                <w:szCs w:val="21"/>
                <w:lang w:eastAsia="zh-CN"/>
              </w:rPr>
              <w:t>日</w:t>
            </w:r>
            <w:r>
              <w:rPr>
                <w:rFonts w:ascii="微软雅黑" w:eastAsia="微软雅黑" w:hAnsi="微软雅黑"/>
                <w:sz w:val="21"/>
                <w:szCs w:val="21"/>
                <w:lang w:val="en-US" w:eastAsia="zh-CN"/>
              </w:rPr>
              <w:t>与</w:t>
            </w:r>
            <w:r w:rsidRPr="003035AF">
              <w:rPr>
                <w:rFonts w:ascii="微软雅黑" w:eastAsia="微软雅黑" w:hAnsi="微软雅黑" w:hint="eastAsia"/>
                <w:sz w:val="21"/>
                <w:szCs w:val="21"/>
                <w:lang w:val="en-US" w:eastAsia="zh-CN"/>
              </w:rPr>
              <w:t>广发证券、</w:t>
            </w:r>
            <w:r w:rsidRPr="003035AF">
              <w:rPr>
                <w:rFonts w:ascii="微软雅黑" w:eastAsia="微软雅黑" w:hAnsi="微软雅黑" w:hint="eastAsia"/>
                <w:bCs/>
                <w:sz w:val="21"/>
                <w:szCs w:val="21"/>
                <w:lang w:val="en-US" w:eastAsia="zh-CN"/>
              </w:rPr>
              <w:t>中信证券</w:t>
            </w:r>
            <w:r w:rsidRPr="003035AF">
              <w:rPr>
                <w:rFonts w:ascii="微软雅黑" w:eastAsia="微软雅黑" w:hAnsi="微软雅黑" w:hint="eastAsia"/>
                <w:sz w:val="21"/>
                <w:szCs w:val="21"/>
                <w:lang w:val="en-US" w:eastAsia="zh-CN"/>
              </w:rPr>
              <w:t>等</w:t>
            </w:r>
            <w:r w:rsidR="003035AF" w:rsidRPr="003035AF">
              <w:rPr>
                <w:rFonts w:ascii="微软雅黑" w:eastAsia="微软雅黑" w:hAnsi="微软雅黑" w:hint="eastAsia"/>
                <w:sz w:val="21"/>
                <w:szCs w:val="21"/>
                <w:lang w:val="en-US" w:eastAsia="zh-CN"/>
              </w:rPr>
              <w:t>45</w:t>
            </w:r>
            <w:r w:rsidRPr="003035AF">
              <w:rPr>
                <w:rFonts w:ascii="微软雅黑" w:eastAsia="微软雅黑" w:hAnsi="微软雅黑" w:hint="eastAsia"/>
                <w:sz w:val="21"/>
                <w:szCs w:val="21"/>
                <w:lang w:val="en-US" w:eastAsia="zh-CN"/>
              </w:rPr>
              <w:t>家机构通过</w:t>
            </w:r>
            <w:r>
              <w:rPr>
                <w:rFonts w:ascii="微软雅黑" w:eastAsia="微软雅黑" w:hAnsi="微软雅黑" w:hint="eastAsia"/>
                <w:sz w:val="21"/>
                <w:szCs w:val="21"/>
                <w:lang w:val="en-US" w:eastAsia="zh-CN"/>
              </w:rPr>
              <w:t>电话会议的方式召开了交流会。</w:t>
            </w:r>
          </w:p>
          <w:bookmarkEnd w:id="1"/>
          <w:p w14:paraId="73371F83" w14:textId="77777777" w:rsidR="00AB6BEC" w:rsidRDefault="00B723B0">
            <w:pPr>
              <w:adjustRightInd w:val="0"/>
              <w:snapToGrid w:val="0"/>
              <w:ind w:firstLineChars="200" w:firstLine="420"/>
              <w:rPr>
                <w:rFonts w:ascii="微软雅黑" w:eastAsia="微软雅黑" w:hAnsi="微软雅黑" w:hint="eastAsia"/>
                <w:sz w:val="21"/>
                <w:szCs w:val="21"/>
                <w:lang w:val="en-US" w:eastAsia="zh-CN"/>
              </w:rPr>
            </w:pPr>
            <w:r>
              <w:rPr>
                <w:rFonts w:ascii="微软雅黑" w:eastAsia="微软雅黑" w:hAnsi="微软雅黑" w:hint="eastAsia"/>
                <w:sz w:val="21"/>
                <w:szCs w:val="21"/>
                <w:lang w:val="en-US" w:eastAsia="zh-CN"/>
              </w:rPr>
              <w:t>会上，海航控股董事会秘书向机构投资人简要介绍了公司2026年半年度业绩表现：</w:t>
            </w:r>
          </w:p>
          <w:p w14:paraId="5CCCB5E2" w14:textId="75A3A1A2" w:rsidR="00AB6BEC" w:rsidRDefault="00B723B0">
            <w:pPr>
              <w:adjustRightInd w:val="0"/>
              <w:snapToGrid w:val="0"/>
              <w:ind w:firstLineChars="200" w:firstLine="420"/>
              <w:rPr>
                <w:rFonts w:ascii="微软雅黑" w:eastAsia="微软雅黑" w:hAnsi="微软雅黑" w:hint="eastAsia"/>
                <w:sz w:val="21"/>
                <w:szCs w:val="21"/>
                <w:lang w:val="en-US" w:eastAsia="zh-CN"/>
              </w:rPr>
            </w:pPr>
            <w:r>
              <w:rPr>
                <w:rFonts w:ascii="微软雅黑" w:eastAsia="微软雅黑" w:hAnsi="微软雅黑" w:hint="eastAsia"/>
                <w:sz w:val="21"/>
                <w:szCs w:val="21"/>
                <w:lang w:val="en-US" w:eastAsia="zh-CN"/>
              </w:rPr>
              <w:t>2026年上半年，受地缘冲突等因素影响，二季度国际原油价格大幅走高，推升公司航油成本。面对成本压力，公司持续推进精细化管理，优化航线网络布局、提升运营效益，同时叠加汇兑收益，公司2026年上半年归属于上市公司股东的净利润实现盈利。2026年上半年，公司实现收入355.17亿元，同比上升</w:t>
            </w:r>
            <w:r>
              <w:rPr>
                <w:rFonts w:ascii="微软雅黑" w:eastAsia="微软雅黑" w:hAnsi="微软雅黑" w:hint="eastAsia"/>
                <w:sz w:val="21"/>
                <w:szCs w:val="21"/>
                <w:lang w:val="en-US" w:eastAsia="zh-CN"/>
              </w:rPr>
              <w:lastRenderedPageBreak/>
              <w:t>7.36%。其中，运输收入326.16亿元，同比上升7.30%；实现归属于上市公司股东的净利润2.70亿元，同比上升374.43%。</w:t>
            </w:r>
          </w:p>
          <w:p w14:paraId="346A79FE" w14:textId="36A13DAB" w:rsidR="00AB6BEC" w:rsidRDefault="00B723B0">
            <w:pPr>
              <w:adjustRightInd w:val="0"/>
              <w:snapToGrid w:val="0"/>
              <w:ind w:firstLineChars="200" w:firstLine="420"/>
              <w:rPr>
                <w:rFonts w:ascii="微软雅黑" w:eastAsia="微软雅黑" w:hAnsi="微软雅黑" w:hint="eastAsia"/>
                <w:sz w:val="21"/>
                <w:szCs w:val="21"/>
                <w:lang w:val="en-US" w:eastAsia="zh-CN"/>
              </w:rPr>
            </w:pPr>
            <w:r>
              <w:rPr>
                <w:rFonts w:ascii="微软雅黑" w:eastAsia="微软雅黑" w:hAnsi="微软雅黑"/>
                <w:sz w:val="21"/>
                <w:szCs w:val="21"/>
                <w:lang w:val="en-US" w:eastAsia="zh-CN"/>
              </w:rPr>
              <w:t>生产运营方面，</w:t>
            </w:r>
            <w:r>
              <w:rPr>
                <w:rFonts w:ascii="微软雅黑" w:eastAsia="微软雅黑" w:hAnsi="微软雅黑" w:hint="eastAsia"/>
                <w:sz w:val="21"/>
                <w:szCs w:val="21"/>
                <w:lang w:val="en-US" w:eastAsia="zh-CN"/>
              </w:rPr>
              <w:t>2026年上半年，公司实现总周转量664,931万吨公里，同比上升0.35%；货邮运输量达28.98万吨，同比上升1.82%。实现旅客运输量3,354万人。截至2026年6月30日，公司运营飞机共367架，其中宽体机6</w:t>
            </w:r>
            <w:r>
              <w:rPr>
                <w:rFonts w:ascii="微软雅黑" w:eastAsia="微软雅黑" w:hAnsi="微软雅黑"/>
                <w:sz w:val="21"/>
                <w:szCs w:val="21"/>
                <w:lang w:val="en-US" w:eastAsia="zh-CN"/>
              </w:rPr>
              <w:t>8架、窄体机</w:t>
            </w:r>
            <w:r>
              <w:rPr>
                <w:rFonts w:ascii="微软雅黑" w:eastAsia="微软雅黑" w:hAnsi="微软雅黑" w:hint="eastAsia"/>
                <w:sz w:val="21"/>
                <w:szCs w:val="21"/>
                <w:lang w:val="en-US" w:eastAsia="zh-CN"/>
              </w:rPr>
              <w:t>2</w:t>
            </w:r>
            <w:r>
              <w:rPr>
                <w:rFonts w:ascii="微软雅黑" w:eastAsia="微软雅黑" w:hAnsi="微软雅黑"/>
                <w:sz w:val="21"/>
                <w:szCs w:val="21"/>
                <w:lang w:val="en-US" w:eastAsia="zh-CN"/>
              </w:rPr>
              <w:t>99架</w:t>
            </w:r>
            <w:r>
              <w:rPr>
                <w:rFonts w:ascii="微软雅黑" w:eastAsia="微软雅黑" w:hAnsi="微软雅黑" w:hint="eastAsia"/>
                <w:sz w:val="21"/>
                <w:szCs w:val="21"/>
                <w:lang w:val="en-US" w:eastAsia="zh-CN"/>
              </w:rPr>
              <w:t>。同时，公司航空辅业业务也实现跨越式发展，2026年上半年累计完成1,017单机体维修、58架次喷漆、超2.57万件附件维修及11台发动机交付。其中，海航技术承接进境飞机维修业务65单，同比增长约41%；海口吉耐斯实现发动机维修产值8.11亿元，同比增长123%。</w:t>
            </w:r>
          </w:p>
          <w:p w14:paraId="314A9242" w14:textId="77777777" w:rsidR="00AB6BEC" w:rsidRDefault="00B723B0">
            <w:pPr>
              <w:adjustRightInd w:val="0"/>
              <w:snapToGrid w:val="0"/>
              <w:ind w:firstLineChars="200" w:firstLine="420"/>
              <w:rPr>
                <w:rFonts w:ascii="微软雅黑" w:eastAsia="微软雅黑" w:hAnsi="微软雅黑" w:hint="eastAsia"/>
                <w:sz w:val="21"/>
                <w:szCs w:val="21"/>
                <w:lang w:val="en-US" w:eastAsia="zh-CN"/>
              </w:rPr>
            </w:pPr>
            <w:r>
              <w:rPr>
                <w:rFonts w:ascii="微软雅黑" w:eastAsia="微软雅黑" w:hAnsi="微软雅黑" w:hint="eastAsia"/>
                <w:sz w:val="21"/>
                <w:szCs w:val="21"/>
                <w:lang w:val="en-US" w:eastAsia="zh-CN"/>
              </w:rPr>
              <w:t>问答环节主要内容简述如下：</w:t>
            </w:r>
          </w:p>
          <w:p w14:paraId="5117E8E9" w14:textId="62C7AC53" w:rsidR="00AB6BEC" w:rsidRDefault="00B723B0">
            <w:pPr>
              <w:adjustRightInd w:val="0"/>
              <w:snapToGrid w:val="0"/>
              <w:ind w:firstLineChars="200" w:firstLine="420"/>
              <w:rPr>
                <w:rFonts w:ascii="微软雅黑" w:eastAsia="微软雅黑" w:hAnsi="微软雅黑" w:hint="eastAsia"/>
                <w:b/>
                <w:bCs/>
                <w:sz w:val="21"/>
                <w:szCs w:val="21"/>
                <w:lang w:eastAsia="zh-CN"/>
              </w:rPr>
            </w:pPr>
            <w:r>
              <w:rPr>
                <w:rFonts w:ascii="微软雅黑" w:eastAsia="微软雅黑" w:hAnsi="微软雅黑"/>
                <w:b/>
                <w:bCs/>
                <w:sz w:val="21"/>
                <w:szCs w:val="21"/>
                <w:lang w:eastAsia="zh-CN"/>
              </w:rPr>
              <w:t>1.</w:t>
            </w:r>
            <w:r>
              <w:rPr>
                <w:rFonts w:ascii="微软雅黑" w:eastAsia="微软雅黑" w:hAnsi="微软雅黑" w:hint="eastAsia"/>
                <w:b/>
                <w:bCs/>
                <w:sz w:val="21"/>
                <w:szCs w:val="21"/>
                <w:lang w:eastAsia="zh-CN"/>
              </w:rPr>
              <w:t>考虑二季度利用率下降、发动机维修增加以及机队规模扩大，</w:t>
            </w:r>
            <w:bookmarkStart w:id="2" w:name="OLE_LINK4"/>
            <w:bookmarkStart w:id="3" w:name="OLE_LINK5"/>
            <w:r>
              <w:rPr>
                <w:rFonts w:ascii="微软雅黑" w:eastAsia="微软雅黑" w:hAnsi="微软雅黑" w:hint="eastAsia"/>
                <w:b/>
                <w:bCs/>
                <w:sz w:val="21"/>
                <w:szCs w:val="21"/>
                <w:lang w:eastAsia="zh-CN"/>
              </w:rPr>
              <w:t>公司</w:t>
            </w:r>
            <w:r>
              <w:rPr>
                <w:rFonts w:ascii="微软雅黑" w:eastAsia="微软雅黑" w:hAnsi="微软雅黑" w:hint="eastAsia"/>
                <w:b/>
                <w:bCs/>
                <w:sz w:val="21"/>
                <w:szCs w:val="21"/>
                <w:lang w:val="en-US" w:eastAsia="zh-CN"/>
              </w:rPr>
              <w:t>对</w:t>
            </w:r>
            <w:r>
              <w:rPr>
                <w:rFonts w:ascii="微软雅黑" w:eastAsia="微软雅黑" w:hAnsi="微软雅黑" w:hint="eastAsia"/>
                <w:b/>
                <w:bCs/>
                <w:sz w:val="21"/>
                <w:szCs w:val="21"/>
                <w:lang w:eastAsia="zh-CN"/>
              </w:rPr>
              <w:t>2</w:t>
            </w:r>
            <w:r>
              <w:rPr>
                <w:rFonts w:ascii="微软雅黑" w:eastAsia="微软雅黑" w:hAnsi="微软雅黑"/>
                <w:b/>
                <w:bCs/>
                <w:sz w:val="21"/>
                <w:szCs w:val="21"/>
                <w:lang w:eastAsia="zh-CN"/>
              </w:rPr>
              <w:t>026年单位扣油成本</w:t>
            </w:r>
            <w:r>
              <w:rPr>
                <w:rFonts w:ascii="微软雅黑" w:eastAsia="微软雅黑" w:hAnsi="微软雅黑" w:hint="eastAsia"/>
                <w:b/>
                <w:bCs/>
                <w:sz w:val="21"/>
                <w:szCs w:val="21"/>
                <w:lang w:val="en-US" w:eastAsia="zh-CN"/>
              </w:rPr>
              <w:t>有何</w:t>
            </w:r>
            <w:r>
              <w:rPr>
                <w:rFonts w:ascii="微软雅黑" w:eastAsia="微软雅黑" w:hAnsi="微软雅黑"/>
                <w:b/>
                <w:bCs/>
                <w:sz w:val="21"/>
                <w:szCs w:val="21"/>
                <w:lang w:eastAsia="zh-CN"/>
              </w:rPr>
              <w:t>指引</w:t>
            </w:r>
            <w:bookmarkEnd w:id="2"/>
            <w:bookmarkEnd w:id="3"/>
            <w:r>
              <w:rPr>
                <w:rFonts w:ascii="微软雅黑" w:eastAsia="微软雅黑" w:hAnsi="微软雅黑"/>
                <w:b/>
                <w:bCs/>
                <w:sz w:val="21"/>
                <w:szCs w:val="21"/>
                <w:lang w:eastAsia="zh-CN"/>
              </w:rPr>
              <w:t>？2026年下半年及2027年单位扣油成本还有多少下降空间，主要依靠利用率恢复、维修费用回落、采购降本还是新机型节油？</w:t>
            </w:r>
          </w:p>
          <w:p w14:paraId="7FEEBC90" w14:textId="217CBFB6" w:rsidR="00AB6BEC" w:rsidRDefault="00B723B0">
            <w:pPr>
              <w:adjustRightInd w:val="0"/>
              <w:snapToGrid w:val="0"/>
              <w:ind w:firstLineChars="200" w:firstLine="420"/>
              <w:rPr>
                <w:rFonts w:ascii="微软雅黑" w:eastAsia="微软雅黑" w:hAnsi="微软雅黑" w:hint="eastAsia"/>
                <w:bCs/>
                <w:sz w:val="21"/>
                <w:szCs w:val="21"/>
                <w:lang w:eastAsia="zh-CN"/>
              </w:rPr>
            </w:pPr>
            <w:r w:rsidRPr="00C23B13">
              <w:rPr>
                <w:rFonts w:ascii="微软雅黑" w:eastAsia="微软雅黑" w:hAnsi="微软雅黑" w:hint="eastAsia"/>
                <w:b/>
                <w:bCs/>
                <w:sz w:val="21"/>
                <w:szCs w:val="21"/>
                <w:lang w:eastAsia="zh-CN"/>
              </w:rPr>
              <w:t>答：</w:t>
            </w:r>
            <w:r>
              <w:rPr>
                <w:rFonts w:ascii="微软雅黑" w:eastAsia="微软雅黑" w:hAnsi="微软雅黑" w:hint="eastAsia"/>
                <w:bCs/>
                <w:sz w:val="21"/>
                <w:szCs w:val="21"/>
                <w:lang w:eastAsia="zh-CN"/>
              </w:rPr>
              <w:t>针对</w:t>
            </w:r>
            <w:r>
              <w:rPr>
                <w:rFonts w:ascii="微软雅黑" w:eastAsia="微软雅黑" w:hAnsi="微软雅黑"/>
                <w:bCs/>
                <w:sz w:val="21"/>
                <w:szCs w:val="21"/>
                <w:lang w:eastAsia="zh-CN"/>
              </w:rPr>
              <w:t>2026年单位扣油成本，公司结合上半年利用率阶段性回落、发动机维修增量、机队规模扩张等阶段性压力因素，制定了精细化、结构性的全年管控指引。公司坚持“对冲短期压力、锚定长期降本”的核心思路，不单纯依赖油价波动红利，而是通过全流程、全链条成本管控对冲不利影响。短期来看，上半年运行效率波动、维修成本阶段性抬升对单位扣油成本形成小幅</w:t>
            </w:r>
            <w:r>
              <w:rPr>
                <w:rFonts w:ascii="微软雅黑" w:eastAsia="微软雅黑" w:hAnsi="微软雅黑" w:hint="eastAsia"/>
                <w:bCs/>
                <w:sz w:val="21"/>
                <w:szCs w:val="21"/>
                <w:lang w:val="en-US" w:eastAsia="zh-CN"/>
              </w:rPr>
              <w:t>压力</w:t>
            </w:r>
            <w:r>
              <w:rPr>
                <w:rFonts w:ascii="微软雅黑" w:eastAsia="微软雅黑" w:hAnsi="微软雅黑"/>
                <w:bCs/>
                <w:sz w:val="21"/>
                <w:szCs w:val="21"/>
                <w:lang w:eastAsia="zh-CN"/>
              </w:rPr>
              <w:t>，下半年我们将通过运力效能修复、燃油精细化管控、运行结构优化、维修</w:t>
            </w:r>
            <w:r w:rsidR="00F027DD">
              <w:rPr>
                <w:rFonts w:ascii="微软雅黑" w:eastAsia="微软雅黑" w:hAnsi="微软雅黑" w:hint="eastAsia"/>
                <w:bCs/>
                <w:sz w:val="21"/>
                <w:szCs w:val="21"/>
                <w:lang w:eastAsia="zh-CN"/>
              </w:rPr>
              <w:t>及</w:t>
            </w:r>
            <w:r>
              <w:rPr>
                <w:rFonts w:ascii="微软雅黑" w:eastAsia="微软雅黑" w:hAnsi="微软雅黑"/>
                <w:bCs/>
                <w:sz w:val="21"/>
                <w:szCs w:val="21"/>
                <w:lang w:eastAsia="zh-CN"/>
              </w:rPr>
              <w:t>采购降本多维发力，全力压降单位扣油成本，对冲机队扩张、维修增量带来的成本增量，确保全年单位扣油成本稳步向好。同时将单位油耗、修正吨公里油耗等核心指标纳入日常成本监控体系，通过日成本动态监测、同业对标分析、问题举一反三整改，实现单位扣油成本的常态化、精准化管控。</w:t>
            </w:r>
          </w:p>
          <w:p w14:paraId="04C4EBFC" w14:textId="158657E0" w:rsidR="00AB6BEC" w:rsidRDefault="00B723B0">
            <w:pPr>
              <w:adjustRightInd w:val="0"/>
              <w:snapToGrid w:val="0"/>
              <w:ind w:firstLineChars="200" w:firstLine="420"/>
              <w:rPr>
                <w:rFonts w:ascii="微软雅黑" w:eastAsia="微软雅黑" w:hAnsi="微软雅黑" w:hint="eastAsia"/>
                <w:bCs/>
                <w:sz w:val="21"/>
                <w:szCs w:val="21"/>
                <w:lang w:eastAsia="zh-CN"/>
              </w:rPr>
            </w:pPr>
            <w:r>
              <w:rPr>
                <w:rFonts w:ascii="微软雅黑" w:eastAsia="微软雅黑" w:hAnsi="微软雅黑"/>
                <w:bCs/>
                <w:sz w:val="21"/>
                <w:szCs w:val="21"/>
                <w:lang w:eastAsia="zh-CN"/>
              </w:rPr>
              <w:t>2026年下半年公司单位扣油成本具备明确、可落地的下降空间，核心驱动以运行利用率恢复+燃油精细化管控为主，维修与采购降本为辅。一是利用率修复，下半年随着暑运、国庆黄金周等传统出行旺季到来，市场客流稳步回升，公司将动态优化运力投放、灵活切换宽窄体机型、调整航班时刻与过站时长，提升飞机日利用率与客座率，摊薄单位固定油耗成本，改善高客座低收益、单向航线亏损等低效运行问题，从产能端降低单位扣油消耗。二是燃油精准管控，公司已建立航油成本按日监控体系，分航线、机型、国内外维度跟踪油价与成本变动，紧盯高油价市场行情，动态优化</w:t>
            </w:r>
            <w:r>
              <w:rPr>
                <w:rFonts w:ascii="微软雅黑" w:eastAsia="微软雅黑" w:hAnsi="微软雅黑" w:hint="eastAsia"/>
                <w:bCs/>
                <w:sz w:val="21"/>
                <w:szCs w:val="21"/>
                <w:lang w:eastAsia="zh-CN"/>
              </w:rPr>
              <w:t>航班带油策略、充分挖掘业载潜力；同时全面落地航路优化、飞行燃效提升、减少</w:t>
            </w:r>
            <w:r>
              <w:rPr>
                <w:rFonts w:ascii="微软雅黑" w:eastAsia="微软雅黑" w:hAnsi="微软雅黑"/>
                <w:bCs/>
                <w:sz w:val="21"/>
                <w:szCs w:val="21"/>
                <w:lang w:eastAsia="zh-CN"/>
              </w:rPr>
              <w:t>APU使用等节油举措，通过数字化系统赋能严控燃油无效损耗。三是通过梳理无故障航材维修、对标优化非例行维修收费标准、严控航材采购租赁成本，减少维修端衍生油耗及附加成本；叠加各类采购、协议合同精细化审核降本，多维度夯实单位扣油下降成果。</w:t>
            </w:r>
          </w:p>
          <w:p w14:paraId="72D4AD33" w14:textId="77777777" w:rsidR="00AB6BEC" w:rsidRDefault="00B723B0">
            <w:pPr>
              <w:adjustRightInd w:val="0"/>
              <w:snapToGrid w:val="0"/>
              <w:ind w:firstLineChars="200" w:firstLine="420"/>
              <w:rPr>
                <w:rFonts w:ascii="微软雅黑" w:eastAsia="微软雅黑" w:hAnsi="微软雅黑" w:hint="eastAsia"/>
                <w:bCs/>
                <w:sz w:val="21"/>
                <w:szCs w:val="21"/>
                <w:lang w:eastAsia="zh-CN"/>
              </w:rPr>
            </w:pPr>
            <w:r>
              <w:rPr>
                <w:rFonts w:ascii="微软雅黑" w:eastAsia="微软雅黑" w:hAnsi="微软雅黑" w:hint="eastAsia"/>
                <w:bCs/>
                <w:sz w:val="21"/>
                <w:szCs w:val="21"/>
                <w:lang w:eastAsia="zh-CN"/>
              </w:rPr>
              <w:t>展望</w:t>
            </w:r>
            <w:r>
              <w:rPr>
                <w:rFonts w:ascii="微软雅黑" w:eastAsia="微软雅黑" w:hAnsi="微软雅黑"/>
                <w:bCs/>
                <w:sz w:val="21"/>
                <w:szCs w:val="21"/>
                <w:lang w:eastAsia="zh-CN"/>
              </w:rPr>
              <w:t>2027年，公司单位扣油成本将打开长效、可持续的下降空间，核心驱动由短期效率修复转向新机型节油+常态化运营优化+长期成本管控三重共振。首先，新机型规模化投用是长期降油核心抓手，公司持续优化机队结构，引进</w:t>
            </w:r>
            <w:r>
              <w:rPr>
                <w:rFonts w:ascii="微软雅黑" w:eastAsia="微软雅黑" w:hAnsi="微软雅黑"/>
                <w:bCs/>
                <w:sz w:val="21"/>
                <w:szCs w:val="21"/>
                <w:lang w:eastAsia="zh-CN"/>
              </w:rPr>
              <w:lastRenderedPageBreak/>
              <w:t>高能效、低油耗新机型，依托新一代机型燃油效率优势，从硬件端根本性降低单位油耗，持续替代老旧高油耗机型，实现机队整体节油升级。其次，运营管控体系持续迭代，2027年将全面固化燃油全流程管控机制，深化航线时刻、机型匹配、航路优化等结构性调整，常态化落实节能减排举措，持续缩小与行业优秀航司的油耗差距；同时随着机</w:t>
            </w:r>
            <w:r>
              <w:rPr>
                <w:rFonts w:ascii="微软雅黑" w:eastAsia="微软雅黑" w:hAnsi="微软雅黑" w:hint="eastAsia"/>
                <w:bCs/>
                <w:sz w:val="21"/>
                <w:szCs w:val="21"/>
                <w:lang w:eastAsia="zh-CN"/>
              </w:rPr>
              <w:t>队运行稳定、维修体系持续优化，无故障维修、低效维修支出进一步压降，维修端对油耗的负面影响持续弱化。最后，采购与供应链降本持续释放红利，通过航材采购、租赁、价拨全流程管控，叠加各类成本精细化管控机制成熟落地，形成“机型节油</w:t>
            </w:r>
            <w:r>
              <w:rPr>
                <w:rFonts w:ascii="微软雅黑" w:eastAsia="微软雅黑" w:hAnsi="微软雅黑"/>
                <w:bCs/>
                <w:sz w:val="21"/>
                <w:szCs w:val="21"/>
                <w:lang w:eastAsia="zh-CN"/>
              </w:rPr>
              <w:t>+运营提效+成本压降”的长效降油模式，保障2027年单位扣油成本稳步、持续下行。</w:t>
            </w:r>
          </w:p>
          <w:p w14:paraId="19DC6AA4" w14:textId="77777777" w:rsidR="00AB6BEC" w:rsidRDefault="00B723B0">
            <w:pPr>
              <w:adjustRightInd w:val="0"/>
              <w:snapToGrid w:val="0"/>
              <w:ind w:firstLineChars="200" w:firstLine="420"/>
              <w:rPr>
                <w:rFonts w:ascii="微软雅黑" w:eastAsia="微软雅黑" w:hAnsi="微软雅黑" w:hint="eastAsia"/>
                <w:b/>
                <w:bCs/>
                <w:sz w:val="21"/>
                <w:szCs w:val="21"/>
                <w:lang w:eastAsia="zh-CN"/>
              </w:rPr>
            </w:pPr>
            <w:r>
              <w:rPr>
                <w:rFonts w:ascii="微软雅黑" w:eastAsia="微软雅黑" w:hAnsi="微软雅黑"/>
                <w:b/>
                <w:bCs/>
                <w:sz w:val="21"/>
                <w:szCs w:val="21"/>
                <w:lang w:eastAsia="zh-CN"/>
              </w:rPr>
              <w:t>2</w:t>
            </w:r>
            <w:r>
              <w:rPr>
                <w:rFonts w:ascii="微软雅黑" w:eastAsia="微软雅黑" w:hAnsi="微软雅黑" w:hint="eastAsia"/>
                <w:b/>
                <w:bCs/>
                <w:sz w:val="21"/>
                <w:szCs w:val="21"/>
                <w:lang w:eastAsia="zh-CN"/>
              </w:rPr>
              <w:t>.2026H1国际ASK同比下降，但RPK同比增长、客座率明显提升。国际运力收缩主要集中在中东、澳新、地区短途还是其他市场？欧洲、澳新、东南亚、日韩和中东航线目前的票价、客座率及盈利表现有何差异？</w:t>
            </w:r>
          </w:p>
          <w:p w14:paraId="37F3C250"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hint="eastAsia"/>
                <w:b/>
                <w:bCs/>
                <w:sz w:val="21"/>
                <w:szCs w:val="21"/>
                <w:lang w:val="en-US" w:eastAsia="zh-CN"/>
              </w:rPr>
              <w:t>答：</w:t>
            </w:r>
            <w:r>
              <w:rPr>
                <w:rFonts w:ascii="微软雅黑" w:eastAsia="微软雅黑" w:hAnsi="微软雅黑" w:hint="eastAsia"/>
                <w:sz w:val="21"/>
                <w:szCs w:val="21"/>
                <w:lang w:eastAsia="zh-CN"/>
              </w:rPr>
              <w:t>受燃油价格上涨、地缘冲突等影响，上半年中东、澳新市场运力投放同比下降明显；欧洲、澳新、东南亚、韩国市场航线客座率及票价水平均同比提升明显，日本航线受政治因素影响客座率出现下滑但票价保持同比增长趋势，中东航线因地缘冲突影响，客座率稳步提升但票价下滑明显。</w:t>
            </w:r>
          </w:p>
          <w:p w14:paraId="1D723B66"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hint="eastAsia"/>
                <w:sz w:val="21"/>
                <w:szCs w:val="21"/>
                <w:lang w:eastAsia="zh-CN"/>
              </w:rPr>
              <w:t>上半年国际整体客座率及平均票价同比均有所提升，航线经营及精细化管理水平显著提升，但因油价上涨导致经营成本大幅提升，整体利润同比下滑。其中，欧洲、澳新、亚洲各区域的客座率都呈现不同程度提升；在票价上，除中东航线受战争影响外，其它区域的票价呈现不同程度提升。</w:t>
            </w:r>
          </w:p>
          <w:p w14:paraId="0D78328E"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b/>
                <w:bCs/>
                <w:sz w:val="21"/>
                <w:szCs w:val="21"/>
                <w:lang w:eastAsia="zh-CN"/>
              </w:rPr>
              <w:t>3</w:t>
            </w:r>
            <w:r>
              <w:rPr>
                <w:rFonts w:ascii="微软雅黑" w:eastAsia="微软雅黑" w:hAnsi="微软雅黑" w:hint="eastAsia"/>
                <w:b/>
                <w:bCs/>
                <w:sz w:val="21"/>
                <w:szCs w:val="21"/>
                <w:lang w:eastAsia="zh-CN"/>
              </w:rPr>
              <w:t>.海南自贸港封关运作后，公司在海南市场的外籍旅客、中转旅客及商务旅客占比有何变化？国内转国际、国际转国际客流增长是否已经改善国际航线的客座率？下半年新增运力会重点投向哪些海南始发或中转航线？</w:t>
            </w:r>
          </w:p>
          <w:p w14:paraId="57381C4B" w14:textId="5792B6D0"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hint="eastAsia"/>
                <w:b/>
                <w:bCs/>
                <w:sz w:val="21"/>
                <w:szCs w:val="21"/>
                <w:lang w:val="en-US" w:eastAsia="zh-CN"/>
              </w:rPr>
              <w:t>答：</w:t>
            </w:r>
            <w:r>
              <w:rPr>
                <w:rFonts w:ascii="微软雅黑" w:eastAsia="微软雅黑" w:hAnsi="微软雅黑" w:hint="eastAsia"/>
                <w:sz w:val="21"/>
                <w:szCs w:val="21"/>
                <w:lang w:eastAsia="zh-CN"/>
              </w:rPr>
              <w:t>2026年以来，海口国际及地区航线承运中转旅客量41.5万人次，占比48.4%，同比增长6.5个百分点；外籍旅客占海南航线整体旅客量的36.8%，同比提升3.2个百分点；承运公商务旅客3.9万人次，旅客量同比增长25%。中转增量客源的补充使海口航线整体客座率提升超5个百分点。下一阶段公司会持续优化、完善自贸港的国际航线布局，丰富海南至东南亚的国际航线网络，加频莫斯科、雅加达等优势机会航线。2026年下半年，公司在海口有多条国际航线增频和新开计划。9月9日开始，海口=雅加达航线将增频至每天1班（自6月6日起已加密至6班/周）；9月3日起，海口=莫斯科航线将由目前的3班/周增频至5班/周；10月11日，公司将新开海口=槟城（马来西亚）航线，初期执行2班/周；同时公司也在积极研判进一步加密海口至越南的航线以及新开柬埔寨、菲律宾等东南亚航线的计划，相关工作正在有序推进。随着公司在海口国际航线网络的进一步完善，无论是点对点出行的旅客，</w:t>
            </w:r>
            <w:r w:rsidR="00C845B0">
              <w:rPr>
                <w:rFonts w:ascii="微软雅黑" w:eastAsia="微软雅黑" w:hAnsi="微软雅黑"/>
                <w:sz w:val="21"/>
                <w:szCs w:val="21"/>
                <w:lang w:eastAsia="zh-CN"/>
              </w:rPr>
              <w:t>还</w:t>
            </w:r>
            <w:r>
              <w:rPr>
                <w:rFonts w:ascii="微软雅黑" w:eastAsia="微软雅黑" w:hAnsi="微软雅黑" w:hint="eastAsia"/>
                <w:sz w:val="21"/>
                <w:szCs w:val="21"/>
                <w:lang w:eastAsia="zh-CN"/>
              </w:rPr>
              <w:t>是经海口中转的国内国际旅客，预期都将进一步增长。</w:t>
            </w:r>
          </w:p>
          <w:p w14:paraId="3189CD31"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b/>
                <w:bCs/>
                <w:sz w:val="21"/>
                <w:szCs w:val="21"/>
                <w:lang w:eastAsia="zh-CN"/>
              </w:rPr>
              <w:t>4.暑运期间，公司在海南、新疆及北京、广深、成渝等核心市场的需求表现有何差异？从预订提前期、商务客源占比和裸票价看，暑运后半程是否表现出</w:t>
            </w:r>
            <w:r>
              <w:rPr>
                <w:rFonts w:ascii="微软雅黑" w:eastAsia="微软雅黑" w:hAnsi="微软雅黑"/>
                <w:b/>
                <w:bCs/>
                <w:sz w:val="21"/>
                <w:szCs w:val="21"/>
                <w:lang w:eastAsia="zh-CN"/>
              </w:rPr>
              <w:lastRenderedPageBreak/>
              <w:t xml:space="preserve">较强韧性？ </w:t>
            </w:r>
          </w:p>
          <w:p w14:paraId="0E919297"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hint="eastAsia"/>
                <w:b/>
                <w:bCs/>
                <w:sz w:val="21"/>
                <w:szCs w:val="21"/>
                <w:lang w:val="en-US" w:eastAsia="zh-CN"/>
              </w:rPr>
              <w:t>答：</w:t>
            </w:r>
            <w:r>
              <w:rPr>
                <w:rFonts w:ascii="微软雅黑" w:eastAsia="微软雅黑" w:hAnsi="微软雅黑"/>
                <w:sz w:val="21"/>
                <w:szCs w:val="21"/>
                <w:lang w:eastAsia="zh-CN"/>
              </w:rPr>
              <w:t>暑运期间，新疆避暑游市场表现稳定，客座率达到90%以上。北京、广深市场叠加暑运期间商务出行以及探亲旅游的复合客流，客流底盘最稳。成渝旅游叠加商务双驱动市场，表现稳定，客座率水平达到90%左右。海南作为旅游目的地市场，以亲子家庭、休闲度假游客为主，探亲客流为辅，学生放假窗口期表现亮眼。从预订提前期、商务客源占比和裸票价看，暑运后半程市场表现依然强劲，北京、广深、成渝航线商务客源占比环比抬升，作为客座率核心托底力量韧性较强。</w:t>
            </w:r>
          </w:p>
          <w:p w14:paraId="246884B9" w14:textId="77777777" w:rsidR="00AB6BEC" w:rsidRDefault="00B723B0">
            <w:pPr>
              <w:adjustRightInd w:val="0"/>
              <w:snapToGrid w:val="0"/>
              <w:ind w:firstLineChars="200" w:firstLine="420"/>
              <w:rPr>
                <w:rFonts w:ascii="微软雅黑" w:eastAsia="微软雅黑" w:hAnsi="微软雅黑" w:hint="eastAsia"/>
                <w:b/>
                <w:bCs/>
                <w:sz w:val="21"/>
                <w:szCs w:val="21"/>
                <w:lang w:eastAsia="zh-CN"/>
              </w:rPr>
            </w:pPr>
            <w:r>
              <w:rPr>
                <w:rFonts w:ascii="微软雅黑" w:eastAsia="微软雅黑" w:hAnsi="微软雅黑"/>
                <w:b/>
                <w:bCs/>
                <w:sz w:val="21"/>
                <w:szCs w:val="21"/>
                <w:lang w:eastAsia="zh-CN"/>
              </w:rPr>
              <w:t>5</w:t>
            </w:r>
            <w:r>
              <w:rPr>
                <w:rFonts w:ascii="微软雅黑" w:eastAsia="微软雅黑" w:hAnsi="微软雅黑" w:hint="eastAsia"/>
                <w:b/>
                <w:bCs/>
                <w:sz w:val="21"/>
                <w:szCs w:val="21"/>
                <w:lang w:eastAsia="zh-CN"/>
              </w:rPr>
              <w:t>.</w:t>
            </w:r>
            <w:r>
              <w:rPr>
                <w:rFonts w:ascii="微软雅黑" w:eastAsia="微软雅黑" w:hAnsi="微软雅黑"/>
                <w:b/>
                <w:bCs/>
                <w:sz w:val="21"/>
                <w:szCs w:val="21"/>
                <w:lang w:eastAsia="zh-CN"/>
              </w:rPr>
              <w:t xml:space="preserve"> 暑运期间国际哪些航线表现比较好，哪些不及预期？</w:t>
            </w:r>
          </w:p>
          <w:p w14:paraId="3EEFFCD2"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hint="eastAsia"/>
                <w:b/>
                <w:bCs/>
                <w:sz w:val="21"/>
                <w:szCs w:val="21"/>
                <w:lang w:eastAsia="zh-CN"/>
              </w:rPr>
              <w:t>答：</w:t>
            </w:r>
            <w:r>
              <w:rPr>
                <w:rFonts w:ascii="微软雅黑" w:eastAsia="微软雅黑" w:hAnsi="微软雅黑"/>
                <w:sz w:val="21"/>
                <w:szCs w:val="21"/>
                <w:lang w:eastAsia="zh-CN"/>
              </w:rPr>
              <w:t>暑运国际航线表现分化明显，法国、德国等核心干线叠加留学旅游双重需求收益韧性较强，吉隆坡、雅加达等部分东南亚航线客流与收益表现亮眼；而都柏林、英国、意大利等欧洲新开、增班因运力投放过大盈利承压，澳新及中东直飞航线需求修复不及运力供给，整体表现低于预期，核心矛盾集中在部分市场运力释放节奏快于实际需求回暖。</w:t>
            </w:r>
          </w:p>
          <w:p w14:paraId="2CC18AA5" w14:textId="77777777" w:rsidR="00AB6BEC" w:rsidRDefault="00B723B0">
            <w:pPr>
              <w:adjustRightInd w:val="0"/>
              <w:snapToGrid w:val="0"/>
              <w:ind w:firstLineChars="200" w:firstLine="420"/>
              <w:rPr>
                <w:rFonts w:ascii="微软雅黑" w:eastAsia="微软雅黑" w:hAnsi="微软雅黑" w:hint="eastAsia"/>
                <w:b/>
                <w:bCs/>
                <w:sz w:val="21"/>
                <w:szCs w:val="21"/>
                <w:lang w:eastAsia="zh-CN"/>
              </w:rPr>
            </w:pPr>
            <w:r>
              <w:rPr>
                <w:rFonts w:ascii="微软雅黑" w:eastAsia="微软雅黑" w:hAnsi="微软雅黑"/>
                <w:b/>
                <w:bCs/>
                <w:sz w:val="21"/>
                <w:szCs w:val="21"/>
                <w:lang w:eastAsia="zh-CN"/>
              </w:rPr>
              <w:t>6</w:t>
            </w:r>
            <w:r>
              <w:rPr>
                <w:rFonts w:ascii="微软雅黑" w:eastAsia="微软雅黑" w:hAnsi="微软雅黑" w:hint="eastAsia"/>
                <w:b/>
                <w:bCs/>
                <w:sz w:val="21"/>
                <w:szCs w:val="21"/>
                <w:lang w:eastAsia="zh-CN"/>
              </w:rPr>
              <w:t>.</w:t>
            </w:r>
            <w:r>
              <w:rPr>
                <w:rFonts w:ascii="微软雅黑" w:eastAsia="微软雅黑" w:hAnsi="微软雅黑"/>
                <w:b/>
                <w:bCs/>
                <w:sz w:val="21"/>
                <w:szCs w:val="21"/>
                <w:lang w:eastAsia="zh-CN"/>
              </w:rPr>
              <w:t>如何展望四季度公司（分国际和国内）客公里收益边际变化？</w:t>
            </w:r>
          </w:p>
          <w:p w14:paraId="17F09530"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bookmarkStart w:id="4" w:name="OLE_LINK1"/>
            <w:r>
              <w:rPr>
                <w:rFonts w:ascii="微软雅黑" w:eastAsia="微软雅黑" w:hAnsi="微软雅黑" w:hint="eastAsia"/>
                <w:b/>
                <w:bCs/>
                <w:sz w:val="21"/>
                <w:szCs w:val="21"/>
                <w:lang w:eastAsia="zh-CN"/>
              </w:rPr>
              <w:t>答：</w:t>
            </w:r>
            <w:bookmarkEnd w:id="4"/>
            <w:r>
              <w:rPr>
                <w:rFonts w:ascii="微软雅黑" w:eastAsia="微软雅黑" w:hAnsi="微软雅黑"/>
                <w:bCs/>
                <w:sz w:val="21"/>
                <w:szCs w:val="21"/>
                <w:lang w:eastAsia="zh-CN"/>
              </w:rPr>
              <w:t>国内方面，</w:t>
            </w:r>
            <w:r>
              <w:rPr>
                <w:rFonts w:ascii="微软雅黑" w:eastAsia="微软雅黑" w:hAnsi="微软雅黑"/>
                <w:sz w:val="21"/>
                <w:szCs w:val="21"/>
                <w:lang w:eastAsia="zh-CN"/>
              </w:rPr>
              <w:t>四季度叠加国庆传统旺季，一方面11</w:t>
            </w:r>
            <w:r>
              <w:rPr>
                <w:rFonts w:ascii="微软雅黑" w:eastAsia="微软雅黑" w:hAnsi="微软雅黑"/>
                <w:sz w:val="21"/>
                <w:szCs w:val="21"/>
                <w:lang w:eastAsia="zh-CN"/>
              </w:rPr>
              <w:noBreakHyphen/>
              <w:t>12月南下海南避寒游、北上东北及新疆冰雪游旅游市场基本盘稳固；另一方面北京、广州、深圳等核心公商务市场受企业年终冲刺、年会筹办、客户走访拜访等因素拉动，商务客流形成有力托底，整体市场需求保持稳健，预计四季度航线边际效益将稳步抬升。</w:t>
            </w:r>
          </w:p>
          <w:p w14:paraId="0C1BBE74" w14:textId="77777777" w:rsidR="00AB6BEC" w:rsidRDefault="00B723B0">
            <w:pPr>
              <w:adjustRightInd w:val="0"/>
              <w:snapToGrid w:val="0"/>
              <w:ind w:firstLineChars="200" w:firstLine="420"/>
              <w:rPr>
                <w:rFonts w:ascii="微软雅黑" w:eastAsia="微软雅黑" w:hAnsi="微软雅黑" w:hint="eastAsia"/>
                <w:sz w:val="21"/>
                <w:szCs w:val="21"/>
                <w:lang w:eastAsia="zh-CN"/>
              </w:rPr>
            </w:pPr>
            <w:r>
              <w:rPr>
                <w:rFonts w:ascii="微软雅黑" w:eastAsia="微软雅黑" w:hAnsi="微软雅黑"/>
                <w:sz w:val="21"/>
                <w:szCs w:val="21"/>
                <w:lang w:eastAsia="zh-CN"/>
              </w:rPr>
              <w:t>国际方面，四季度进入冬春航季，国际航线由暑期旅游转向商旅、探亲及跨年需求；中东航司运力修复，欧洲直飞红利进一步收缩，二线欧洲航线压力加大；亚太市场进入淡季、票价内卷；整体干线好于二线，收益分化加剧，需防范中转分流冲击，把握结构性机会。从四季度边际效益走势来看，四季度整体效益为全年次优水平，仅次于三季度，边际收益情况取决于国际燃油价格波动变化。</w:t>
            </w:r>
          </w:p>
          <w:p w14:paraId="1F661121" w14:textId="77777777" w:rsidR="00AB6BEC" w:rsidRDefault="00B723B0">
            <w:pPr>
              <w:adjustRightInd w:val="0"/>
              <w:snapToGrid w:val="0"/>
              <w:ind w:firstLineChars="200" w:firstLine="420"/>
              <w:rPr>
                <w:rFonts w:ascii="微软雅黑" w:eastAsia="微软雅黑" w:hAnsi="微软雅黑" w:hint="eastAsia"/>
                <w:b/>
                <w:bCs/>
                <w:sz w:val="21"/>
                <w:szCs w:val="21"/>
                <w:lang w:eastAsia="zh-CN"/>
              </w:rPr>
            </w:pPr>
            <w:bookmarkStart w:id="5" w:name="OLE_LINK8"/>
            <w:bookmarkStart w:id="6" w:name="OLE_LINK9"/>
            <w:bookmarkStart w:id="7" w:name="OLE_LINK10"/>
            <w:r>
              <w:rPr>
                <w:rFonts w:ascii="微软雅黑" w:eastAsia="微软雅黑" w:hAnsi="微软雅黑" w:hint="eastAsia"/>
                <w:b/>
                <w:bCs/>
                <w:sz w:val="21"/>
                <w:szCs w:val="21"/>
                <w:lang w:eastAsia="zh-CN"/>
              </w:rPr>
              <w:t>7</w:t>
            </w:r>
            <w:r>
              <w:rPr>
                <w:rFonts w:ascii="微软雅黑" w:eastAsia="微软雅黑" w:hAnsi="微软雅黑"/>
                <w:b/>
                <w:bCs/>
                <w:sz w:val="21"/>
                <w:szCs w:val="21"/>
                <w:lang w:eastAsia="zh-CN"/>
              </w:rPr>
              <w:t>.上市公司报表中的维修收入与体内海航技术、吉耐斯两个维修相关实体的收入总和存在差异，该差异如何理解？</w:t>
            </w:r>
          </w:p>
          <w:p w14:paraId="1584E9BF" w14:textId="327C3563" w:rsidR="00AB6BEC" w:rsidRDefault="00B723B0">
            <w:pPr>
              <w:adjustRightInd w:val="0"/>
              <w:snapToGrid w:val="0"/>
              <w:ind w:firstLineChars="200" w:firstLine="420"/>
              <w:rPr>
                <w:rFonts w:ascii="微软雅黑" w:eastAsia="微软雅黑" w:hAnsi="微软雅黑" w:hint="eastAsia"/>
                <w:bCs/>
                <w:sz w:val="21"/>
                <w:szCs w:val="21"/>
                <w:lang w:eastAsia="zh-CN"/>
              </w:rPr>
            </w:pPr>
            <w:r>
              <w:rPr>
                <w:rFonts w:ascii="微软雅黑" w:eastAsia="微软雅黑" w:hAnsi="微软雅黑"/>
                <w:b/>
                <w:bCs/>
                <w:sz w:val="21"/>
                <w:szCs w:val="21"/>
                <w:lang w:eastAsia="zh-CN"/>
              </w:rPr>
              <w:t>答：</w:t>
            </w:r>
            <w:r>
              <w:rPr>
                <w:rFonts w:ascii="微软雅黑" w:eastAsia="微软雅黑" w:hAnsi="微软雅黑"/>
                <w:bCs/>
                <w:sz w:val="21"/>
                <w:szCs w:val="21"/>
                <w:lang w:eastAsia="zh-CN"/>
              </w:rPr>
              <w:t>吉耐斯和海航技术均为上市公司的子公司，二者与</w:t>
            </w:r>
            <w:r w:rsidR="00C70575" w:rsidRPr="00C70575">
              <w:rPr>
                <w:rFonts w:ascii="微软雅黑" w:eastAsia="微软雅黑" w:hAnsi="微软雅黑" w:hint="eastAsia"/>
                <w:bCs/>
                <w:sz w:val="21"/>
                <w:szCs w:val="21"/>
                <w:lang w:eastAsia="zh-CN"/>
              </w:rPr>
              <w:t>上市公司并表范围的</w:t>
            </w:r>
            <w:r>
              <w:rPr>
                <w:rFonts w:ascii="微软雅黑" w:eastAsia="微软雅黑" w:hAnsi="微软雅黑"/>
                <w:bCs/>
                <w:sz w:val="21"/>
                <w:szCs w:val="21"/>
                <w:lang w:eastAsia="zh-CN"/>
              </w:rPr>
              <w:t>内部维修交易在合并报表层面会做抵消，二者的差额是上市公司自身采购维修服务对应的部分。</w:t>
            </w:r>
          </w:p>
          <w:p w14:paraId="1F48A619" w14:textId="77777777" w:rsidR="00AB6BEC" w:rsidRDefault="00B723B0">
            <w:pPr>
              <w:adjustRightInd w:val="0"/>
              <w:snapToGrid w:val="0"/>
              <w:ind w:firstLineChars="200" w:firstLine="420"/>
              <w:rPr>
                <w:rFonts w:ascii="微软雅黑" w:eastAsia="微软雅黑" w:hAnsi="微软雅黑" w:hint="eastAsia"/>
                <w:b/>
                <w:bCs/>
                <w:sz w:val="21"/>
                <w:szCs w:val="21"/>
                <w:lang w:eastAsia="zh-CN"/>
              </w:rPr>
            </w:pPr>
            <w:bookmarkStart w:id="8" w:name="OLE_LINK6"/>
            <w:bookmarkStart w:id="9" w:name="OLE_LINK7"/>
            <w:r>
              <w:rPr>
                <w:rFonts w:ascii="微软雅黑" w:eastAsia="微软雅黑" w:hAnsi="微软雅黑" w:hint="eastAsia"/>
                <w:b/>
                <w:bCs/>
                <w:sz w:val="21"/>
                <w:szCs w:val="21"/>
                <w:lang w:eastAsia="zh-CN"/>
              </w:rPr>
              <w:t>8</w:t>
            </w:r>
            <w:r>
              <w:rPr>
                <w:rFonts w:ascii="微软雅黑" w:eastAsia="微软雅黑" w:hAnsi="微软雅黑"/>
                <w:b/>
                <w:bCs/>
                <w:sz w:val="21"/>
                <w:szCs w:val="21"/>
                <w:lang w:eastAsia="zh-CN"/>
              </w:rPr>
              <w:t>.</w:t>
            </w:r>
            <w:r>
              <w:rPr>
                <w:rFonts w:ascii="微软雅黑" w:eastAsia="微软雅黑" w:hAnsi="微软雅黑" w:hint="eastAsia"/>
                <w:b/>
                <w:bCs/>
                <w:sz w:val="21"/>
                <w:szCs w:val="21"/>
                <w:lang w:eastAsia="zh-CN"/>
              </w:rPr>
              <w:t>公司上半年坏账损失转回的主要原因是？</w:t>
            </w:r>
          </w:p>
          <w:p w14:paraId="031B18BC" w14:textId="6218D90D" w:rsidR="00AB6BEC" w:rsidRDefault="00B723B0">
            <w:pPr>
              <w:adjustRightInd w:val="0"/>
              <w:snapToGrid w:val="0"/>
              <w:ind w:firstLineChars="200" w:firstLine="420"/>
              <w:rPr>
                <w:rFonts w:ascii="微软雅黑" w:eastAsia="微软雅黑" w:hAnsi="微软雅黑" w:hint="eastAsia"/>
                <w:bCs/>
                <w:sz w:val="21"/>
                <w:szCs w:val="21"/>
                <w:lang w:eastAsia="zh-CN"/>
              </w:rPr>
            </w:pPr>
            <w:r>
              <w:rPr>
                <w:rFonts w:ascii="微软雅黑" w:eastAsia="微软雅黑" w:hAnsi="微软雅黑" w:hint="eastAsia"/>
                <w:b/>
                <w:bCs/>
                <w:sz w:val="21"/>
                <w:szCs w:val="21"/>
                <w:lang w:eastAsia="zh-CN"/>
              </w:rPr>
              <w:t>答：</w:t>
            </w:r>
            <w:r>
              <w:rPr>
                <w:rFonts w:ascii="微软雅黑" w:eastAsia="微软雅黑" w:hAnsi="微软雅黑" w:hint="eastAsia"/>
                <w:bCs/>
                <w:sz w:val="21"/>
                <w:szCs w:val="21"/>
                <w:lang w:eastAsia="zh-CN"/>
              </w:rPr>
              <w:t>坏账转回的原因是</w:t>
            </w:r>
            <w:r>
              <w:rPr>
                <w:rFonts w:ascii="微软雅黑" w:eastAsia="微软雅黑" w:hAnsi="微软雅黑"/>
                <w:bCs/>
                <w:sz w:val="21"/>
                <w:szCs w:val="21"/>
                <w:lang w:eastAsia="zh-CN"/>
              </w:rPr>
              <w:t>2026年上半年公司收回了前期计提过坏账准备的应收账款，因此对应冲回了前期计提的坏账准备。</w:t>
            </w:r>
            <w:bookmarkEnd w:id="5"/>
            <w:bookmarkEnd w:id="6"/>
            <w:bookmarkEnd w:id="7"/>
            <w:bookmarkEnd w:id="8"/>
            <w:bookmarkEnd w:id="9"/>
          </w:p>
        </w:tc>
      </w:tr>
      <w:tr w:rsidR="00AB6BEC" w14:paraId="22023640" w14:textId="77777777">
        <w:trPr>
          <w:trHeight w:val="40"/>
          <w:jc w:val="center"/>
        </w:trPr>
        <w:tc>
          <w:tcPr>
            <w:tcW w:w="1696" w:type="dxa"/>
            <w:tcBorders>
              <w:bottom w:val="single" w:sz="4" w:space="0" w:color="auto"/>
            </w:tcBorders>
            <w:vAlign w:val="center"/>
          </w:tcPr>
          <w:p w14:paraId="6032DA19"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lastRenderedPageBreak/>
              <w:t>附件清单（如有</w:t>
            </w:r>
            <w:proofErr w:type="spellEnd"/>
            <w:r>
              <w:rPr>
                <w:rFonts w:ascii="微软雅黑" w:eastAsia="微软雅黑" w:hAnsi="微软雅黑"/>
                <w:b/>
                <w:sz w:val="21"/>
                <w:szCs w:val="21"/>
              </w:rPr>
              <w:t>）</w:t>
            </w:r>
          </w:p>
        </w:tc>
        <w:tc>
          <w:tcPr>
            <w:tcW w:w="7236" w:type="dxa"/>
            <w:gridSpan w:val="2"/>
            <w:tcBorders>
              <w:bottom w:val="single" w:sz="4" w:space="0" w:color="auto"/>
            </w:tcBorders>
          </w:tcPr>
          <w:p w14:paraId="19E5DAA9" w14:textId="77777777" w:rsidR="00AB6BEC" w:rsidRDefault="00B723B0">
            <w:pPr>
              <w:pStyle w:val="TableParagraph"/>
              <w:spacing w:line="400" w:lineRule="exact"/>
              <w:ind w:left="0"/>
              <w:jc w:val="center"/>
              <w:rPr>
                <w:rFonts w:ascii="微软雅黑" w:eastAsia="微软雅黑" w:hAnsi="微软雅黑" w:hint="eastAsia"/>
                <w:sz w:val="21"/>
                <w:szCs w:val="21"/>
              </w:rPr>
            </w:pPr>
            <w:r>
              <w:rPr>
                <w:rFonts w:ascii="微软雅黑" w:eastAsia="微软雅黑" w:hAnsi="微软雅黑" w:hint="eastAsia"/>
                <w:sz w:val="21"/>
                <w:szCs w:val="21"/>
              </w:rPr>
              <w:t>无</w:t>
            </w:r>
          </w:p>
        </w:tc>
      </w:tr>
      <w:tr w:rsidR="00AB6BEC" w14:paraId="1D0498DC" w14:textId="77777777">
        <w:trPr>
          <w:trHeight w:val="40"/>
          <w:jc w:val="center"/>
        </w:trPr>
        <w:tc>
          <w:tcPr>
            <w:tcW w:w="1696" w:type="dxa"/>
            <w:tcBorders>
              <w:top w:val="single" w:sz="4" w:space="0" w:color="auto"/>
            </w:tcBorders>
            <w:vAlign w:val="center"/>
          </w:tcPr>
          <w:p w14:paraId="49E7F936" w14:textId="77777777" w:rsidR="00AB6BEC" w:rsidRDefault="00B723B0">
            <w:pPr>
              <w:pStyle w:val="TableParagraph"/>
              <w:spacing w:line="400" w:lineRule="exact"/>
              <w:ind w:left="0"/>
              <w:jc w:val="center"/>
              <w:rPr>
                <w:rFonts w:ascii="微软雅黑" w:eastAsia="微软雅黑" w:hAnsi="微软雅黑" w:hint="eastAsia"/>
                <w:b/>
                <w:sz w:val="21"/>
                <w:szCs w:val="21"/>
              </w:rPr>
            </w:pPr>
            <w:proofErr w:type="spellStart"/>
            <w:r>
              <w:rPr>
                <w:rFonts w:ascii="微软雅黑" w:eastAsia="微软雅黑" w:hAnsi="微软雅黑"/>
                <w:b/>
                <w:sz w:val="21"/>
                <w:szCs w:val="21"/>
              </w:rPr>
              <w:t>日期</w:t>
            </w:r>
            <w:proofErr w:type="spellEnd"/>
          </w:p>
        </w:tc>
        <w:tc>
          <w:tcPr>
            <w:tcW w:w="7236" w:type="dxa"/>
            <w:gridSpan w:val="2"/>
            <w:tcBorders>
              <w:top w:val="single" w:sz="4" w:space="0" w:color="auto"/>
            </w:tcBorders>
          </w:tcPr>
          <w:p w14:paraId="63505CCA" w14:textId="77777777" w:rsidR="00AB6BEC" w:rsidRDefault="00B723B0">
            <w:pPr>
              <w:pStyle w:val="TableParagraph"/>
              <w:spacing w:line="400" w:lineRule="exact"/>
              <w:ind w:left="0"/>
              <w:jc w:val="center"/>
              <w:rPr>
                <w:rFonts w:ascii="微软雅黑" w:eastAsia="微软雅黑" w:hAnsi="微软雅黑" w:hint="eastAsia"/>
                <w:sz w:val="21"/>
                <w:szCs w:val="21"/>
              </w:rPr>
            </w:pPr>
            <w:r>
              <w:rPr>
                <w:rFonts w:ascii="微软雅黑" w:eastAsia="微软雅黑" w:hAnsi="微软雅黑" w:hint="eastAsia"/>
                <w:sz w:val="21"/>
                <w:szCs w:val="21"/>
              </w:rPr>
              <w:t>2026年8月26日</w:t>
            </w:r>
          </w:p>
        </w:tc>
      </w:tr>
    </w:tbl>
    <w:p w14:paraId="546903D7" w14:textId="77777777" w:rsidR="00AB6BEC" w:rsidRDefault="00B723B0">
      <w:pPr>
        <w:spacing w:line="400" w:lineRule="exact"/>
        <w:ind w:firstLineChars="200" w:firstLine="420"/>
        <w:jc w:val="both"/>
        <w:rPr>
          <w:rFonts w:ascii="微软雅黑" w:eastAsia="微软雅黑" w:hAnsi="微软雅黑" w:hint="eastAsia"/>
          <w:sz w:val="21"/>
          <w:lang w:val="en-US"/>
        </w:rPr>
      </w:pPr>
      <w:r>
        <w:rPr>
          <w:rFonts w:ascii="微软雅黑" w:eastAsia="微软雅黑" w:hAnsi="微软雅黑" w:hint="eastAsia"/>
          <w:sz w:val="21"/>
          <w:lang w:val="en-US"/>
        </w:rPr>
        <w:t>备注：通过不同的方式，公司与投资者进行了充分的交流与沟通，并严格按照信息披露相关法律法规和公司《信息披露事务管理制度》等规定，保证信息披露的真实、准确、完整、及时、</w:t>
      </w:r>
      <w:r>
        <w:rPr>
          <w:rFonts w:ascii="微软雅黑" w:eastAsia="微软雅黑" w:hAnsi="微软雅黑" w:hint="eastAsia"/>
          <w:sz w:val="21"/>
          <w:lang w:val="en-US"/>
        </w:rPr>
        <w:lastRenderedPageBreak/>
        <w:t>公平，并未出现未公开重大信息泄露等情况。</w:t>
      </w:r>
    </w:p>
    <w:p w14:paraId="5BC539BA" w14:textId="6E4BA980" w:rsidR="00AB6BEC" w:rsidRDefault="00B723B0">
      <w:pPr>
        <w:spacing w:line="400" w:lineRule="exact"/>
        <w:ind w:firstLineChars="200" w:firstLine="420"/>
        <w:jc w:val="both"/>
        <w:rPr>
          <w:rFonts w:ascii="微软雅黑" w:eastAsia="微软雅黑" w:hAnsi="微软雅黑" w:hint="eastAsia"/>
          <w:sz w:val="21"/>
          <w:lang w:val="en-US"/>
        </w:rPr>
      </w:pPr>
      <w:r>
        <w:rPr>
          <w:rFonts w:ascii="微软雅黑" w:eastAsia="微软雅黑" w:hAnsi="微软雅黑" w:hint="eastAsia"/>
          <w:sz w:val="21"/>
          <w:lang w:val="en-US"/>
        </w:rPr>
        <w:t>公司董事会将严格按照《上海证券交易所股票上市规则》等相关规定认真履行信息披露义务，及时披露相关事项的进展。公司指定信息披露媒体为《中国证券报》《证券时报》及上海证券交易所网站（www.sse.com.cn），公司所有信息均以在上述指定媒体和网站披露的为准。敬请广大投资者关注公司公告，并注意投资风险。</w:t>
      </w:r>
    </w:p>
    <w:sectPr w:rsidR="00AB6BEC">
      <w:headerReference w:type="default" r:id="rId6"/>
      <w:footerReference w:type="default" r:id="rId7"/>
      <w:pgSz w:w="11906" w:h="16838"/>
      <w:pgMar w:top="1417" w:right="1418" w:bottom="1417"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32E79" w14:textId="77777777" w:rsidR="001C3372" w:rsidRDefault="001C3372">
      <w:pPr>
        <w:rPr>
          <w:rFonts w:hint="eastAsia"/>
        </w:rPr>
      </w:pPr>
      <w:r>
        <w:separator/>
      </w:r>
    </w:p>
  </w:endnote>
  <w:endnote w:type="continuationSeparator" w:id="0">
    <w:p w14:paraId="2C534F5C" w14:textId="77777777" w:rsidR="001C3372" w:rsidRDefault="001C33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072326"/>
    </w:sdtPr>
    <w:sdtContent>
      <w:p w14:paraId="60A0BEAB" w14:textId="77777777" w:rsidR="00AB6BEC" w:rsidRDefault="00B723B0">
        <w:pPr>
          <w:pStyle w:val="a9"/>
          <w:jc w:val="center"/>
          <w:rPr>
            <w:rFonts w:hint="eastAsia"/>
          </w:rPr>
        </w:pPr>
        <w:r>
          <w:fldChar w:fldCharType="begin"/>
        </w:r>
        <w:r>
          <w:instrText>PAGE   \* MERGEFORMAT</w:instrText>
        </w:r>
        <w:r>
          <w:fldChar w:fldCharType="separate"/>
        </w:r>
        <w:r w:rsidR="00586566">
          <w:rPr>
            <w:noProof/>
          </w:rPr>
          <w:t>6</w:t>
        </w:r>
        <w:r>
          <w:fldChar w:fldCharType="end"/>
        </w:r>
      </w:p>
    </w:sdtContent>
  </w:sdt>
  <w:p w14:paraId="11BF8ECD" w14:textId="77777777" w:rsidR="00AB6BEC" w:rsidRDefault="00AB6BEC">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BBFFA" w14:textId="77777777" w:rsidR="001C3372" w:rsidRDefault="001C3372">
      <w:pPr>
        <w:rPr>
          <w:rFonts w:hint="eastAsia"/>
        </w:rPr>
      </w:pPr>
      <w:r>
        <w:separator/>
      </w:r>
    </w:p>
  </w:footnote>
  <w:footnote w:type="continuationSeparator" w:id="0">
    <w:p w14:paraId="192B27FD" w14:textId="77777777" w:rsidR="001C3372" w:rsidRDefault="001C337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8DFC" w14:textId="77777777" w:rsidR="00AB6BEC" w:rsidRDefault="00AB6BEC">
    <w:pPr>
      <w:pStyle w:val="ab"/>
      <w:rPr>
        <w:rFonts w:hint="eastAsia"/>
      </w:rPr>
    </w:pPr>
  </w:p>
  <w:p w14:paraId="554EBCFC" w14:textId="77777777" w:rsidR="00AB6BEC" w:rsidRDefault="00AB6BEC">
    <w:pPr>
      <w:pStyle w:val="ab"/>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E5NThmMWMyNjQ5MWQ4YTE2MjkyZWIzNGZiYmFhMTQifQ=="/>
    <w:docVar w:name="KSO_WPS_MARK_KEY" w:val="bfd0faed-8bdc-472b-92a7-c02cebd37ea8"/>
  </w:docVars>
  <w:rsids>
    <w:rsidRoot w:val="00172A27"/>
    <w:rsid w:val="00005D6C"/>
    <w:rsid w:val="00007AB7"/>
    <w:rsid w:val="00011C86"/>
    <w:rsid w:val="000216BB"/>
    <w:rsid w:val="00030AAC"/>
    <w:rsid w:val="00043317"/>
    <w:rsid w:val="000451F4"/>
    <w:rsid w:val="000456FF"/>
    <w:rsid w:val="0005161D"/>
    <w:rsid w:val="00055368"/>
    <w:rsid w:val="00055810"/>
    <w:rsid w:val="00056904"/>
    <w:rsid w:val="000644A0"/>
    <w:rsid w:val="00067274"/>
    <w:rsid w:val="00073A2D"/>
    <w:rsid w:val="0009365B"/>
    <w:rsid w:val="000937F1"/>
    <w:rsid w:val="00093EFF"/>
    <w:rsid w:val="000A22A1"/>
    <w:rsid w:val="000D24D0"/>
    <w:rsid w:val="000E3440"/>
    <w:rsid w:val="000F0CBF"/>
    <w:rsid w:val="000F7838"/>
    <w:rsid w:val="000F7FE9"/>
    <w:rsid w:val="00101D89"/>
    <w:rsid w:val="00107F4B"/>
    <w:rsid w:val="00112AD0"/>
    <w:rsid w:val="00127F27"/>
    <w:rsid w:val="00132EAD"/>
    <w:rsid w:val="00144A84"/>
    <w:rsid w:val="00147771"/>
    <w:rsid w:val="00150A39"/>
    <w:rsid w:val="00150A70"/>
    <w:rsid w:val="00160DFE"/>
    <w:rsid w:val="001629AF"/>
    <w:rsid w:val="00163BBE"/>
    <w:rsid w:val="00164002"/>
    <w:rsid w:val="00166091"/>
    <w:rsid w:val="001670A9"/>
    <w:rsid w:val="00172A27"/>
    <w:rsid w:val="00194085"/>
    <w:rsid w:val="00194E3C"/>
    <w:rsid w:val="001B2B93"/>
    <w:rsid w:val="001B7A34"/>
    <w:rsid w:val="001C0B77"/>
    <w:rsid w:val="001C30DD"/>
    <w:rsid w:val="001C3372"/>
    <w:rsid w:val="001D0263"/>
    <w:rsid w:val="001D13E8"/>
    <w:rsid w:val="001D46A0"/>
    <w:rsid w:val="001E01D5"/>
    <w:rsid w:val="001E7F63"/>
    <w:rsid w:val="001F6683"/>
    <w:rsid w:val="001F7370"/>
    <w:rsid w:val="00226C2E"/>
    <w:rsid w:val="00247B01"/>
    <w:rsid w:val="002621C9"/>
    <w:rsid w:val="00262FBB"/>
    <w:rsid w:val="00266CB5"/>
    <w:rsid w:val="00275D4C"/>
    <w:rsid w:val="00282892"/>
    <w:rsid w:val="0028456F"/>
    <w:rsid w:val="00287FA3"/>
    <w:rsid w:val="00293F33"/>
    <w:rsid w:val="002A13D7"/>
    <w:rsid w:val="002B0889"/>
    <w:rsid w:val="002B3B44"/>
    <w:rsid w:val="002B6034"/>
    <w:rsid w:val="002B66E1"/>
    <w:rsid w:val="002C0291"/>
    <w:rsid w:val="002C25AC"/>
    <w:rsid w:val="002E0705"/>
    <w:rsid w:val="002E0F14"/>
    <w:rsid w:val="002E12B6"/>
    <w:rsid w:val="002E24A0"/>
    <w:rsid w:val="002E2616"/>
    <w:rsid w:val="002F4268"/>
    <w:rsid w:val="002F492C"/>
    <w:rsid w:val="003035AF"/>
    <w:rsid w:val="00303D13"/>
    <w:rsid w:val="00303E4C"/>
    <w:rsid w:val="0030491F"/>
    <w:rsid w:val="003200AB"/>
    <w:rsid w:val="00331A5B"/>
    <w:rsid w:val="00342058"/>
    <w:rsid w:val="00345C12"/>
    <w:rsid w:val="003544D5"/>
    <w:rsid w:val="00355D90"/>
    <w:rsid w:val="003670E3"/>
    <w:rsid w:val="00381C38"/>
    <w:rsid w:val="00383E9D"/>
    <w:rsid w:val="00386600"/>
    <w:rsid w:val="003A3F17"/>
    <w:rsid w:val="003B0AE3"/>
    <w:rsid w:val="003B70A1"/>
    <w:rsid w:val="003C0941"/>
    <w:rsid w:val="003C7545"/>
    <w:rsid w:val="003D2A37"/>
    <w:rsid w:val="003E3F4D"/>
    <w:rsid w:val="003E46C7"/>
    <w:rsid w:val="003E6B54"/>
    <w:rsid w:val="003E735F"/>
    <w:rsid w:val="003F4042"/>
    <w:rsid w:val="004211A0"/>
    <w:rsid w:val="0042543A"/>
    <w:rsid w:val="0042579B"/>
    <w:rsid w:val="00425926"/>
    <w:rsid w:val="00426146"/>
    <w:rsid w:val="004343AA"/>
    <w:rsid w:val="004366D5"/>
    <w:rsid w:val="00444FAA"/>
    <w:rsid w:val="00447921"/>
    <w:rsid w:val="00462477"/>
    <w:rsid w:val="00466129"/>
    <w:rsid w:val="00482AA2"/>
    <w:rsid w:val="00484C7E"/>
    <w:rsid w:val="00486BED"/>
    <w:rsid w:val="0049209E"/>
    <w:rsid w:val="004957B0"/>
    <w:rsid w:val="00495981"/>
    <w:rsid w:val="004A2D62"/>
    <w:rsid w:val="004A4F82"/>
    <w:rsid w:val="004B30E2"/>
    <w:rsid w:val="004B32E6"/>
    <w:rsid w:val="004B7D85"/>
    <w:rsid w:val="004C1607"/>
    <w:rsid w:val="004C26EF"/>
    <w:rsid w:val="004F3ED1"/>
    <w:rsid w:val="00503278"/>
    <w:rsid w:val="0050492A"/>
    <w:rsid w:val="00506DA0"/>
    <w:rsid w:val="00507542"/>
    <w:rsid w:val="00507CE2"/>
    <w:rsid w:val="00511A0C"/>
    <w:rsid w:val="0051788C"/>
    <w:rsid w:val="00520324"/>
    <w:rsid w:val="005331C0"/>
    <w:rsid w:val="0053326F"/>
    <w:rsid w:val="0053721D"/>
    <w:rsid w:val="0054115C"/>
    <w:rsid w:val="00541F2A"/>
    <w:rsid w:val="005456D9"/>
    <w:rsid w:val="00545810"/>
    <w:rsid w:val="00557BF7"/>
    <w:rsid w:val="005606D9"/>
    <w:rsid w:val="0056320A"/>
    <w:rsid w:val="0056733A"/>
    <w:rsid w:val="00567B15"/>
    <w:rsid w:val="005728F2"/>
    <w:rsid w:val="00576DEB"/>
    <w:rsid w:val="00581D3A"/>
    <w:rsid w:val="0058626B"/>
    <w:rsid w:val="00586566"/>
    <w:rsid w:val="0058670A"/>
    <w:rsid w:val="00595B38"/>
    <w:rsid w:val="005A08D7"/>
    <w:rsid w:val="005A6A09"/>
    <w:rsid w:val="005B09A7"/>
    <w:rsid w:val="005C0174"/>
    <w:rsid w:val="005C3120"/>
    <w:rsid w:val="005C69C8"/>
    <w:rsid w:val="005D7600"/>
    <w:rsid w:val="005D7CB1"/>
    <w:rsid w:val="005E1479"/>
    <w:rsid w:val="005E1DEB"/>
    <w:rsid w:val="005E35A2"/>
    <w:rsid w:val="005F31EF"/>
    <w:rsid w:val="005F4AA2"/>
    <w:rsid w:val="005F786B"/>
    <w:rsid w:val="006076CE"/>
    <w:rsid w:val="00612E04"/>
    <w:rsid w:val="0061440A"/>
    <w:rsid w:val="00623451"/>
    <w:rsid w:val="00623527"/>
    <w:rsid w:val="00630934"/>
    <w:rsid w:val="00630FB2"/>
    <w:rsid w:val="00631620"/>
    <w:rsid w:val="00636A05"/>
    <w:rsid w:val="006371EF"/>
    <w:rsid w:val="006414D9"/>
    <w:rsid w:val="00644FFB"/>
    <w:rsid w:val="00645EB8"/>
    <w:rsid w:val="00646369"/>
    <w:rsid w:val="00652C8D"/>
    <w:rsid w:val="0067593A"/>
    <w:rsid w:val="00677985"/>
    <w:rsid w:val="00684C4D"/>
    <w:rsid w:val="0068644E"/>
    <w:rsid w:val="0069164E"/>
    <w:rsid w:val="006A1C97"/>
    <w:rsid w:val="006A3050"/>
    <w:rsid w:val="006C3A92"/>
    <w:rsid w:val="006C60AA"/>
    <w:rsid w:val="006C62A2"/>
    <w:rsid w:val="006E2104"/>
    <w:rsid w:val="006E2139"/>
    <w:rsid w:val="006F1492"/>
    <w:rsid w:val="006F283C"/>
    <w:rsid w:val="00700993"/>
    <w:rsid w:val="007033EC"/>
    <w:rsid w:val="00711D3D"/>
    <w:rsid w:val="007153D9"/>
    <w:rsid w:val="007174DD"/>
    <w:rsid w:val="00721F60"/>
    <w:rsid w:val="007302CF"/>
    <w:rsid w:val="00732524"/>
    <w:rsid w:val="00736811"/>
    <w:rsid w:val="00742C33"/>
    <w:rsid w:val="00744733"/>
    <w:rsid w:val="00751364"/>
    <w:rsid w:val="007571A3"/>
    <w:rsid w:val="0076253C"/>
    <w:rsid w:val="007642E1"/>
    <w:rsid w:val="00776225"/>
    <w:rsid w:val="007804EE"/>
    <w:rsid w:val="00781210"/>
    <w:rsid w:val="00783AB7"/>
    <w:rsid w:val="00785BA0"/>
    <w:rsid w:val="0079791B"/>
    <w:rsid w:val="00797AC2"/>
    <w:rsid w:val="007A2B47"/>
    <w:rsid w:val="007A45DA"/>
    <w:rsid w:val="007B262C"/>
    <w:rsid w:val="007B39DB"/>
    <w:rsid w:val="007B3CDA"/>
    <w:rsid w:val="007B434E"/>
    <w:rsid w:val="007B6C01"/>
    <w:rsid w:val="007C3686"/>
    <w:rsid w:val="007C61B8"/>
    <w:rsid w:val="007D54D6"/>
    <w:rsid w:val="007E5155"/>
    <w:rsid w:val="007F0F4C"/>
    <w:rsid w:val="007F2084"/>
    <w:rsid w:val="007F660F"/>
    <w:rsid w:val="00801852"/>
    <w:rsid w:val="008217A8"/>
    <w:rsid w:val="008243FC"/>
    <w:rsid w:val="0082551C"/>
    <w:rsid w:val="00825D7D"/>
    <w:rsid w:val="00826EB6"/>
    <w:rsid w:val="0087517E"/>
    <w:rsid w:val="00882DF2"/>
    <w:rsid w:val="00886E65"/>
    <w:rsid w:val="008A6D3A"/>
    <w:rsid w:val="008A76CA"/>
    <w:rsid w:val="008B10B8"/>
    <w:rsid w:val="008B4F60"/>
    <w:rsid w:val="008C09DD"/>
    <w:rsid w:val="008C326E"/>
    <w:rsid w:val="008C432C"/>
    <w:rsid w:val="008E35FE"/>
    <w:rsid w:val="008E450D"/>
    <w:rsid w:val="008E7B69"/>
    <w:rsid w:val="00900D2E"/>
    <w:rsid w:val="00902F0A"/>
    <w:rsid w:val="0090571F"/>
    <w:rsid w:val="0091431F"/>
    <w:rsid w:val="00914863"/>
    <w:rsid w:val="009350F4"/>
    <w:rsid w:val="00940A87"/>
    <w:rsid w:val="0094248D"/>
    <w:rsid w:val="00954636"/>
    <w:rsid w:val="00962356"/>
    <w:rsid w:val="0096424E"/>
    <w:rsid w:val="00964265"/>
    <w:rsid w:val="0097244F"/>
    <w:rsid w:val="00977AAD"/>
    <w:rsid w:val="00981E70"/>
    <w:rsid w:val="009879D0"/>
    <w:rsid w:val="0099120D"/>
    <w:rsid w:val="009953BE"/>
    <w:rsid w:val="009A2322"/>
    <w:rsid w:val="009A5EE0"/>
    <w:rsid w:val="009B0496"/>
    <w:rsid w:val="009B14F9"/>
    <w:rsid w:val="009B2CC4"/>
    <w:rsid w:val="009D600F"/>
    <w:rsid w:val="009E109D"/>
    <w:rsid w:val="009E17D7"/>
    <w:rsid w:val="009E1B65"/>
    <w:rsid w:val="009E21B5"/>
    <w:rsid w:val="009E6B15"/>
    <w:rsid w:val="009E7BCB"/>
    <w:rsid w:val="009F12CD"/>
    <w:rsid w:val="009F3028"/>
    <w:rsid w:val="009F787F"/>
    <w:rsid w:val="00A173F6"/>
    <w:rsid w:val="00A31D79"/>
    <w:rsid w:val="00A33DAB"/>
    <w:rsid w:val="00A40D2C"/>
    <w:rsid w:val="00A46B6B"/>
    <w:rsid w:val="00A511FE"/>
    <w:rsid w:val="00A51D0C"/>
    <w:rsid w:val="00A66909"/>
    <w:rsid w:val="00A675DF"/>
    <w:rsid w:val="00A67B27"/>
    <w:rsid w:val="00A7209A"/>
    <w:rsid w:val="00A8077E"/>
    <w:rsid w:val="00A8279E"/>
    <w:rsid w:val="00A93A04"/>
    <w:rsid w:val="00AA04E8"/>
    <w:rsid w:val="00AA593C"/>
    <w:rsid w:val="00AB3E6D"/>
    <w:rsid w:val="00AB6BEC"/>
    <w:rsid w:val="00AD05C3"/>
    <w:rsid w:val="00AE24E6"/>
    <w:rsid w:val="00AF0247"/>
    <w:rsid w:val="00AF3671"/>
    <w:rsid w:val="00B100BB"/>
    <w:rsid w:val="00B217C5"/>
    <w:rsid w:val="00B25B27"/>
    <w:rsid w:val="00B26B15"/>
    <w:rsid w:val="00B26DBD"/>
    <w:rsid w:val="00B274D2"/>
    <w:rsid w:val="00B40A80"/>
    <w:rsid w:val="00B42C74"/>
    <w:rsid w:val="00B4443E"/>
    <w:rsid w:val="00B44A7D"/>
    <w:rsid w:val="00B47C6A"/>
    <w:rsid w:val="00B5026D"/>
    <w:rsid w:val="00B6682A"/>
    <w:rsid w:val="00B723B0"/>
    <w:rsid w:val="00B8263D"/>
    <w:rsid w:val="00B86663"/>
    <w:rsid w:val="00B96B84"/>
    <w:rsid w:val="00BA196E"/>
    <w:rsid w:val="00BA2D8C"/>
    <w:rsid w:val="00BA7633"/>
    <w:rsid w:val="00BC47C1"/>
    <w:rsid w:val="00BD4723"/>
    <w:rsid w:val="00BE1467"/>
    <w:rsid w:val="00BE1EDC"/>
    <w:rsid w:val="00BE30F9"/>
    <w:rsid w:val="00BE5490"/>
    <w:rsid w:val="00BE5C23"/>
    <w:rsid w:val="00BF52EC"/>
    <w:rsid w:val="00C0731D"/>
    <w:rsid w:val="00C1656B"/>
    <w:rsid w:val="00C23B13"/>
    <w:rsid w:val="00C23FEE"/>
    <w:rsid w:val="00C24395"/>
    <w:rsid w:val="00C254EB"/>
    <w:rsid w:val="00C315AE"/>
    <w:rsid w:val="00C32A55"/>
    <w:rsid w:val="00C3678C"/>
    <w:rsid w:val="00C474A5"/>
    <w:rsid w:val="00C70575"/>
    <w:rsid w:val="00C708ED"/>
    <w:rsid w:val="00C818BE"/>
    <w:rsid w:val="00C845B0"/>
    <w:rsid w:val="00C84D99"/>
    <w:rsid w:val="00C84EBB"/>
    <w:rsid w:val="00CA5920"/>
    <w:rsid w:val="00CA7296"/>
    <w:rsid w:val="00CB38C0"/>
    <w:rsid w:val="00CB6CBB"/>
    <w:rsid w:val="00CD6DD7"/>
    <w:rsid w:val="00CF567C"/>
    <w:rsid w:val="00CF6F12"/>
    <w:rsid w:val="00D03D98"/>
    <w:rsid w:val="00D1438E"/>
    <w:rsid w:val="00D163C1"/>
    <w:rsid w:val="00D2588E"/>
    <w:rsid w:val="00D30C00"/>
    <w:rsid w:val="00D42883"/>
    <w:rsid w:val="00D55AE7"/>
    <w:rsid w:val="00D57151"/>
    <w:rsid w:val="00D6076F"/>
    <w:rsid w:val="00D63A01"/>
    <w:rsid w:val="00D73E88"/>
    <w:rsid w:val="00D77E89"/>
    <w:rsid w:val="00D82B34"/>
    <w:rsid w:val="00D87D1A"/>
    <w:rsid w:val="00DA072E"/>
    <w:rsid w:val="00DB6484"/>
    <w:rsid w:val="00DC7021"/>
    <w:rsid w:val="00DC71C5"/>
    <w:rsid w:val="00DD6874"/>
    <w:rsid w:val="00DD7518"/>
    <w:rsid w:val="00DE00BA"/>
    <w:rsid w:val="00DE0EFC"/>
    <w:rsid w:val="00DE1F33"/>
    <w:rsid w:val="00DF171B"/>
    <w:rsid w:val="00DF1F0C"/>
    <w:rsid w:val="00DF5E62"/>
    <w:rsid w:val="00DF7B36"/>
    <w:rsid w:val="00E0798A"/>
    <w:rsid w:val="00E14DAE"/>
    <w:rsid w:val="00E15131"/>
    <w:rsid w:val="00E233F0"/>
    <w:rsid w:val="00E2486F"/>
    <w:rsid w:val="00E25283"/>
    <w:rsid w:val="00E27DEB"/>
    <w:rsid w:val="00E32498"/>
    <w:rsid w:val="00E332BE"/>
    <w:rsid w:val="00E352BA"/>
    <w:rsid w:val="00E35ACC"/>
    <w:rsid w:val="00E41D21"/>
    <w:rsid w:val="00E43E44"/>
    <w:rsid w:val="00E50F05"/>
    <w:rsid w:val="00E55384"/>
    <w:rsid w:val="00E56BD2"/>
    <w:rsid w:val="00E57D69"/>
    <w:rsid w:val="00E714E8"/>
    <w:rsid w:val="00E77224"/>
    <w:rsid w:val="00E802BA"/>
    <w:rsid w:val="00E81EC3"/>
    <w:rsid w:val="00E9040F"/>
    <w:rsid w:val="00E9226D"/>
    <w:rsid w:val="00E93F7B"/>
    <w:rsid w:val="00E95F12"/>
    <w:rsid w:val="00EA253D"/>
    <w:rsid w:val="00EA295F"/>
    <w:rsid w:val="00EA443E"/>
    <w:rsid w:val="00EA4DFC"/>
    <w:rsid w:val="00EB1576"/>
    <w:rsid w:val="00EB3E05"/>
    <w:rsid w:val="00EC0265"/>
    <w:rsid w:val="00EC7062"/>
    <w:rsid w:val="00EE2F16"/>
    <w:rsid w:val="00EF3672"/>
    <w:rsid w:val="00EF41DD"/>
    <w:rsid w:val="00F027DD"/>
    <w:rsid w:val="00F1335A"/>
    <w:rsid w:val="00F137BF"/>
    <w:rsid w:val="00F23372"/>
    <w:rsid w:val="00F24823"/>
    <w:rsid w:val="00F2747C"/>
    <w:rsid w:val="00F40D17"/>
    <w:rsid w:val="00F40FCF"/>
    <w:rsid w:val="00F43932"/>
    <w:rsid w:val="00F53B66"/>
    <w:rsid w:val="00F54C52"/>
    <w:rsid w:val="00F653C9"/>
    <w:rsid w:val="00F663D2"/>
    <w:rsid w:val="00F66E44"/>
    <w:rsid w:val="00F677C7"/>
    <w:rsid w:val="00F85B9C"/>
    <w:rsid w:val="00FA0878"/>
    <w:rsid w:val="00FA0A0A"/>
    <w:rsid w:val="00FA3744"/>
    <w:rsid w:val="00FA3E23"/>
    <w:rsid w:val="00FB080A"/>
    <w:rsid w:val="00FE05D7"/>
    <w:rsid w:val="00FE3DBF"/>
    <w:rsid w:val="00FF7B21"/>
    <w:rsid w:val="01167C8C"/>
    <w:rsid w:val="02177A65"/>
    <w:rsid w:val="02A91D81"/>
    <w:rsid w:val="02B04EBD"/>
    <w:rsid w:val="03697E71"/>
    <w:rsid w:val="04746BD1"/>
    <w:rsid w:val="063F358A"/>
    <w:rsid w:val="09626389"/>
    <w:rsid w:val="0AF81AF7"/>
    <w:rsid w:val="0B1F763B"/>
    <w:rsid w:val="0B697DC3"/>
    <w:rsid w:val="0C6A432F"/>
    <w:rsid w:val="0DB96B40"/>
    <w:rsid w:val="0E26072A"/>
    <w:rsid w:val="0F7B6853"/>
    <w:rsid w:val="0F9D2206"/>
    <w:rsid w:val="11423C31"/>
    <w:rsid w:val="119C0CBF"/>
    <w:rsid w:val="12906AB9"/>
    <w:rsid w:val="12DC585B"/>
    <w:rsid w:val="15512530"/>
    <w:rsid w:val="155618F4"/>
    <w:rsid w:val="155B6F0B"/>
    <w:rsid w:val="15DE6481"/>
    <w:rsid w:val="15EE0389"/>
    <w:rsid w:val="17C76D35"/>
    <w:rsid w:val="17D42FA4"/>
    <w:rsid w:val="188624F1"/>
    <w:rsid w:val="19F618F8"/>
    <w:rsid w:val="1B664139"/>
    <w:rsid w:val="1BA01B1B"/>
    <w:rsid w:val="1C705992"/>
    <w:rsid w:val="1CAB31B3"/>
    <w:rsid w:val="1D4C6752"/>
    <w:rsid w:val="1D5C4463"/>
    <w:rsid w:val="1D866287"/>
    <w:rsid w:val="1E7207E3"/>
    <w:rsid w:val="1FDF698A"/>
    <w:rsid w:val="21052421"/>
    <w:rsid w:val="2119542F"/>
    <w:rsid w:val="21413005"/>
    <w:rsid w:val="21FA7AAB"/>
    <w:rsid w:val="242D5F16"/>
    <w:rsid w:val="257F36C6"/>
    <w:rsid w:val="259B37CA"/>
    <w:rsid w:val="25CA0753"/>
    <w:rsid w:val="297F1662"/>
    <w:rsid w:val="2B9C75E9"/>
    <w:rsid w:val="2FDC06EC"/>
    <w:rsid w:val="302D2EA7"/>
    <w:rsid w:val="30E35FD1"/>
    <w:rsid w:val="31C024FF"/>
    <w:rsid w:val="32A17FD1"/>
    <w:rsid w:val="3419573F"/>
    <w:rsid w:val="343014E6"/>
    <w:rsid w:val="34C226AB"/>
    <w:rsid w:val="359F479A"/>
    <w:rsid w:val="378C0117"/>
    <w:rsid w:val="39CE38A0"/>
    <w:rsid w:val="3A4F49E1"/>
    <w:rsid w:val="3B8E32E7"/>
    <w:rsid w:val="3BE455FD"/>
    <w:rsid w:val="3C5A50FD"/>
    <w:rsid w:val="3C9506A5"/>
    <w:rsid w:val="3D530494"/>
    <w:rsid w:val="3E2A7C11"/>
    <w:rsid w:val="3E2C6DE7"/>
    <w:rsid w:val="3F240AEB"/>
    <w:rsid w:val="408D1DBF"/>
    <w:rsid w:val="40E67729"/>
    <w:rsid w:val="410B53D9"/>
    <w:rsid w:val="421107CE"/>
    <w:rsid w:val="42BD43DB"/>
    <w:rsid w:val="42D33CD5"/>
    <w:rsid w:val="42F821FA"/>
    <w:rsid w:val="43D27FEA"/>
    <w:rsid w:val="45857508"/>
    <w:rsid w:val="45961D35"/>
    <w:rsid w:val="4685178A"/>
    <w:rsid w:val="46BF2821"/>
    <w:rsid w:val="48112550"/>
    <w:rsid w:val="48FC36C5"/>
    <w:rsid w:val="491A440C"/>
    <w:rsid w:val="49C36851"/>
    <w:rsid w:val="4B46773A"/>
    <w:rsid w:val="4D645288"/>
    <w:rsid w:val="4D8207D1"/>
    <w:rsid w:val="4ED5037D"/>
    <w:rsid w:val="4F4026F2"/>
    <w:rsid w:val="51D35A9F"/>
    <w:rsid w:val="52BD2EF5"/>
    <w:rsid w:val="59060509"/>
    <w:rsid w:val="59295A5F"/>
    <w:rsid w:val="592D2607"/>
    <w:rsid w:val="59DF453F"/>
    <w:rsid w:val="5A186745"/>
    <w:rsid w:val="5A6C515F"/>
    <w:rsid w:val="5B6559BA"/>
    <w:rsid w:val="5C3670CB"/>
    <w:rsid w:val="5E8A3609"/>
    <w:rsid w:val="602B7059"/>
    <w:rsid w:val="606D7822"/>
    <w:rsid w:val="60CA7074"/>
    <w:rsid w:val="61406582"/>
    <w:rsid w:val="62175534"/>
    <w:rsid w:val="646A5DEF"/>
    <w:rsid w:val="67115CB8"/>
    <w:rsid w:val="680B1697"/>
    <w:rsid w:val="69E65EE9"/>
    <w:rsid w:val="6A491CB0"/>
    <w:rsid w:val="6B1B29CD"/>
    <w:rsid w:val="6BA22313"/>
    <w:rsid w:val="6DC46035"/>
    <w:rsid w:val="6F3B3C0A"/>
    <w:rsid w:val="6FA76B70"/>
    <w:rsid w:val="700901BA"/>
    <w:rsid w:val="70DC42EE"/>
    <w:rsid w:val="733D6532"/>
    <w:rsid w:val="73B3194A"/>
    <w:rsid w:val="74CD502E"/>
    <w:rsid w:val="769767EC"/>
    <w:rsid w:val="781C51FB"/>
    <w:rsid w:val="785C6166"/>
    <w:rsid w:val="79DE4547"/>
    <w:rsid w:val="7AA02113"/>
    <w:rsid w:val="7CFC2ECA"/>
    <w:rsid w:val="7D1961AD"/>
    <w:rsid w:val="7DC74AB5"/>
    <w:rsid w:val="7DE72337"/>
    <w:rsid w:val="7E7F64E4"/>
    <w:rsid w:val="7F863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1B84"/>
  <w15:docId w15:val="{639EB7FA-E790-4252-9442-F45CAE7B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宋体" w:eastAsia="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Body Text"/>
    <w:basedOn w:val="a"/>
    <w:link w:val="a6"/>
    <w:uiPriority w:val="1"/>
    <w:qFormat/>
    <w:rPr>
      <w:sz w:val="21"/>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cs="Times New Roman"/>
      <w:sz w:val="24"/>
      <w:szCs w:val="21"/>
      <w:lang w:val="en-US" w:bidi="ar-SA"/>
    </w:rPr>
  </w:style>
  <w:style w:type="paragraph" w:styleId="ad">
    <w:name w:val="annotation subject"/>
    <w:basedOn w:val="a3"/>
    <w:next w:val="a3"/>
    <w:link w:val="ae"/>
    <w:uiPriority w:val="99"/>
    <w:semiHidden/>
    <w:unhideWhenUsed/>
    <w:qFormat/>
    <w:rPr>
      <w:b/>
      <w:bCs/>
    </w:rPr>
  </w:style>
  <w:style w:type="character" w:styleId="af">
    <w:name w:val="Hyperlink"/>
    <w:basedOn w:val="a0"/>
    <w:uiPriority w:val="99"/>
    <w:semiHidden/>
    <w:unhideWhenUsed/>
    <w:qFormat/>
    <w:rPr>
      <w:color w:val="0000FF"/>
      <w:u w:val="single"/>
    </w:rPr>
  </w:style>
  <w:style w:type="character" w:styleId="af0">
    <w:name w:val="annotation reference"/>
    <w:basedOn w:val="a0"/>
    <w:uiPriority w:val="99"/>
    <w:semiHidden/>
    <w:unhideWhenUsed/>
    <w:qFormat/>
    <w:rPr>
      <w:sz w:val="21"/>
      <w:szCs w:val="21"/>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a6">
    <w:name w:val="正文文本 字符"/>
    <w:basedOn w:val="a0"/>
    <w:link w:val="a5"/>
    <w:uiPriority w:val="1"/>
    <w:qFormat/>
    <w:rPr>
      <w:rFonts w:ascii="宋体" w:eastAsia="宋体" w:hAnsi="宋体" w:cs="宋体"/>
      <w:kern w:val="0"/>
      <w:szCs w:val="21"/>
      <w:lang w:val="zh-CN" w:bidi="zh-CN"/>
    </w:rPr>
  </w:style>
  <w:style w:type="paragraph" w:customStyle="1" w:styleId="TableParagraph">
    <w:name w:val="Table Paragraph"/>
    <w:basedOn w:val="a"/>
    <w:uiPriority w:val="1"/>
    <w:qFormat/>
    <w:pPr>
      <w:ind w:left="104"/>
    </w:pPr>
  </w:style>
  <w:style w:type="character" w:customStyle="1" w:styleId="a8">
    <w:name w:val="批注框文本 字符"/>
    <w:basedOn w:val="a0"/>
    <w:link w:val="a7"/>
    <w:uiPriority w:val="99"/>
    <w:semiHidden/>
    <w:qFormat/>
    <w:rPr>
      <w:rFonts w:ascii="宋体" w:hAnsi="宋体" w:cs="宋体"/>
      <w:sz w:val="18"/>
      <w:szCs w:val="18"/>
      <w:lang w:val="zh-CN" w:bidi="zh-CN"/>
    </w:rPr>
  </w:style>
  <w:style w:type="paragraph" w:customStyle="1" w:styleId="Default">
    <w:name w:val="Default"/>
    <w:uiPriority w:val="99"/>
    <w:unhideWhenUsed/>
    <w:qFormat/>
    <w:pPr>
      <w:widowControl w:val="0"/>
      <w:autoSpaceDE w:val="0"/>
      <w:autoSpaceDN w:val="0"/>
      <w:adjustRightInd w:val="0"/>
    </w:pPr>
    <w:rPr>
      <w:rFonts w:ascii="仿宋" w:eastAsia="仿宋" w:hAnsi="仿宋"/>
      <w:color w:val="000000"/>
      <w:sz w:val="24"/>
      <w:szCs w:val="24"/>
    </w:rPr>
  </w:style>
  <w:style w:type="character" w:customStyle="1" w:styleId="ac">
    <w:name w:val="页眉 字符"/>
    <w:basedOn w:val="a0"/>
    <w:link w:val="ab"/>
    <w:uiPriority w:val="99"/>
    <w:qFormat/>
    <w:rPr>
      <w:rFonts w:ascii="宋体" w:eastAsia="宋体" w:hAnsi="宋体" w:cs="宋体"/>
      <w:sz w:val="18"/>
      <w:szCs w:val="18"/>
      <w:lang w:val="zh-CN" w:bidi="zh-CN"/>
    </w:rPr>
  </w:style>
  <w:style w:type="character" w:customStyle="1" w:styleId="aa">
    <w:name w:val="页脚 字符"/>
    <w:basedOn w:val="a0"/>
    <w:link w:val="a9"/>
    <w:uiPriority w:val="99"/>
    <w:qFormat/>
    <w:rPr>
      <w:rFonts w:ascii="宋体" w:eastAsia="宋体" w:hAnsi="宋体" w:cs="宋体"/>
      <w:sz w:val="18"/>
      <w:szCs w:val="18"/>
      <w:lang w:val="zh-CN" w:bidi="zh-CN"/>
    </w:rPr>
  </w:style>
  <w:style w:type="character" w:customStyle="1" w:styleId="a4">
    <w:name w:val="批注文字 字符"/>
    <w:basedOn w:val="a0"/>
    <w:link w:val="a3"/>
    <w:uiPriority w:val="99"/>
    <w:semiHidden/>
    <w:qFormat/>
    <w:rPr>
      <w:rFonts w:ascii="宋体" w:eastAsia="宋体" w:hAnsi="宋体" w:cs="宋体"/>
      <w:sz w:val="22"/>
      <w:szCs w:val="22"/>
      <w:lang w:val="zh-CN" w:bidi="zh-CN"/>
    </w:rPr>
  </w:style>
  <w:style w:type="character" w:customStyle="1" w:styleId="ae">
    <w:name w:val="批注主题 字符"/>
    <w:basedOn w:val="a4"/>
    <w:link w:val="ad"/>
    <w:uiPriority w:val="99"/>
    <w:semiHidden/>
    <w:qFormat/>
    <w:rPr>
      <w:rFonts w:ascii="宋体" w:eastAsia="宋体" w:hAnsi="宋体" w:cs="宋体"/>
      <w:b/>
      <w:bCs/>
      <w:sz w:val="22"/>
      <w:szCs w:val="22"/>
      <w:lang w:val="zh-CN" w:bidi="zh-CN"/>
    </w:rPr>
  </w:style>
  <w:style w:type="paragraph" w:styleId="af1">
    <w:name w:val="List Paragraph"/>
    <w:basedOn w:val="a"/>
    <w:uiPriority w:val="34"/>
    <w:qFormat/>
    <w:pPr>
      <w:widowControl/>
      <w:autoSpaceDE/>
      <w:autoSpaceDN/>
      <w:ind w:firstLineChars="200" w:firstLine="420"/>
    </w:pPr>
    <w:rPr>
      <w:sz w:val="24"/>
      <w:szCs w:val="24"/>
      <w:lang w:val="en-US" w:bidi="ar-SA"/>
    </w:rPr>
  </w:style>
  <w:style w:type="paragraph" w:customStyle="1" w:styleId="1">
    <w:name w:val="修订1"/>
    <w:hidden/>
    <w:uiPriority w:val="99"/>
    <w:unhideWhenUsed/>
    <w:qFormat/>
    <w:rPr>
      <w:rFonts w:ascii="宋体" w:eastAsia="宋体" w:hAnsi="宋体" w:cs="宋体"/>
      <w:sz w:val="22"/>
      <w:szCs w:val="22"/>
      <w:lang w:val="zh-CN" w:bidi="zh-CN"/>
    </w:rPr>
  </w:style>
  <w:style w:type="paragraph" w:customStyle="1" w:styleId="2">
    <w:name w:val="修订2"/>
    <w:hidden/>
    <w:uiPriority w:val="99"/>
    <w:unhideWhenUsed/>
    <w:qFormat/>
    <w:rPr>
      <w:rFonts w:ascii="宋体" w:eastAsia="宋体" w:hAnsi="宋体" w:cs="宋体"/>
      <w:sz w:val="22"/>
      <w:szCs w:val="22"/>
      <w:lang w:val="zh-CN" w:bidi="zh-CN"/>
    </w:rPr>
  </w:style>
  <w:style w:type="character" w:customStyle="1" w:styleId="HTML0">
    <w:name w:val="HTML 预设格式 字符"/>
    <w:basedOn w:val="a0"/>
    <w:link w:val="HTML"/>
    <w:qFormat/>
    <w:rPr>
      <w:rFonts w:ascii="宋体" w:eastAsia="宋体" w:hAnsi="宋体"/>
      <w:sz w:val="24"/>
      <w:szCs w:val="21"/>
    </w:rPr>
  </w:style>
  <w:style w:type="paragraph" w:styleId="af2">
    <w:name w:val="Revision"/>
    <w:hidden/>
    <w:uiPriority w:val="99"/>
    <w:unhideWhenUsed/>
    <w:rsid w:val="00447921"/>
    <w:rPr>
      <w:rFonts w:ascii="宋体" w:eastAsia="宋体" w:hAnsi="宋体" w:cs="宋体"/>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6</Pages>
  <Words>714</Words>
  <Characters>4075</Characters>
  <Application>Microsoft Office Word</Application>
  <DocSecurity>0</DocSecurity>
  <Lines>33</Lines>
  <Paragraphs>9</Paragraphs>
  <ScaleCrop>false</ScaleCrop>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熊熊的</dc:creator>
  <cp:lastModifiedBy>重 郑</cp:lastModifiedBy>
  <cp:revision>277</cp:revision>
  <cp:lastPrinted>2024-06-27T09:51:00Z</cp:lastPrinted>
  <dcterms:created xsi:type="dcterms:W3CDTF">2023-04-21T00:32:00Z</dcterms:created>
  <dcterms:modified xsi:type="dcterms:W3CDTF">2026-08-27T02:59:00Z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F0B04430911A45C8A47D83602FA9C007_13</vt:lpwstr>
  </property>
  <property fmtid="{D5CDD505-2E9C-101B-9397-08002B2CF9AE}" pid="4" name="KSOTemplateDocerSaveRecord">
    <vt:lpwstr>eyJoZGlkIjoiNTE5NThmMWMyNjQ5MWQ4YTE2MjkyZWIzNGZiYmFhMTQiLCJ1c2VySWQiOiI1NjQ5ODc5MTcifQ==</vt:lpwstr>
  </property>
</Properties>
</file>