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A72D1D">
      <w:pPr>
        <w:spacing w:before="156" w:beforeLines="50" w:after="156" w:afterLines="50" w:line="400" w:lineRule="exact"/>
        <w:rPr>
          <w:rFonts w:hint="default" w:ascii="Times New Roman" w:hAnsi="Times New Roman" w:cs="Times New Roman"/>
          <w:bCs/>
          <w:iCs/>
          <w:color w:val="000000"/>
          <w:sz w:val="24"/>
        </w:rPr>
      </w:pPr>
      <w:r>
        <w:rPr>
          <w:rFonts w:hint="default" w:ascii="Times New Roman" w:hAnsi="Times New Roman" w:cs="Times New Roman"/>
          <w:bCs/>
          <w:iCs/>
          <w:color w:val="000000"/>
          <w:sz w:val="24"/>
        </w:rPr>
        <w:t>证券代码：600361                                  证券简称：创新新材</w:t>
      </w:r>
    </w:p>
    <w:p w14:paraId="7E348B87">
      <w:pPr>
        <w:spacing w:before="156" w:beforeLines="50" w:after="156" w:afterLines="50" w:line="400" w:lineRule="exact"/>
        <w:jc w:val="center"/>
        <w:rPr>
          <w:rFonts w:hint="default" w:ascii="Times New Roman" w:hAnsi="Times New Roman" w:cs="Times New Roman"/>
          <w:b/>
          <w:bCs/>
          <w:iCs/>
          <w:color w:val="000000"/>
          <w:sz w:val="32"/>
          <w:szCs w:val="32"/>
        </w:rPr>
      </w:pPr>
      <w:r>
        <w:rPr>
          <w:rFonts w:hint="default" w:ascii="Times New Roman" w:hAnsi="Times New Roman" w:cs="Times New Roman"/>
          <w:b/>
          <w:bCs/>
          <w:iCs/>
          <w:color w:val="000000"/>
          <w:sz w:val="32"/>
          <w:szCs w:val="32"/>
        </w:rPr>
        <w:t>创新新材料科技股份有限公司投资者关系活动记录表</w:t>
      </w:r>
    </w:p>
    <w:p w14:paraId="00FA3BD4">
      <w:pPr>
        <w:spacing w:line="400" w:lineRule="exact"/>
        <w:rPr>
          <w:rFonts w:hint="default" w:ascii="Times New Roman" w:hAnsi="Times New Roman" w:cs="Times New Roman" w:eastAsiaTheme="minorEastAsia"/>
          <w:bCs/>
          <w:iCs/>
          <w:color w:val="000000"/>
          <w:sz w:val="24"/>
          <w:lang w:val="en-US" w:eastAsia="zh-CN"/>
        </w:rPr>
      </w:pPr>
      <w:r>
        <w:rPr>
          <w:rFonts w:hint="default" w:ascii="Times New Roman" w:hAnsi="Times New Roman" w:cs="Times New Roman"/>
          <w:bCs/>
          <w:iCs/>
          <w:color w:val="000000"/>
          <w:sz w:val="24"/>
        </w:rPr>
        <w:t xml:space="preserve">                                                       编号：202</w:t>
      </w:r>
      <w:r>
        <w:rPr>
          <w:rFonts w:hint="default" w:ascii="Times New Roman" w:hAnsi="Times New Roman" w:cs="Times New Roman"/>
          <w:bCs/>
          <w:iCs/>
          <w:color w:val="000000"/>
          <w:sz w:val="24"/>
          <w:lang w:val="en-US" w:eastAsia="zh-CN"/>
        </w:rPr>
        <w:t>6</w:t>
      </w:r>
      <w:r>
        <w:rPr>
          <w:rFonts w:hint="default" w:ascii="Times New Roman" w:hAnsi="Times New Roman" w:cs="Times New Roman"/>
          <w:bCs/>
          <w:iCs/>
          <w:color w:val="000000"/>
          <w:sz w:val="24"/>
        </w:rPr>
        <w:t>-0</w:t>
      </w:r>
      <w:r>
        <w:rPr>
          <w:rFonts w:hint="default" w:ascii="Times New Roman" w:hAnsi="Times New Roman" w:cs="Times New Roman"/>
          <w:bCs/>
          <w:iCs/>
          <w:color w:val="000000"/>
          <w:sz w:val="24"/>
          <w:lang w:val="en-US" w:eastAsia="zh-CN"/>
        </w:rPr>
        <w:t>4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6"/>
        <w:gridCol w:w="6430"/>
      </w:tblGrid>
      <w:tr w14:paraId="3C4A9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E69373">
            <w:pPr>
              <w:spacing w:line="480" w:lineRule="atLeast"/>
              <w:rPr>
                <w:rFonts w:hint="eastAsia" w:ascii="宋体" w:hAnsi="宋体"/>
                <w:bCs/>
                <w:i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t>投资者关系活动类别</w:t>
            </w:r>
          </w:p>
          <w:p w14:paraId="7FDDAFCF">
            <w:pPr>
              <w:spacing w:line="480" w:lineRule="atLeast"/>
              <w:rPr>
                <w:rFonts w:hint="eastAsia" w:ascii="宋体" w:hAnsi="宋体"/>
                <w:bCs/>
                <w:iCs/>
                <w:color w:val="000000"/>
                <w:sz w:val="24"/>
              </w:rPr>
            </w:pPr>
          </w:p>
        </w:tc>
        <w:tc>
          <w:tcPr>
            <w:tcW w:w="6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FEB484">
            <w:pPr>
              <w:spacing w:line="480" w:lineRule="atLeast"/>
              <w:rPr>
                <w:rFonts w:hint="eastAsia" w:ascii="宋体" w:hAnsi="宋体"/>
                <w:bCs/>
                <w:i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t>□</w:t>
            </w:r>
            <w:r>
              <w:rPr>
                <w:rFonts w:hint="eastAsia" w:ascii="宋体" w:hAnsi="宋体"/>
                <w:sz w:val="28"/>
                <w:szCs w:val="28"/>
              </w:rPr>
              <w:t xml:space="preserve">特定对象调研        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t>□</w:t>
            </w:r>
            <w:r>
              <w:rPr>
                <w:rFonts w:hint="eastAsia" w:ascii="宋体" w:hAnsi="宋体"/>
                <w:sz w:val="28"/>
                <w:szCs w:val="28"/>
              </w:rPr>
              <w:t>分析师会议</w:t>
            </w:r>
          </w:p>
          <w:p w14:paraId="292557AA">
            <w:pPr>
              <w:spacing w:line="480" w:lineRule="atLeast"/>
              <w:rPr>
                <w:rFonts w:hint="eastAsia" w:ascii="宋体" w:hAnsi="宋体"/>
                <w:bCs/>
                <w:i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t>□</w:t>
            </w:r>
            <w:r>
              <w:rPr>
                <w:rFonts w:hint="eastAsia" w:ascii="宋体" w:hAnsi="宋体"/>
                <w:sz w:val="28"/>
                <w:szCs w:val="28"/>
              </w:rPr>
              <w:t>媒体采访            √业绩说明会</w:t>
            </w:r>
          </w:p>
          <w:p w14:paraId="29FA061C">
            <w:pPr>
              <w:spacing w:line="480" w:lineRule="atLeast"/>
              <w:rPr>
                <w:rFonts w:hint="eastAsia" w:ascii="宋体" w:hAnsi="宋体"/>
                <w:bCs/>
                <w:i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t>□</w:t>
            </w:r>
            <w:r>
              <w:rPr>
                <w:rFonts w:hint="eastAsia" w:ascii="宋体" w:hAnsi="宋体"/>
                <w:sz w:val="28"/>
                <w:szCs w:val="28"/>
              </w:rPr>
              <w:t xml:space="preserve">新闻发布会          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t>□</w:t>
            </w:r>
            <w:r>
              <w:rPr>
                <w:rFonts w:hint="eastAsia" w:ascii="宋体" w:hAnsi="宋体"/>
                <w:sz w:val="28"/>
                <w:szCs w:val="28"/>
              </w:rPr>
              <w:t>路演活动</w:t>
            </w:r>
          </w:p>
          <w:p w14:paraId="55845AFF">
            <w:pPr>
              <w:tabs>
                <w:tab w:val="left" w:pos="3045"/>
                <w:tab w:val="center" w:pos="3199"/>
              </w:tabs>
              <w:spacing w:line="480" w:lineRule="atLeast"/>
              <w:rPr>
                <w:rFonts w:hint="eastAsia" w:ascii="宋体" w:hAnsi="宋体"/>
                <w:bCs/>
                <w:i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t>□</w:t>
            </w:r>
            <w:r>
              <w:rPr>
                <w:rFonts w:hint="eastAsia" w:ascii="宋体" w:hAnsi="宋体"/>
                <w:sz w:val="28"/>
                <w:szCs w:val="28"/>
              </w:rPr>
              <w:t>现场参观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tab/>
            </w:r>
          </w:p>
        </w:tc>
      </w:tr>
      <w:tr w14:paraId="2AC850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758EEE">
            <w:pPr>
              <w:spacing w:line="480" w:lineRule="atLeast"/>
              <w:rPr>
                <w:rFonts w:hint="eastAsia" w:ascii="宋体" w:hAnsi="宋体"/>
                <w:bCs/>
                <w:i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t>参与单位名称及人员姓名</w:t>
            </w:r>
          </w:p>
        </w:tc>
        <w:tc>
          <w:tcPr>
            <w:tcW w:w="6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F6CF01">
            <w:pPr>
              <w:spacing w:line="480" w:lineRule="atLeast"/>
              <w:rPr>
                <w:rFonts w:hint="eastAsia" w:ascii="宋体" w:hAnsi="宋体"/>
                <w:bCs/>
                <w:i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t>机构投资者（具体参会名单详见附件）</w:t>
            </w:r>
          </w:p>
        </w:tc>
      </w:tr>
      <w:tr w14:paraId="516740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C89F11">
            <w:pPr>
              <w:spacing w:line="480" w:lineRule="atLeast"/>
              <w:rPr>
                <w:rFonts w:hint="eastAsia" w:ascii="宋体" w:hAnsi="宋体"/>
                <w:bCs/>
                <w:i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t>时间</w:t>
            </w:r>
          </w:p>
        </w:tc>
        <w:tc>
          <w:tcPr>
            <w:tcW w:w="6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9FAEBF">
            <w:pPr>
              <w:spacing w:line="480" w:lineRule="atLeast"/>
              <w:rPr>
                <w:rFonts w:hint="eastAsia" w:ascii="宋体" w:hAnsi="宋体"/>
                <w:bCs/>
                <w:iCs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iCs/>
                <w:color w:val="000000"/>
                <w:sz w:val="24"/>
              </w:rPr>
              <w:t>202</w:t>
            </w:r>
            <w:r>
              <w:rPr>
                <w:rFonts w:hint="default" w:ascii="Times New Roman" w:hAnsi="Times New Roman" w:cs="Times New Roman"/>
                <w:bCs/>
                <w:iCs/>
                <w:color w:val="000000"/>
                <w:sz w:val="24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/>
                <w:bCs/>
                <w:iCs/>
                <w:color w:val="000000"/>
                <w:sz w:val="24"/>
              </w:rPr>
              <w:t>年</w:t>
            </w:r>
            <w:r>
              <w:rPr>
                <w:rFonts w:hint="default" w:ascii="Times New Roman" w:hAnsi="Times New Roman" w:cs="Times New Roman"/>
                <w:bCs/>
                <w:iCs/>
                <w:color w:val="000000"/>
                <w:sz w:val="24"/>
                <w:lang w:val="en-US" w:eastAsia="zh-CN"/>
              </w:rPr>
              <w:t>8</w:t>
            </w:r>
            <w:r>
              <w:rPr>
                <w:rFonts w:hint="default" w:ascii="Times New Roman" w:hAnsi="Times New Roman" w:cs="Times New Roman"/>
                <w:bCs/>
                <w:iCs/>
                <w:color w:val="000000"/>
                <w:sz w:val="24"/>
              </w:rPr>
              <w:t>月</w:t>
            </w:r>
            <w:r>
              <w:rPr>
                <w:rFonts w:hint="default" w:ascii="Times New Roman" w:hAnsi="Times New Roman" w:cs="Times New Roman"/>
                <w:bCs/>
                <w:iCs/>
                <w:color w:val="000000"/>
                <w:sz w:val="24"/>
                <w:lang w:val="en-US" w:eastAsia="zh-CN"/>
              </w:rPr>
              <w:t>27</w:t>
            </w:r>
            <w:r>
              <w:rPr>
                <w:rFonts w:hint="default" w:ascii="Times New Roman" w:hAnsi="Times New Roman" w:cs="Times New Roman"/>
                <w:bCs/>
                <w:iCs/>
                <w:color w:val="000000"/>
                <w:sz w:val="24"/>
              </w:rPr>
              <w:t>日 9</w:t>
            </w:r>
            <w:r>
              <w:rPr>
                <w:rFonts w:hint="eastAsia" w:ascii="Times New Roman" w:hAnsi="Times New Roman" w:cs="Times New Roman"/>
                <w:bCs/>
                <w:iCs/>
                <w:color w:val="000000"/>
                <w:sz w:val="24"/>
                <w:lang w:eastAsia="zh-CN"/>
              </w:rPr>
              <w:t>:</w:t>
            </w:r>
            <w:r>
              <w:rPr>
                <w:rFonts w:hint="default" w:ascii="Times New Roman" w:hAnsi="Times New Roman" w:cs="Times New Roman"/>
                <w:bCs/>
                <w:iCs/>
                <w:color w:val="000000"/>
                <w:sz w:val="24"/>
              </w:rPr>
              <w:t>00-10</w:t>
            </w:r>
            <w:r>
              <w:rPr>
                <w:rFonts w:hint="eastAsia" w:ascii="Times New Roman" w:hAnsi="Times New Roman" w:cs="Times New Roman"/>
                <w:bCs/>
                <w:iCs/>
                <w:color w:val="000000"/>
                <w:sz w:val="24"/>
                <w:lang w:eastAsia="zh-CN"/>
              </w:rPr>
              <w:t>:</w:t>
            </w:r>
            <w:r>
              <w:rPr>
                <w:rFonts w:hint="default" w:ascii="Times New Roman" w:hAnsi="Times New Roman" w:cs="Times New Roman"/>
                <w:bCs/>
                <w:iCs/>
                <w:color w:val="000000"/>
                <w:sz w:val="24"/>
              </w:rPr>
              <w:t>00</w:t>
            </w:r>
          </w:p>
        </w:tc>
      </w:tr>
      <w:tr w14:paraId="307DDA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182414">
            <w:pPr>
              <w:spacing w:line="480" w:lineRule="atLeast"/>
              <w:rPr>
                <w:rFonts w:hint="eastAsia" w:ascii="宋体" w:hAnsi="宋体"/>
                <w:bCs/>
                <w:i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t>地点</w:t>
            </w:r>
          </w:p>
        </w:tc>
        <w:tc>
          <w:tcPr>
            <w:tcW w:w="6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8B13EF">
            <w:pPr>
              <w:spacing w:line="480" w:lineRule="atLeast"/>
              <w:rPr>
                <w:rFonts w:hint="eastAsia" w:ascii="宋体" w:hAnsi="宋体"/>
                <w:bCs/>
                <w:i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t>电话会议</w:t>
            </w:r>
          </w:p>
        </w:tc>
      </w:tr>
      <w:tr w14:paraId="226FF6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BEE5B4">
            <w:pPr>
              <w:spacing w:line="480" w:lineRule="atLeast"/>
              <w:rPr>
                <w:rFonts w:hint="eastAsia" w:ascii="宋体" w:hAnsi="宋体"/>
                <w:bCs/>
                <w:i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t>上市公司接待人员姓名</w:t>
            </w:r>
          </w:p>
        </w:tc>
        <w:tc>
          <w:tcPr>
            <w:tcW w:w="6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590D95">
            <w:pPr>
              <w:spacing w:line="480" w:lineRule="atLeast"/>
              <w:rPr>
                <w:rFonts w:hint="eastAsia" w:ascii="宋体" w:hAnsi="宋体"/>
                <w:bCs/>
                <w:iCs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t>副总经理、董事会秘书：王科芳女士</w:t>
            </w:r>
            <w:r>
              <w:rPr>
                <w:rFonts w:hint="eastAsia" w:ascii="宋体" w:hAnsi="宋体"/>
                <w:bCs/>
                <w:iCs/>
                <w:color w:val="000000"/>
                <w:sz w:val="24"/>
                <w:lang w:eastAsia="zh-CN"/>
              </w:rPr>
              <w:t>；</w:t>
            </w:r>
          </w:p>
          <w:p w14:paraId="12694614">
            <w:pPr>
              <w:spacing w:line="480" w:lineRule="atLeast"/>
              <w:rPr>
                <w:rFonts w:hint="default" w:ascii="宋体" w:hAnsi="宋体"/>
                <w:bCs/>
                <w:iCs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Cs/>
                <w:iCs/>
                <w:color w:val="000000"/>
                <w:sz w:val="24"/>
                <w:lang w:val="en-US" w:eastAsia="zh-CN"/>
              </w:rPr>
              <w:t>财务部负责人：刘文超女士</w:t>
            </w:r>
          </w:p>
        </w:tc>
      </w:tr>
      <w:tr w14:paraId="173365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3D3EBF">
            <w:pPr>
              <w:spacing w:line="480" w:lineRule="atLeast"/>
              <w:rPr>
                <w:rFonts w:hint="eastAsia" w:ascii="宋体" w:hAnsi="宋体"/>
                <w:bCs/>
                <w:i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t>投资者关系活动主要内容介绍</w:t>
            </w:r>
          </w:p>
          <w:p w14:paraId="413042B8">
            <w:pPr>
              <w:spacing w:line="480" w:lineRule="atLeast"/>
              <w:rPr>
                <w:rFonts w:hint="eastAsia" w:ascii="宋体" w:hAnsi="宋体"/>
                <w:bCs/>
                <w:iCs/>
                <w:color w:val="000000"/>
                <w:sz w:val="24"/>
              </w:rPr>
            </w:pPr>
          </w:p>
        </w:tc>
        <w:tc>
          <w:tcPr>
            <w:tcW w:w="6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12DAC8">
            <w:pPr>
              <w:spacing w:line="480" w:lineRule="atLeast"/>
              <w:ind w:firstLine="482" w:firstLineChars="200"/>
              <w:rPr>
                <w:rFonts w:hint="default" w:ascii="Times New Roman" w:hAnsi="Times New Roman" w:cs="Times New Roman"/>
                <w:b/>
                <w:iCs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iCs/>
                <w:color w:val="000000"/>
                <w:sz w:val="24"/>
              </w:rPr>
              <w:t>一、交流问答</w:t>
            </w:r>
          </w:p>
          <w:p w14:paraId="5A26B5C9">
            <w:pPr>
              <w:spacing w:line="480" w:lineRule="atLeast"/>
              <w:ind w:firstLine="482" w:firstLineChars="200"/>
              <w:rPr>
                <w:rFonts w:hint="default" w:ascii="Times New Roman" w:hAnsi="Times New Roman" w:cs="Times New Roman"/>
                <w:b/>
                <w:iCs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iCs/>
                <w:color w:val="000000"/>
                <w:sz w:val="24"/>
              </w:rPr>
              <w:t>Q1、</w:t>
            </w:r>
            <w:r>
              <w:rPr>
                <w:rFonts w:hint="default" w:ascii="Times New Roman" w:hAnsi="Times New Roman" w:cs="Times New Roman"/>
                <w:b/>
                <w:iCs/>
                <w:color w:val="000000"/>
                <w:sz w:val="24"/>
                <w:lang w:val="en-US" w:eastAsia="zh-CN"/>
              </w:rPr>
              <w:t>请问公司2026 年半年度利润及经营现金流实现增长的主要原因</w:t>
            </w:r>
            <w:r>
              <w:rPr>
                <w:rFonts w:hint="default" w:ascii="Times New Roman" w:hAnsi="Times New Roman" w:cs="Times New Roman"/>
                <w:b/>
                <w:iCs/>
                <w:color w:val="000000"/>
                <w:sz w:val="24"/>
              </w:rPr>
              <w:t>？</w:t>
            </w:r>
          </w:p>
          <w:p w14:paraId="265BE0CE">
            <w:pPr>
              <w:spacing w:line="480" w:lineRule="atLeast"/>
              <w:ind w:firstLine="480" w:firstLineChars="200"/>
              <w:rPr>
                <w:rFonts w:hint="default" w:ascii="Times New Roman" w:hAnsi="Times New Roman" w:cs="Times New Roman"/>
                <w:bCs/>
                <w:iCs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iCs/>
                <w:color w:val="000000"/>
                <w:sz w:val="24"/>
              </w:rPr>
              <w:t>A：尊敬的投资者您好，2026年上半年，公司归母净利润3.96亿元，同比增长11.67%，主要原因</w:t>
            </w:r>
            <w:r>
              <w:rPr>
                <w:rFonts w:hint="default" w:ascii="Times New Roman" w:hAnsi="Times New Roman" w:cs="Times New Roman"/>
                <w:bCs/>
                <w:iCs/>
                <w:color w:val="000000"/>
                <w:sz w:val="24"/>
                <w:lang w:val="en-US" w:eastAsia="zh-CN"/>
              </w:rPr>
              <w:t>是：</w:t>
            </w:r>
            <w:r>
              <w:rPr>
                <w:rFonts w:hint="default" w:ascii="Times New Roman" w:hAnsi="Times New Roman" w:cs="Times New Roman"/>
                <w:bCs/>
                <w:iCs/>
                <w:color w:val="000000"/>
                <w:sz w:val="24"/>
              </w:rPr>
              <w:t>公司紧扣“高端化”的战略方向，主动推进产品结构调整，主要产品的毛利增加，因此归母净利润增加。</w:t>
            </w:r>
          </w:p>
          <w:p w14:paraId="65410496">
            <w:pPr>
              <w:spacing w:line="480" w:lineRule="atLeast"/>
              <w:ind w:firstLine="480" w:firstLineChars="200"/>
              <w:rPr>
                <w:rFonts w:hint="default" w:ascii="Times New Roman" w:hAnsi="Times New Roman" w:cs="Times New Roman"/>
                <w:bCs/>
                <w:iCs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iCs/>
                <w:color w:val="000000"/>
                <w:sz w:val="24"/>
              </w:rPr>
              <w:t>经营活动产生的现金流量净额9.15亿元，同比增长163.36%，主要原因是：报告期内，公司加强经营管理，比去年同期减少存货的同时加大回款，对应收账款、应付账款等进行精细化管理及优化。</w:t>
            </w:r>
            <w:r>
              <w:rPr>
                <w:rFonts w:hint="eastAsia" w:ascii="Times New Roman" w:hAnsi="Times New Roman" w:cs="Times New Roman"/>
                <w:bCs/>
                <w:iCs/>
                <w:color w:val="000000"/>
                <w:sz w:val="24"/>
                <w:lang w:val="en-US" w:eastAsia="zh-CN"/>
              </w:rPr>
              <w:t>谢谢</w:t>
            </w:r>
            <w:r>
              <w:rPr>
                <w:rFonts w:hint="default" w:ascii="Times New Roman" w:hAnsi="Times New Roman" w:cs="Times New Roman"/>
                <w:bCs/>
                <w:iCs/>
                <w:color w:val="000000"/>
                <w:sz w:val="24"/>
              </w:rPr>
              <w:t>！</w:t>
            </w:r>
          </w:p>
          <w:p w14:paraId="7B6C6D20">
            <w:pPr>
              <w:spacing w:line="480" w:lineRule="atLeast"/>
              <w:ind w:firstLine="482" w:firstLineChars="200"/>
              <w:rPr>
                <w:rFonts w:hint="default" w:ascii="Times New Roman" w:hAnsi="Times New Roman" w:cs="Times New Roman"/>
                <w:b/>
                <w:iCs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iCs/>
                <w:color w:val="000000"/>
                <w:sz w:val="24"/>
              </w:rPr>
              <w:t>Q2、</w:t>
            </w:r>
            <w:r>
              <w:rPr>
                <w:rFonts w:hint="default" w:ascii="Times New Roman" w:hAnsi="Times New Roman" w:cs="Times New Roman"/>
                <w:b/>
                <w:iCs/>
                <w:color w:val="000000"/>
                <w:sz w:val="24"/>
                <w:lang w:val="en-US" w:eastAsia="zh-CN"/>
              </w:rPr>
              <w:t>沙特项目的最新进展如何</w:t>
            </w:r>
            <w:r>
              <w:rPr>
                <w:rFonts w:hint="default" w:ascii="Times New Roman" w:hAnsi="Times New Roman" w:cs="Times New Roman"/>
                <w:b/>
                <w:iCs/>
                <w:color w:val="000000"/>
                <w:sz w:val="24"/>
              </w:rPr>
              <w:t>？</w:t>
            </w:r>
          </w:p>
          <w:p w14:paraId="54F5EE82">
            <w:pPr>
              <w:spacing w:line="480" w:lineRule="atLeast"/>
              <w:ind w:firstLine="480" w:firstLineChars="200"/>
              <w:rPr>
                <w:rFonts w:hint="default" w:ascii="Times New Roman" w:hAnsi="Times New Roman" w:cs="Times New Roman"/>
                <w:bCs/>
                <w:iCs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iCs/>
                <w:color w:val="000000"/>
                <w:sz w:val="24"/>
              </w:rPr>
              <w:t>A：尊敬的投资者您好，截至2026年6月底，“沙特红海铝产业链综合项目”在取得合规审批的基础上，现场已全面展开施工作业，各项工程已陆续开工建设，项目建设进度整体按计划稳步推进，为2027年的全面投产奠定了坚实基础。</w:t>
            </w:r>
            <w:r>
              <w:rPr>
                <w:rFonts w:hint="eastAsia" w:ascii="Times New Roman" w:hAnsi="Times New Roman" w:cs="Times New Roman"/>
                <w:bCs/>
                <w:iCs/>
                <w:color w:val="000000"/>
                <w:sz w:val="24"/>
                <w:lang w:val="en-US" w:eastAsia="zh-CN"/>
              </w:rPr>
              <w:t>谢谢</w:t>
            </w:r>
            <w:r>
              <w:rPr>
                <w:rFonts w:hint="default" w:ascii="Times New Roman" w:hAnsi="Times New Roman" w:cs="Times New Roman"/>
                <w:bCs/>
                <w:iCs/>
                <w:color w:val="000000"/>
                <w:sz w:val="24"/>
              </w:rPr>
              <w:t>！</w:t>
            </w:r>
          </w:p>
          <w:p w14:paraId="082FB966">
            <w:pPr>
              <w:spacing w:line="480" w:lineRule="atLeast"/>
              <w:ind w:firstLine="482" w:firstLineChars="200"/>
              <w:rPr>
                <w:rFonts w:hint="default" w:ascii="Times New Roman" w:hAnsi="Times New Roman" w:cs="Times New Roman"/>
                <w:b/>
                <w:iCs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iCs/>
                <w:color w:val="000000"/>
                <w:sz w:val="24"/>
              </w:rPr>
              <w:t>Q3</w:t>
            </w:r>
            <w:r>
              <w:rPr>
                <w:rFonts w:hint="eastAsia" w:ascii="Times New Roman" w:hAnsi="Times New Roman" w:cs="Times New Roman"/>
                <w:b/>
                <w:iCs/>
                <w:color w:val="000000"/>
                <w:sz w:val="24"/>
                <w:lang w:eastAsia="zh-CN"/>
              </w:rPr>
              <w:t>、</w:t>
            </w:r>
            <w:r>
              <w:rPr>
                <w:rFonts w:hint="default" w:ascii="Times New Roman" w:hAnsi="Times New Roman" w:cs="Times New Roman"/>
                <w:b/>
                <w:iCs/>
                <w:color w:val="000000"/>
                <w:sz w:val="24"/>
                <w:lang w:val="en-US" w:eastAsia="zh-CN"/>
              </w:rPr>
              <w:t>公司在新业务拓展方面有哪些布局，AI 服务器业务和机器人结构件业务具体开展了哪些</w:t>
            </w:r>
            <w:r>
              <w:rPr>
                <w:rFonts w:hint="default" w:ascii="Times New Roman" w:hAnsi="Times New Roman" w:cs="Times New Roman"/>
                <w:b/>
                <w:iCs/>
                <w:color w:val="000000"/>
                <w:sz w:val="24"/>
              </w:rPr>
              <w:t>？</w:t>
            </w:r>
          </w:p>
          <w:p w14:paraId="008A12D2">
            <w:pPr>
              <w:spacing w:line="480" w:lineRule="atLeast"/>
              <w:ind w:firstLine="480" w:firstLineChars="200"/>
              <w:rPr>
                <w:rFonts w:hint="default" w:ascii="Times New Roman" w:hAnsi="Times New Roman" w:cs="Times New Roman"/>
                <w:bCs/>
                <w:iCs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iCs/>
                <w:color w:val="000000"/>
                <w:sz w:val="24"/>
              </w:rPr>
              <w:t>A：尊敬的投资者您好，</w:t>
            </w:r>
            <w:r>
              <w:rPr>
                <w:rFonts w:hint="eastAsia" w:ascii="Times New Roman" w:hAnsi="Times New Roman" w:cs="Times New Roman"/>
                <w:bCs/>
                <w:iCs/>
                <w:color w:val="000000"/>
                <w:sz w:val="24"/>
                <w:lang w:val="en-US" w:eastAsia="zh-CN"/>
              </w:rPr>
              <w:t>在新业务拓展方面，</w:t>
            </w:r>
            <w:r>
              <w:rPr>
                <w:rFonts w:hint="default" w:ascii="Times New Roman" w:hAnsi="Times New Roman" w:cs="Times New Roman"/>
                <w:bCs/>
                <w:iCs/>
                <w:color w:val="000000"/>
                <w:sz w:val="24"/>
              </w:rPr>
              <w:t>报告期内公司逐步布局AI智能机架、机器人结构件等业务，向高端领域进一步延伸，加大新业务的研发及客户合作，积极培育、拓展新的业务增长点。</w:t>
            </w:r>
          </w:p>
          <w:p w14:paraId="37CE80A2">
            <w:pPr>
              <w:spacing w:line="480" w:lineRule="atLeast"/>
              <w:ind w:firstLine="480" w:firstLineChars="200"/>
              <w:rPr>
                <w:rFonts w:hint="default" w:ascii="Times New Roman" w:hAnsi="Times New Roman" w:cs="Times New Roman"/>
                <w:bCs/>
                <w:iCs/>
                <w:color w:val="000000"/>
                <w:sz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bCs/>
                <w:iCs/>
                <w:color w:val="000000"/>
                <w:sz w:val="24"/>
              </w:rPr>
              <w:t>自2025年起，公司开始研发生产液冷机架用铝合金型材，经下游加工后，应用于知名AI企业的智能机架中</w:t>
            </w:r>
            <w:r>
              <w:rPr>
                <w:rFonts w:hint="default" w:ascii="Times New Roman" w:hAnsi="Times New Roman" w:cs="Times New Roman"/>
                <w:bCs/>
                <w:iCs/>
                <w:color w:val="000000"/>
                <w:sz w:val="24"/>
                <w:lang w:eastAsia="zh-CN"/>
              </w:rPr>
              <w:t>。</w:t>
            </w:r>
          </w:p>
          <w:p w14:paraId="618EF239">
            <w:pPr>
              <w:spacing w:line="480" w:lineRule="atLeast"/>
              <w:ind w:firstLine="480" w:firstLineChars="200"/>
              <w:rPr>
                <w:rFonts w:hint="default" w:ascii="Times New Roman" w:hAnsi="Times New Roman" w:cs="Times New Roman"/>
                <w:bCs/>
                <w:iCs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iCs/>
                <w:color w:val="000000"/>
                <w:sz w:val="24"/>
              </w:rPr>
              <w:t>机器人结构件包括机器人本体外壳、灵巧手指尖结构件、电机壳、电机轴、精密法兰、内骨骼等结构件，专注高精密机械零部件加工，核心服务人形机器人、协作机器人、无人机、精密制造等多领域客户。围绕高精密机械零部件加工建立清晰的生产组织与质量管控场景，支撑客户从样件验证到小批量、批量交付的连续需求。</w:t>
            </w:r>
            <w:r>
              <w:rPr>
                <w:rFonts w:hint="eastAsia" w:ascii="Times New Roman" w:hAnsi="Times New Roman" w:cs="Times New Roman"/>
                <w:bCs/>
                <w:iCs/>
                <w:color w:val="000000"/>
                <w:sz w:val="24"/>
                <w:lang w:val="en-US" w:eastAsia="zh-CN"/>
              </w:rPr>
              <w:t>谢谢</w:t>
            </w:r>
            <w:r>
              <w:rPr>
                <w:rFonts w:hint="default" w:ascii="Times New Roman" w:hAnsi="Times New Roman" w:cs="Times New Roman"/>
                <w:bCs/>
                <w:iCs/>
                <w:color w:val="000000"/>
                <w:sz w:val="24"/>
              </w:rPr>
              <w:t>！</w:t>
            </w:r>
          </w:p>
          <w:p w14:paraId="43EF70CA">
            <w:pPr>
              <w:spacing w:line="480" w:lineRule="atLeast"/>
              <w:ind w:firstLine="482" w:firstLineChars="200"/>
              <w:rPr>
                <w:rFonts w:hint="default" w:ascii="Times New Roman" w:hAnsi="Times New Roman" w:cs="Times New Roman"/>
                <w:b/>
                <w:iCs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iCs/>
                <w:color w:val="000000"/>
                <w:sz w:val="24"/>
              </w:rPr>
              <w:t>Q4</w:t>
            </w:r>
            <w:r>
              <w:rPr>
                <w:rFonts w:hint="eastAsia" w:ascii="Times New Roman" w:hAnsi="Times New Roman" w:cs="Times New Roman"/>
                <w:b/>
                <w:iCs/>
                <w:color w:val="000000"/>
                <w:sz w:val="24"/>
                <w:lang w:eastAsia="zh-CN"/>
              </w:rPr>
              <w:t>、</w:t>
            </w:r>
            <w:r>
              <w:rPr>
                <w:rFonts w:hint="default" w:ascii="Times New Roman" w:hAnsi="Times New Roman" w:cs="Times New Roman"/>
                <w:b/>
                <w:iCs/>
                <w:color w:val="000000"/>
                <w:sz w:val="24"/>
                <w:lang w:val="en-US" w:eastAsia="zh-CN"/>
              </w:rPr>
              <w:t>报告期内公司出口业务整体情况如何</w:t>
            </w:r>
            <w:r>
              <w:rPr>
                <w:rFonts w:hint="default" w:ascii="Times New Roman" w:hAnsi="Times New Roman" w:cs="Times New Roman"/>
                <w:b/>
                <w:iCs/>
                <w:color w:val="000000"/>
                <w:sz w:val="24"/>
              </w:rPr>
              <w:t>？</w:t>
            </w:r>
          </w:p>
          <w:p w14:paraId="39035F12">
            <w:pPr>
              <w:spacing w:line="480" w:lineRule="atLeast"/>
              <w:ind w:firstLine="480" w:firstLineChars="200"/>
              <w:rPr>
                <w:rFonts w:hint="default" w:ascii="Times New Roman" w:hAnsi="Times New Roman" w:cs="Times New Roman"/>
                <w:bCs/>
                <w:iCs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iCs/>
                <w:color w:val="000000"/>
                <w:sz w:val="24"/>
              </w:rPr>
              <w:t>A：尊敬的投资者您好，受海外铝供应短缺和内外价差驱动，今年上半年，铝产品海外需求不断增加</w:t>
            </w:r>
            <w:r>
              <w:rPr>
                <w:rFonts w:hint="eastAsia" w:ascii="Times New Roman" w:hAnsi="Times New Roman" w:cs="Times New Roman"/>
                <w:bCs/>
                <w:iCs/>
                <w:color w:val="000000"/>
                <w:sz w:val="24"/>
                <w:lang w:eastAsia="zh-CN"/>
              </w:rPr>
              <w:t>，</w:t>
            </w:r>
            <w:r>
              <w:rPr>
                <w:rFonts w:hint="default" w:ascii="Times New Roman" w:hAnsi="Times New Roman" w:cs="Times New Roman"/>
                <w:bCs/>
                <w:iCs/>
                <w:color w:val="000000"/>
                <w:sz w:val="24"/>
              </w:rPr>
              <w:t>公司积极把握海外市场机遇，不断开拓海外市场，产品出口量显著提升。今年上半年，公司出口数量4.62万吨，同比增长96.9%；出口金额8.72亿元，同比增长32.4%。</w:t>
            </w:r>
            <w:r>
              <w:rPr>
                <w:rFonts w:hint="eastAsia" w:ascii="Times New Roman" w:hAnsi="Times New Roman" w:cs="Times New Roman"/>
                <w:bCs/>
                <w:iCs/>
                <w:color w:val="000000"/>
                <w:sz w:val="24"/>
                <w:lang w:val="en-US" w:eastAsia="zh-CN"/>
              </w:rPr>
              <w:t>谢谢</w:t>
            </w:r>
            <w:r>
              <w:rPr>
                <w:rFonts w:hint="default" w:ascii="Times New Roman" w:hAnsi="Times New Roman" w:cs="Times New Roman"/>
                <w:bCs/>
                <w:iCs/>
                <w:color w:val="000000"/>
                <w:sz w:val="24"/>
              </w:rPr>
              <w:t>！</w:t>
            </w:r>
          </w:p>
          <w:p w14:paraId="1536D5F0">
            <w:pPr>
              <w:spacing w:line="480" w:lineRule="atLeast"/>
              <w:ind w:firstLine="482" w:firstLineChars="200"/>
              <w:rPr>
                <w:rFonts w:hint="default" w:ascii="Times New Roman" w:hAnsi="Times New Roman" w:cs="Times New Roman"/>
                <w:b/>
                <w:iCs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iCs/>
                <w:color w:val="000000"/>
                <w:sz w:val="24"/>
              </w:rPr>
              <w:t>Q</w:t>
            </w:r>
            <w:r>
              <w:rPr>
                <w:rFonts w:hint="default" w:ascii="Times New Roman" w:hAnsi="Times New Roman" w:cs="Times New Roman"/>
                <w:b/>
                <w:iCs/>
                <w:color w:val="000000"/>
                <w:sz w:val="24"/>
                <w:lang w:val="en-US" w:eastAsia="zh-CN"/>
              </w:rPr>
              <w:t>5</w:t>
            </w:r>
            <w:r>
              <w:rPr>
                <w:rFonts w:hint="eastAsia" w:ascii="Times New Roman" w:hAnsi="Times New Roman" w:cs="Times New Roman"/>
                <w:b/>
                <w:iCs/>
                <w:color w:val="000000"/>
                <w:sz w:val="24"/>
                <w:lang w:eastAsia="zh-CN"/>
              </w:rPr>
              <w:t>、</w:t>
            </w:r>
            <w:r>
              <w:rPr>
                <w:rFonts w:hint="default" w:ascii="Times New Roman" w:hAnsi="Times New Roman" w:cs="Times New Roman"/>
                <w:b/>
                <w:iCs/>
                <w:color w:val="000000"/>
                <w:sz w:val="24"/>
                <w:lang w:val="en-US" w:eastAsia="zh-CN"/>
              </w:rPr>
              <w:t>公司再生铝业务发展现状怎样，在 ESG 建设方面取得了哪些进展</w:t>
            </w:r>
            <w:r>
              <w:rPr>
                <w:rFonts w:hint="default" w:ascii="Times New Roman" w:hAnsi="Times New Roman" w:cs="Times New Roman"/>
                <w:b/>
                <w:iCs/>
                <w:color w:val="000000"/>
                <w:sz w:val="24"/>
              </w:rPr>
              <w:t>？</w:t>
            </w:r>
          </w:p>
          <w:p w14:paraId="37B9B904">
            <w:pPr>
              <w:spacing w:line="480" w:lineRule="atLeast"/>
              <w:ind w:firstLine="480" w:firstLineChars="200"/>
              <w:rPr>
                <w:rFonts w:hint="default" w:ascii="Times New Roman" w:hAnsi="Times New Roman" w:cs="Times New Roman"/>
                <w:bCs/>
                <w:iCs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iCs/>
                <w:color w:val="000000"/>
                <w:sz w:val="24"/>
              </w:rPr>
              <w:t>A：尊敬的投资者您好，2026年上半年，公司综合循环利用再生铝59.3万吨，其中：公司回收再生铝31.18万吨，使用自有产线回用铝28.12万吨，为行业领先水平。公司自2022年开始引进14条智能化进口再生铝回收处理生产线，共布局9个再生铝项目，远期规划再生铝产能超200万吨，截至报告期末，6个再生铝项目已投产，年产能达170万吨。</w:t>
            </w:r>
          </w:p>
          <w:p w14:paraId="65FCAAD1">
            <w:pPr>
              <w:spacing w:line="480" w:lineRule="atLeast"/>
              <w:ind w:firstLine="480" w:firstLineChars="200"/>
              <w:rPr>
                <w:rFonts w:hint="default" w:ascii="Times New Roman" w:hAnsi="Times New Roman" w:cs="Times New Roman"/>
                <w:bCs/>
                <w:iCs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iCs/>
                <w:color w:val="000000"/>
                <w:sz w:val="24"/>
              </w:rPr>
              <w:t>2026年7月，公司获第四届证券之星ESG新标杆企业奖、华证ESG“2026年A股上市公司环境维度最佳实践企业TOP50”荣誉称号。2026年8月，公司Wind</w:t>
            </w:r>
            <w:r>
              <w:rPr>
                <w:rFonts w:hint="eastAsia" w:ascii="Times New Roman" w:hAnsi="Times New Roman" w:cs="Times New Roman"/>
                <w:bCs/>
                <w:iCs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Cs/>
                <w:iCs/>
                <w:color w:val="000000"/>
                <w:sz w:val="24"/>
              </w:rPr>
              <w:t>ESG评级在2025年AA级的基础上进一步提升，已达到Wind</w:t>
            </w:r>
            <w:r>
              <w:rPr>
                <w:rFonts w:hint="eastAsia" w:ascii="Times New Roman" w:hAnsi="Times New Roman" w:cs="Times New Roman"/>
                <w:bCs/>
                <w:iCs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Cs/>
                <w:iCs/>
                <w:color w:val="000000"/>
                <w:sz w:val="24"/>
              </w:rPr>
              <w:t>ESG最高级别AAA。</w:t>
            </w:r>
            <w:r>
              <w:rPr>
                <w:rFonts w:hint="eastAsia" w:ascii="Times New Roman" w:hAnsi="Times New Roman" w:cs="Times New Roman"/>
                <w:bCs/>
                <w:iCs/>
                <w:color w:val="000000"/>
                <w:sz w:val="24"/>
                <w:lang w:val="en-US" w:eastAsia="zh-CN"/>
              </w:rPr>
              <w:t>谢谢</w:t>
            </w:r>
            <w:r>
              <w:rPr>
                <w:rFonts w:hint="default" w:ascii="Times New Roman" w:hAnsi="Times New Roman" w:cs="Times New Roman"/>
                <w:bCs/>
                <w:iCs/>
                <w:color w:val="000000"/>
                <w:sz w:val="24"/>
              </w:rPr>
              <w:t>！</w:t>
            </w:r>
          </w:p>
          <w:p w14:paraId="3A3FB4E8">
            <w:pPr>
              <w:spacing w:line="480" w:lineRule="atLeast"/>
              <w:ind w:firstLine="482" w:firstLineChars="200"/>
              <w:rPr>
                <w:rFonts w:hint="default" w:ascii="Times New Roman" w:hAnsi="Times New Roman" w:cs="Times New Roman"/>
                <w:b/>
                <w:bCs w:val="0"/>
                <w:iCs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iCs/>
                <w:color w:val="000000"/>
                <w:sz w:val="24"/>
              </w:rPr>
              <w:t>Q</w:t>
            </w:r>
            <w:r>
              <w:rPr>
                <w:rFonts w:hint="default" w:ascii="Times New Roman" w:hAnsi="Times New Roman" w:cs="Times New Roman"/>
                <w:b/>
                <w:iCs/>
                <w:color w:val="000000"/>
                <w:sz w:val="24"/>
                <w:lang w:val="en-US" w:eastAsia="zh-CN"/>
              </w:rPr>
              <w:t>6</w:t>
            </w:r>
            <w:r>
              <w:rPr>
                <w:rFonts w:hint="eastAsia" w:ascii="Times New Roman" w:hAnsi="Times New Roman" w:cs="Times New Roman"/>
                <w:b/>
                <w:iCs/>
                <w:color w:val="000000"/>
                <w:sz w:val="24"/>
                <w:lang w:eastAsia="zh-CN"/>
              </w:rPr>
              <w:t>、</w:t>
            </w:r>
            <w:r>
              <w:rPr>
                <w:rFonts w:hint="default" w:ascii="Times New Roman" w:hAnsi="Times New Roman" w:cs="Times New Roman"/>
                <w:b/>
                <w:bCs w:val="0"/>
                <w:iCs/>
                <w:color w:val="000000"/>
                <w:sz w:val="24"/>
              </w:rPr>
              <w:t>公司未来分红政策如何规划，第二期股份回购计划目前推进情况如何</w:t>
            </w:r>
            <w:r>
              <w:rPr>
                <w:rFonts w:hint="eastAsia" w:ascii="Times New Roman" w:hAnsi="Times New Roman" w:cs="Times New Roman"/>
                <w:b/>
                <w:bCs w:val="0"/>
                <w:iCs/>
                <w:color w:val="000000"/>
                <w:sz w:val="24"/>
                <w:lang w:eastAsia="zh-CN"/>
              </w:rPr>
              <w:t>？</w:t>
            </w:r>
          </w:p>
          <w:p w14:paraId="613A6B7E">
            <w:pPr>
              <w:spacing w:line="480" w:lineRule="atLeast"/>
              <w:ind w:firstLine="480" w:firstLineChars="200"/>
              <w:rPr>
                <w:rFonts w:hint="default" w:ascii="Times New Roman" w:hAnsi="Times New Roman" w:cs="Times New Roman"/>
                <w:bCs/>
                <w:iCs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Cs/>
                <w:iCs/>
                <w:color w:val="000000"/>
                <w:sz w:val="24"/>
                <w:lang w:val="en-US" w:eastAsia="zh-CN"/>
              </w:rPr>
              <w:t>A：尊敬的投资者您好，</w:t>
            </w:r>
            <w:r>
              <w:rPr>
                <w:rFonts w:hint="default" w:ascii="Times New Roman" w:hAnsi="Times New Roman" w:cs="Times New Roman" w:eastAsiaTheme="minorEastAsia"/>
                <w:bCs/>
                <w:iCs/>
                <w:color w:val="000000"/>
                <w:kern w:val="2"/>
                <w:sz w:val="24"/>
                <w:szCs w:val="22"/>
                <w:lang w:val="en-US" w:eastAsia="zh-CN" w:bidi="ar-SA"/>
              </w:rPr>
              <w:t>公司自2022年重组上市以来，始终高度重视对投资者的回报，坚持并践行稳健、可持续的股东回报措施。2026年6月完成2025年度权益分派实施，派发现金红利3.28亿元，分红比例50.02%。2022-2025年度，公司累计实施分红12.24亿元，分红比例从22.06%逐年提升至50.02%</w:t>
            </w:r>
            <w:r>
              <w:rPr>
                <w:rFonts w:hint="default" w:ascii="Times New Roman" w:hAnsi="Times New Roman" w:cs="Times New Roman"/>
                <w:bCs/>
                <w:iCs/>
                <w:color w:val="000000"/>
                <w:kern w:val="2"/>
                <w:sz w:val="24"/>
                <w:szCs w:val="22"/>
                <w:lang w:val="en-US" w:eastAsia="zh-CN" w:bidi="ar-SA"/>
              </w:rPr>
              <w:t>。</w:t>
            </w:r>
          </w:p>
          <w:p w14:paraId="23FE83CA">
            <w:pPr>
              <w:spacing w:line="480" w:lineRule="atLeast"/>
              <w:ind w:firstLine="480" w:firstLineChars="200"/>
              <w:rPr>
                <w:rFonts w:hint="default" w:ascii="Times New Roman" w:hAnsi="Times New Roman" w:cs="Times New Roman"/>
                <w:bCs/>
                <w:iCs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Cs/>
                <w:iCs/>
                <w:color w:val="000000"/>
                <w:kern w:val="2"/>
                <w:sz w:val="24"/>
                <w:szCs w:val="22"/>
                <w:lang w:val="en-US" w:eastAsia="zh-CN" w:bidi="ar-SA"/>
              </w:rPr>
              <w:t>在持续优化分红政策的同时，</w:t>
            </w:r>
            <w:r>
              <w:rPr>
                <w:rFonts w:hint="default" w:ascii="Times New Roman" w:hAnsi="Times New Roman" w:cs="Times New Roman"/>
                <w:bCs/>
                <w:iCs/>
                <w:color w:val="000000"/>
                <w:sz w:val="24"/>
                <w:lang w:val="en-US" w:eastAsia="zh-CN"/>
              </w:rPr>
              <w:t>公司基于对未来持续稳定发展的信心和对长期价值的认可，积极实施股份回购计划。2026年5月，公司股东会审议通过第二期股份回购计划，拟使用1亿元-2亿元的资金以集中竞价交易方式回购股份，并用于减少注册资本。截至2026年7月底，公司通过集中竞价交易方式累计回购股份2,530.15万股，成交总金额为人民币8,996.89万元。</w:t>
            </w:r>
          </w:p>
          <w:p w14:paraId="3A482F6A">
            <w:pPr>
              <w:spacing w:line="480" w:lineRule="atLeast"/>
              <w:ind w:firstLine="480" w:firstLineChars="200"/>
              <w:rPr>
                <w:rFonts w:hint="default" w:ascii="Times New Roman" w:hAnsi="Times New Roman" w:cs="Times New Roman"/>
                <w:b/>
                <w:bCs w:val="0"/>
                <w:iCs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iCs/>
                <w:color w:val="000000"/>
                <w:sz w:val="24"/>
                <w:lang w:val="en-US" w:eastAsia="zh-CN"/>
              </w:rPr>
              <w:t>未来，公司将继续在保障正常经营和可持续发展的前提下，进一步完善投资者回报机制，为股东创造长期稳定的投资价值。</w:t>
            </w:r>
            <w:r>
              <w:rPr>
                <w:rFonts w:hint="eastAsia" w:ascii="Times New Roman" w:hAnsi="Times New Roman" w:cs="Times New Roman"/>
                <w:bCs/>
                <w:iCs/>
                <w:color w:val="000000"/>
                <w:sz w:val="24"/>
                <w:lang w:val="en-US" w:eastAsia="zh-CN"/>
              </w:rPr>
              <w:t>谢谢</w:t>
            </w:r>
            <w:r>
              <w:rPr>
                <w:rFonts w:hint="default" w:ascii="Times New Roman" w:hAnsi="Times New Roman" w:cs="Times New Roman"/>
                <w:bCs/>
                <w:iCs/>
                <w:color w:val="000000"/>
                <w:sz w:val="24"/>
                <w:lang w:val="en-US" w:eastAsia="zh-CN"/>
              </w:rPr>
              <w:t>！</w:t>
            </w:r>
          </w:p>
        </w:tc>
      </w:tr>
      <w:tr w14:paraId="31DC28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CD60D9">
            <w:pPr>
              <w:spacing w:line="480" w:lineRule="atLeast"/>
              <w:rPr>
                <w:rFonts w:hint="eastAsia" w:ascii="宋体" w:hAnsi="宋体"/>
                <w:bCs/>
                <w:i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t>业务附件清单（如有）</w:t>
            </w:r>
          </w:p>
        </w:tc>
        <w:tc>
          <w:tcPr>
            <w:tcW w:w="6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15A516">
            <w:pPr>
              <w:spacing w:line="480" w:lineRule="atLeast"/>
              <w:ind w:firstLine="480" w:firstLineChars="200"/>
              <w:rPr>
                <w:rFonts w:hint="default" w:ascii="Times New Roman" w:hAnsi="Times New Roman" w:cs="Times New Roman"/>
                <w:sz w:val="20"/>
              </w:rPr>
            </w:pPr>
            <w:r>
              <w:rPr>
                <w:rFonts w:hint="default" w:ascii="Times New Roman" w:hAnsi="Times New Roman" w:cs="Times New Roman"/>
                <w:bCs/>
                <w:iCs/>
                <w:color w:val="000000"/>
                <w:sz w:val="24"/>
              </w:rPr>
              <w:t>无</w:t>
            </w:r>
          </w:p>
        </w:tc>
      </w:tr>
      <w:tr w14:paraId="719C67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8F68D9">
            <w:pPr>
              <w:spacing w:line="480" w:lineRule="atLeast"/>
              <w:rPr>
                <w:rFonts w:hint="eastAsia" w:ascii="宋体" w:hAnsi="宋体"/>
                <w:bCs/>
                <w:i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iCs/>
                <w:color w:val="000000"/>
                <w:sz w:val="24"/>
              </w:rPr>
              <w:t>日期</w:t>
            </w:r>
          </w:p>
        </w:tc>
        <w:tc>
          <w:tcPr>
            <w:tcW w:w="6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88AE60">
            <w:pPr>
              <w:spacing w:line="480" w:lineRule="atLeast"/>
              <w:ind w:firstLine="480" w:firstLineChars="200"/>
              <w:rPr>
                <w:rFonts w:hint="default" w:ascii="Times New Roman" w:hAnsi="Times New Roman" w:cs="Times New Roman"/>
                <w:sz w:val="20"/>
              </w:rPr>
            </w:pPr>
            <w:r>
              <w:rPr>
                <w:rFonts w:hint="default" w:ascii="Times New Roman" w:hAnsi="Times New Roman" w:cs="Times New Roman"/>
                <w:bCs/>
                <w:iCs/>
                <w:color w:val="000000"/>
                <w:sz w:val="24"/>
              </w:rPr>
              <w:t>202</w:t>
            </w:r>
            <w:r>
              <w:rPr>
                <w:rFonts w:hint="default" w:ascii="Times New Roman" w:hAnsi="Times New Roman" w:cs="Times New Roman"/>
                <w:bCs/>
                <w:iCs/>
                <w:color w:val="000000"/>
                <w:sz w:val="24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/>
                <w:bCs/>
                <w:iCs/>
                <w:color w:val="000000"/>
                <w:sz w:val="24"/>
              </w:rPr>
              <w:t>年</w:t>
            </w:r>
            <w:r>
              <w:rPr>
                <w:rFonts w:hint="default" w:ascii="Times New Roman" w:hAnsi="Times New Roman" w:cs="Times New Roman"/>
                <w:bCs/>
                <w:iCs/>
                <w:color w:val="000000"/>
                <w:sz w:val="24"/>
                <w:lang w:val="en-US" w:eastAsia="zh-CN"/>
              </w:rPr>
              <w:t>8</w:t>
            </w:r>
            <w:r>
              <w:rPr>
                <w:rFonts w:hint="default" w:ascii="Times New Roman" w:hAnsi="Times New Roman" w:cs="Times New Roman"/>
                <w:bCs/>
                <w:iCs/>
                <w:color w:val="000000"/>
                <w:sz w:val="24"/>
              </w:rPr>
              <w:t>月</w:t>
            </w:r>
            <w:r>
              <w:rPr>
                <w:rFonts w:hint="default" w:ascii="Times New Roman" w:hAnsi="Times New Roman" w:cs="Times New Roman"/>
                <w:bCs/>
                <w:iCs/>
                <w:color w:val="000000"/>
                <w:sz w:val="24"/>
                <w:lang w:val="en-US" w:eastAsia="zh-CN"/>
              </w:rPr>
              <w:t>27</w:t>
            </w:r>
            <w:r>
              <w:rPr>
                <w:rFonts w:hint="default" w:ascii="Times New Roman" w:hAnsi="Times New Roman" w:cs="Times New Roman"/>
                <w:bCs/>
                <w:iCs/>
                <w:color w:val="000000"/>
                <w:sz w:val="24"/>
              </w:rPr>
              <w:t>日</w:t>
            </w:r>
          </w:p>
        </w:tc>
      </w:tr>
    </w:tbl>
    <w:p w14:paraId="1A074F82"/>
    <w:p w14:paraId="60CACF01">
      <w:pPr>
        <w:widowControl/>
        <w:jc w:val="left"/>
      </w:pPr>
      <w:r>
        <w:br w:type="page"/>
      </w:r>
    </w:p>
    <w:p w14:paraId="5F7444E2">
      <w:pPr>
        <w:rPr>
          <w:rFonts w:ascii="Times New Roman" w:hAnsi="Times New Roman" w:cs="Times New Roman"/>
          <w:b/>
          <w:bCs/>
          <w:sz w:val="32"/>
          <w:szCs w:val="36"/>
        </w:rPr>
      </w:pPr>
      <w:r>
        <w:rPr>
          <w:rFonts w:ascii="Times New Roman" w:hAnsi="Times New Roman" w:cs="Times New Roman"/>
          <w:b/>
          <w:bCs/>
          <w:sz w:val="32"/>
          <w:szCs w:val="36"/>
        </w:rPr>
        <w:t>附件：参会人员名单</w:t>
      </w:r>
    </w:p>
    <w:tbl>
      <w:tblPr>
        <w:tblStyle w:val="7"/>
        <w:tblW w:w="8314" w:type="dxa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5"/>
        <w:gridCol w:w="5789"/>
      </w:tblGrid>
      <w:tr w14:paraId="29A8CB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 w14:paraId="0A83850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lang w:bidi="ar"/>
              </w:rPr>
              <w:t>参会者姓名</w:t>
            </w:r>
          </w:p>
        </w:tc>
        <w:tc>
          <w:tcPr>
            <w:tcW w:w="5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 w14:paraId="7293C2E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lang w:bidi="ar"/>
              </w:rPr>
              <w:t>机构名称</w:t>
            </w:r>
          </w:p>
        </w:tc>
      </w:tr>
      <w:tr w14:paraId="68EB6C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9293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王畅舟</w:t>
            </w:r>
          </w:p>
        </w:tc>
        <w:tc>
          <w:tcPr>
            <w:tcW w:w="5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273A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中国国际金融股份有限公司</w:t>
            </w:r>
          </w:p>
        </w:tc>
      </w:tr>
      <w:tr w14:paraId="051EB5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B8D6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郭中耀</w:t>
            </w:r>
          </w:p>
        </w:tc>
        <w:tc>
          <w:tcPr>
            <w:tcW w:w="5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0AB0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上海申银万国证券研究所有限公司</w:t>
            </w:r>
          </w:p>
        </w:tc>
      </w:tr>
      <w:tr w14:paraId="284069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1CB4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易轰</w:t>
            </w:r>
          </w:p>
        </w:tc>
        <w:tc>
          <w:tcPr>
            <w:tcW w:w="5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49CC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长江证券股份有限公司</w:t>
            </w:r>
          </w:p>
        </w:tc>
      </w:tr>
      <w:tr w14:paraId="44BC7F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1AEF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陈剑凡</w:t>
            </w:r>
          </w:p>
        </w:tc>
        <w:tc>
          <w:tcPr>
            <w:tcW w:w="5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59F9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中信证券股份有限公司</w:t>
            </w:r>
          </w:p>
        </w:tc>
      </w:tr>
      <w:tr w14:paraId="0B2C60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6D29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何玉静</w:t>
            </w:r>
          </w:p>
        </w:tc>
        <w:tc>
          <w:tcPr>
            <w:tcW w:w="5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E012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长城证券股份有限公司</w:t>
            </w:r>
          </w:p>
        </w:tc>
      </w:tr>
      <w:tr w14:paraId="1FD52C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6D6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王璇</w:t>
            </w:r>
          </w:p>
        </w:tc>
        <w:tc>
          <w:tcPr>
            <w:tcW w:w="5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F53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国海证券股份有限公司</w:t>
            </w:r>
          </w:p>
        </w:tc>
      </w:tr>
      <w:tr w14:paraId="5488BE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1382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李超</w:t>
            </w:r>
          </w:p>
        </w:tc>
        <w:tc>
          <w:tcPr>
            <w:tcW w:w="5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091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浙商证券股份有限公司</w:t>
            </w:r>
          </w:p>
        </w:tc>
      </w:tr>
      <w:tr w14:paraId="5F3BAC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F280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魏征宇</w:t>
            </w:r>
          </w:p>
        </w:tc>
        <w:tc>
          <w:tcPr>
            <w:tcW w:w="5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452F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华福证券股份有限公司</w:t>
            </w:r>
            <w:bookmarkStart w:id="0" w:name="_GoBack"/>
            <w:bookmarkEnd w:id="0"/>
          </w:p>
        </w:tc>
      </w:tr>
      <w:tr w14:paraId="6C6C64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F0AC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郭金香</w:t>
            </w:r>
          </w:p>
        </w:tc>
        <w:tc>
          <w:tcPr>
            <w:tcW w:w="5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A2DC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北京磐茂投资管理有限公司</w:t>
            </w:r>
          </w:p>
        </w:tc>
      </w:tr>
      <w:tr w14:paraId="368760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649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徐军</w:t>
            </w:r>
          </w:p>
        </w:tc>
        <w:tc>
          <w:tcPr>
            <w:tcW w:w="5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507A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广东汇创资产管理合伙企业（有限合伙）</w:t>
            </w:r>
          </w:p>
        </w:tc>
      </w:tr>
      <w:tr w14:paraId="307FA9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8A5F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何贯嘉</w:t>
            </w:r>
          </w:p>
        </w:tc>
        <w:tc>
          <w:tcPr>
            <w:tcW w:w="5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6D7D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中银国际证券股份有限公司</w:t>
            </w:r>
          </w:p>
        </w:tc>
      </w:tr>
      <w:tr w14:paraId="47AD42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8AA2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刘耀齐</w:t>
            </w:r>
          </w:p>
        </w:tc>
        <w:tc>
          <w:tcPr>
            <w:tcW w:w="5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880E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长城证券股份有限公司</w:t>
            </w:r>
          </w:p>
        </w:tc>
      </w:tr>
      <w:tr w14:paraId="12BA88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BD6F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陈宇文</w:t>
            </w:r>
          </w:p>
        </w:tc>
        <w:tc>
          <w:tcPr>
            <w:tcW w:w="5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21A8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华西证券股份有限公司</w:t>
            </w:r>
          </w:p>
        </w:tc>
      </w:tr>
      <w:tr w14:paraId="1494F9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6B7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徐毅达</w:t>
            </w:r>
          </w:p>
        </w:tc>
        <w:tc>
          <w:tcPr>
            <w:tcW w:w="5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211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东吴证券股份有限公司</w:t>
            </w:r>
          </w:p>
        </w:tc>
      </w:tr>
      <w:tr w14:paraId="16DF26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D7CC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张弼臣</w:t>
            </w:r>
          </w:p>
        </w:tc>
        <w:tc>
          <w:tcPr>
            <w:tcW w:w="5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DA32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鸿运私募基金管理（海南）有限公司</w:t>
            </w:r>
          </w:p>
        </w:tc>
      </w:tr>
      <w:tr w14:paraId="24A7B5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C396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黄佶扬</w:t>
            </w:r>
          </w:p>
        </w:tc>
        <w:tc>
          <w:tcPr>
            <w:tcW w:w="5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77DE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东北证券股份有限公司</w:t>
            </w:r>
          </w:p>
        </w:tc>
      </w:tr>
      <w:tr w14:paraId="760E35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EF75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魏欣</w:t>
            </w:r>
          </w:p>
        </w:tc>
        <w:tc>
          <w:tcPr>
            <w:tcW w:w="5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89AF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中邮证券有限责任公司</w:t>
            </w:r>
          </w:p>
        </w:tc>
      </w:tr>
      <w:tr w14:paraId="55ACAB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1B18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齐强</w:t>
            </w:r>
          </w:p>
        </w:tc>
        <w:tc>
          <w:tcPr>
            <w:tcW w:w="5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F2B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浙江农发产业投资有限公司</w:t>
            </w:r>
          </w:p>
        </w:tc>
      </w:tr>
      <w:tr w14:paraId="354F2D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372E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刘金清</w:t>
            </w:r>
          </w:p>
        </w:tc>
        <w:tc>
          <w:tcPr>
            <w:tcW w:w="5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F29B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Oxbow Capital Management (HK) Limited</w:t>
            </w:r>
          </w:p>
        </w:tc>
      </w:tr>
      <w:tr w14:paraId="3E795A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F82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陆懿晨</w:t>
            </w:r>
          </w:p>
        </w:tc>
        <w:tc>
          <w:tcPr>
            <w:tcW w:w="5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CD4F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上海润义投资管理有限公司</w:t>
            </w:r>
          </w:p>
        </w:tc>
      </w:tr>
      <w:tr w14:paraId="2DC7E9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8A4F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冯景山</w:t>
            </w:r>
          </w:p>
        </w:tc>
        <w:tc>
          <w:tcPr>
            <w:tcW w:w="5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133A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花旗环球金融亚洲有限公司</w:t>
            </w:r>
          </w:p>
        </w:tc>
      </w:tr>
      <w:tr w14:paraId="2B5F9E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4AC4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杨涵茵</w:t>
            </w:r>
          </w:p>
        </w:tc>
        <w:tc>
          <w:tcPr>
            <w:tcW w:w="5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5CE8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摩根士丹利亚洲投资有限公司</w:t>
            </w:r>
          </w:p>
        </w:tc>
      </w:tr>
      <w:tr w14:paraId="4FD834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58A0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陈琪玮</w:t>
            </w:r>
          </w:p>
        </w:tc>
        <w:tc>
          <w:tcPr>
            <w:tcW w:w="5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0BAC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中泰证券股份有限公司</w:t>
            </w:r>
          </w:p>
        </w:tc>
      </w:tr>
      <w:tr w14:paraId="64184D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6C88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王靖添</w:t>
            </w:r>
          </w:p>
        </w:tc>
        <w:tc>
          <w:tcPr>
            <w:tcW w:w="5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CA40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中银国际证券股份有限公司</w:t>
            </w:r>
          </w:p>
        </w:tc>
      </w:tr>
      <w:tr w14:paraId="2A0CF7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CB3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Cs/>
                <w:color w:val="00000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黄梦可</w:t>
            </w:r>
          </w:p>
        </w:tc>
        <w:tc>
          <w:tcPr>
            <w:tcW w:w="5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3861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Cs/>
                <w:color w:val="00000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耕霁（上海）投资管理有限公司</w:t>
            </w:r>
          </w:p>
        </w:tc>
      </w:tr>
      <w:tr w14:paraId="2736C4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61C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Cs/>
                <w:color w:val="00000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韩昊轩</w:t>
            </w:r>
          </w:p>
        </w:tc>
        <w:tc>
          <w:tcPr>
            <w:tcW w:w="5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BDA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Cs/>
                <w:color w:val="00000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国投证券股份有限公司</w:t>
            </w:r>
          </w:p>
        </w:tc>
      </w:tr>
      <w:tr w14:paraId="664859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1326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Cs/>
                <w:color w:val="00000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吴超</w:t>
            </w:r>
          </w:p>
        </w:tc>
        <w:tc>
          <w:tcPr>
            <w:tcW w:w="5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FEF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Cs/>
                <w:color w:val="00000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深圳市辰禾投资有限公司</w:t>
            </w:r>
          </w:p>
        </w:tc>
      </w:tr>
      <w:tr w14:paraId="24CEE9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B675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Cs/>
                <w:color w:val="00000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梁琳</w:t>
            </w:r>
          </w:p>
        </w:tc>
        <w:tc>
          <w:tcPr>
            <w:tcW w:w="5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D1C7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Cs/>
                <w:color w:val="00000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国泰海通证券股份有限公司</w:t>
            </w:r>
          </w:p>
        </w:tc>
      </w:tr>
      <w:tr w14:paraId="447676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D9E6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Cs/>
                <w:color w:val="00000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初金娜</w:t>
            </w:r>
          </w:p>
        </w:tc>
        <w:tc>
          <w:tcPr>
            <w:tcW w:w="5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7EC5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Cs/>
                <w:color w:val="00000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国盛证券有限责任公司</w:t>
            </w:r>
          </w:p>
        </w:tc>
      </w:tr>
      <w:tr w14:paraId="4E86C7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99D0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Cs/>
                <w:color w:val="00000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刘颖飞</w:t>
            </w:r>
          </w:p>
        </w:tc>
        <w:tc>
          <w:tcPr>
            <w:tcW w:w="5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EE99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Cs/>
                <w:color w:val="00000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平安银行股份有限公司</w:t>
            </w:r>
          </w:p>
        </w:tc>
      </w:tr>
      <w:tr w14:paraId="323A55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936E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Cs/>
                <w:color w:val="00000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沈玉梁</w:t>
            </w:r>
          </w:p>
        </w:tc>
        <w:tc>
          <w:tcPr>
            <w:tcW w:w="5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03E3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Cs/>
                <w:color w:val="00000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嘉实基金管理有限公司</w:t>
            </w:r>
          </w:p>
        </w:tc>
      </w:tr>
      <w:tr w14:paraId="2CC79B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FA5F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Cs/>
                <w:color w:val="00000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王作燊</w:t>
            </w:r>
          </w:p>
        </w:tc>
        <w:tc>
          <w:tcPr>
            <w:tcW w:w="5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3B37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Cs/>
                <w:color w:val="00000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国联民生证券股份有限公司</w:t>
            </w:r>
          </w:p>
        </w:tc>
      </w:tr>
      <w:tr w14:paraId="72DC7E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969E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Cs/>
                <w:color w:val="00000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甘嘉尧</w:t>
            </w:r>
          </w:p>
        </w:tc>
        <w:tc>
          <w:tcPr>
            <w:tcW w:w="5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495F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Cs/>
                <w:color w:val="00000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方正证券股份有限公司</w:t>
            </w:r>
          </w:p>
        </w:tc>
      </w:tr>
      <w:tr w14:paraId="192B90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FA5C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Cs/>
                <w:color w:val="00000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韩飞</w:t>
            </w:r>
          </w:p>
        </w:tc>
        <w:tc>
          <w:tcPr>
            <w:tcW w:w="5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C135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Cs/>
                <w:color w:val="00000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北京容光私募基金管理合伙企业（有限合伙）</w:t>
            </w:r>
          </w:p>
        </w:tc>
      </w:tr>
      <w:tr w14:paraId="3DA8F5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5C32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Cs/>
                <w:color w:val="00000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熊晓峰</w:t>
            </w:r>
          </w:p>
        </w:tc>
        <w:tc>
          <w:tcPr>
            <w:tcW w:w="5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0ECB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Cs/>
                <w:color w:val="00000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苏州君榕资产管理有限公司</w:t>
            </w:r>
          </w:p>
        </w:tc>
      </w:tr>
      <w:tr w14:paraId="4E8B85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D2C2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Cs/>
                <w:color w:val="00000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成杰</w:t>
            </w:r>
          </w:p>
        </w:tc>
        <w:tc>
          <w:tcPr>
            <w:tcW w:w="5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6FF1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Cs/>
                <w:color w:val="00000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索通发展股份有限公司</w:t>
            </w:r>
          </w:p>
        </w:tc>
      </w:tr>
      <w:tr w14:paraId="3AF3FC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9718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Cs/>
                <w:color w:val="00000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胡恺敏</w:t>
            </w:r>
          </w:p>
        </w:tc>
        <w:tc>
          <w:tcPr>
            <w:tcW w:w="5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1DD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Cs/>
                <w:color w:val="00000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上海汇正财经顾问有限公司</w:t>
            </w:r>
          </w:p>
        </w:tc>
      </w:tr>
    </w:tbl>
    <w:p w14:paraId="20034187">
      <w:pPr>
        <w:rPr>
          <w:rFonts w:hint="eastAsia" w:cs="Times New Roman" w:asciiTheme="minorEastAsia" w:hAnsiTheme="minorEastAsia"/>
          <w:b/>
          <w:bCs/>
          <w:sz w:val="24"/>
          <w:szCs w:val="24"/>
        </w:rPr>
      </w:pPr>
    </w:p>
    <w:p w14:paraId="7EF9318A"/>
    <w:p w14:paraId="51C2BD2F"/>
    <w:sectPr>
      <w:footerReference r:id="rId3" w:type="default"/>
      <w:pgSz w:w="11906" w:h="16838"/>
      <w:pgMar w:top="1213" w:right="1800" w:bottom="1213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BC7340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DF3817D">
                          <w:pPr>
                            <w:pStyle w:val="4"/>
                          </w:pP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DF3817D">
                    <w:pPr>
                      <w:pStyle w:val="4"/>
                    </w:pPr>
                    <w:r>
                      <w:rPr>
                        <w:rFonts w:hint="default" w:ascii="Times New Roman" w:hAnsi="Times New Roman" w:cs="Times New Roma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RkMmUyYmQzZTc5Y2U4YTRkMThhYjFmYjIyNDYxMDIifQ=="/>
  </w:docVars>
  <w:rsids>
    <w:rsidRoot w:val="008A748A"/>
    <w:rsid w:val="0000365A"/>
    <w:rsid w:val="000122F7"/>
    <w:rsid w:val="00013FC1"/>
    <w:rsid w:val="00031734"/>
    <w:rsid w:val="00034019"/>
    <w:rsid w:val="0003536D"/>
    <w:rsid w:val="000437F7"/>
    <w:rsid w:val="00046EDD"/>
    <w:rsid w:val="00067147"/>
    <w:rsid w:val="0007522E"/>
    <w:rsid w:val="000C68FC"/>
    <w:rsid w:val="000E050D"/>
    <w:rsid w:val="000E415C"/>
    <w:rsid w:val="000E6F07"/>
    <w:rsid w:val="00102387"/>
    <w:rsid w:val="00132034"/>
    <w:rsid w:val="00140F83"/>
    <w:rsid w:val="001444C3"/>
    <w:rsid w:val="00163536"/>
    <w:rsid w:val="001733D8"/>
    <w:rsid w:val="00191E21"/>
    <w:rsid w:val="001A2456"/>
    <w:rsid w:val="001B0A84"/>
    <w:rsid w:val="001B5E28"/>
    <w:rsid w:val="001D1E27"/>
    <w:rsid w:val="001E439A"/>
    <w:rsid w:val="001E63BA"/>
    <w:rsid w:val="001F430F"/>
    <w:rsid w:val="001F7F12"/>
    <w:rsid w:val="00203230"/>
    <w:rsid w:val="00212BA3"/>
    <w:rsid w:val="00227180"/>
    <w:rsid w:val="00255C6A"/>
    <w:rsid w:val="0026063D"/>
    <w:rsid w:val="00263D71"/>
    <w:rsid w:val="00277CD7"/>
    <w:rsid w:val="002A1987"/>
    <w:rsid w:val="002A5386"/>
    <w:rsid w:val="002A5CBD"/>
    <w:rsid w:val="002A7F3A"/>
    <w:rsid w:val="002B1C89"/>
    <w:rsid w:val="002B3416"/>
    <w:rsid w:val="002B42D2"/>
    <w:rsid w:val="002F03B1"/>
    <w:rsid w:val="002F4D76"/>
    <w:rsid w:val="00321EF3"/>
    <w:rsid w:val="00323693"/>
    <w:rsid w:val="00325D47"/>
    <w:rsid w:val="0035619C"/>
    <w:rsid w:val="00383427"/>
    <w:rsid w:val="00394BC7"/>
    <w:rsid w:val="003A2B9D"/>
    <w:rsid w:val="003D5403"/>
    <w:rsid w:val="003E0C7D"/>
    <w:rsid w:val="00403805"/>
    <w:rsid w:val="00406A7A"/>
    <w:rsid w:val="00440DAB"/>
    <w:rsid w:val="0046261D"/>
    <w:rsid w:val="004734C0"/>
    <w:rsid w:val="00473A31"/>
    <w:rsid w:val="0049462F"/>
    <w:rsid w:val="004966A8"/>
    <w:rsid w:val="004A3760"/>
    <w:rsid w:val="004E016C"/>
    <w:rsid w:val="004F214F"/>
    <w:rsid w:val="005041F7"/>
    <w:rsid w:val="00523FE8"/>
    <w:rsid w:val="00531993"/>
    <w:rsid w:val="00537646"/>
    <w:rsid w:val="00550BC6"/>
    <w:rsid w:val="00557148"/>
    <w:rsid w:val="00564936"/>
    <w:rsid w:val="00565FAF"/>
    <w:rsid w:val="00566740"/>
    <w:rsid w:val="00570362"/>
    <w:rsid w:val="005C34D3"/>
    <w:rsid w:val="005F276B"/>
    <w:rsid w:val="00613794"/>
    <w:rsid w:val="006352F2"/>
    <w:rsid w:val="0065489B"/>
    <w:rsid w:val="00667144"/>
    <w:rsid w:val="006701BB"/>
    <w:rsid w:val="006731C7"/>
    <w:rsid w:val="00680595"/>
    <w:rsid w:val="006A3279"/>
    <w:rsid w:val="006B1DCC"/>
    <w:rsid w:val="006D2865"/>
    <w:rsid w:val="006E2D01"/>
    <w:rsid w:val="006F7DAD"/>
    <w:rsid w:val="00720665"/>
    <w:rsid w:val="00721EB7"/>
    <w:rsid w:val="00724648"/>
    <w:rsid w:val="00727158"/>
    <w:rsid w:val="00735644"/>
    <w:rsid w:val="00736EB3"/>
    <w:rsid w:val="00753734"/>
    <w:rsid w:val="00765A90"/>
    <w:rsid w:val="00767DA7"/>
    <w:rsid w:val="00784B07"/>
    <w:rsid w:val="0079519B"/>
    <w:rsid w:val="007A77BB"/>
    <w:rsid w:val="007B1BC3"/>
    <w:rsid w:val="007C1BD3"/>
    <w:rsid w:val="007E3AFD"/>
    <w:rsid w:val="00836F80"/>
    <w:rsid w:val="00853A4C"/>
    <w:rsid w:val="008576F5"/>
    <w:rsid w:val="008645DE"/>
    <w:rsid w:val="00871224"/>
    <w:rsid w:val="00883383"/>
    <w:rsid w:val="008900AA"/>
    <w:rsid w:val="008A4C18"/>
    <w:rsid w:val="008A748A"/>
    <w:rsid w:val="008C5C0E"/>
    <w:rsid w:val="008E04B2"/>
    <w:rsid w:val="008E0FF8"/>
    <w:rsid w:val="008E4F16"/>
    <w:rsid w:val="008F0386"/>
    <w:rsid w:val="008F44A5"/>
    <w:rsid w:val="00904085"/>
    <w:rsid w:val="00913880"/>
    <w:rsid w:val="00915435"/>
    <w:rsid w:val="00926710"/>
    <w:rsid w:val="00937768"/>
    <w:rsid w:val="00972284"/>
    <w:rsid w:val="00983C44"/>
    <w:rsid w:val="009963C9"/>
    <w:rsid w:val="00997460"/>
    <w:rsid w:val="009D7ABC"/>
    <w:rsid w:val="00A02E43"/>
    <w:rsid w:val="00A15357"/>
    <w:rsid w:val="00A175DB"/>
    <w:rsid w:val="00A178F8"/>
    <w:rsid w:val="00A24CC7"/>
    <w:rsid w:val="00A63475"/>
    <w:rsid w:val="00A8649A"/>
    <w:rsid w:val="00A902BF"/>
    <w:rsid w:val="00AC0755"/>
    <w:rsid w:val="00AE1140"/>
    <w:rsid w:val="00AE1842"/>
    <w:rsid w:val="00AF0550"/>
    <w:rsid w:val="00AF507B"/>
    <w:rsid w:val="00B05B16"/>
    <w:rsid w:val="00B2104F"/>
    <w:rsid w:val="00B27A1D"/>
    <w:rsid w:val="00B52618"/>
    <w:rsid w:val="00B555CA"/>
    <w:rsid w:val="00B67909"/>
    <w:rsid w:val="00B67BC2"/>
    <w:rsid w:val="00B72121"/>
    <w:rsid w:val="00BE62A9"/>
    <w:rsid w:val="00BE7DCE"/>
    <w:rsid w:val="00C01851"/>
    <w:rsid w:val="00C100EA"/>
    <w:rsid w:val="00C312D4"/>
    <w:rsid w:val="00C73C03"/>
    <w:rsid w:val="00C76EF2"/>
    <w:rsid w:val="00C80D4D"/>
    <w:rsid w:val="00C83323"/>
    <w:rsid w:val="00C83927"/>
    <w:rsid w:val="00C849C1"/>
    <w:rsid w:val="00CF00F7"/>
    <w:rsid w:val="00D003CE"/>
    <w:rsid w:val="00D81BBB"/>
    <w:rsid w:val="00D90D40"/>
    <w:rsid w:val="00D92513"/>
    <w:rsid w:val="00D9282A"/>
    <w:rsid w:val="00DA02DD"/>
    <w:rsid w:val="00DB3DEF"/>
    <w:rsid w:val="00DD2CF6"/>
    <w:rsid w:val="00E05D76"/>
    <w:rsid w:val="00E12A72"/>
    <w:rsid w:val="00E175C6"/>
    <w:rsid w:val="00E23343"/>
    <w:rsid w:val="00E30058"/>
    <w:rsid w:val="00E82FE5"/>
    <w:rsid w:val="00EA4D8D"/>
    <w:rsid w:val="00EB156A"/>
    <w:rsid w:val="00EB491F"/>
    <w:rsid w:val="00ED291D"/>
    <w:rsid w:val="00ED6CEE"/>
    <w:rsid w:val="00EE362E"/>
    <w:rsid w:val="00F161B7"/>
    <w:rsid w:val="00F535BD"/>
    <w:rsid w:val="00F61BAF"/>
    <w:rsid w:val="00F9501F"/>
    <w:rsid w:val="00FA711B"/>
    <w:rsid w:val="00FF1969"/>
    <w:rsid w:val="02005B8D"/>
    <w:rsid w:val="034807D7"/>
    <w:rsid w:val="03C96DF2"/>
    <w:rsid w:val="052D4EEB"/>
    <w:rsid w:val="062260D2"/>
    <w:rsid w:val="080D384C"/>
    <w:rsid w:val="0A4A3E4A"/>
    <w:rsid w:val="0DCF4412"/>
    <w:rsid w:val="0FAE6C29"/>
    <w:rsid w:val="0FC14BAE"/>
    <w:rsid w:val="148D5389"/>
    <w:rsid w:val="15467F0C"/>
    <w:rsid w:val="159C7321"/>
    <w:rsid w:val="16A576FF"/>
    <w:rsid w:val="17157A95"/>
    <w:rsid w:val="17C35253"/>
    <w:rsid w:val="18363C5F"/>
    <w:rsid w:val="19375EE1"/>
    <w:rsid w:val="1C2C7853"/>
    <w:rsid w:val="1C611F6A"/>
    <w:rsid w:val="1CC33479"/>
    <w:rsid w:val="1EF16B46"/>
    <w:rsid w:val="1F0C622E"/>
    <w:rsid w:val="20E701EC"/>
    <w:rsid w:val="21154D5A"/>
    <w:rsid w:val="212136FE"/>
    <w:rsid w:val="23E1433B"/>
    <w:rsid w:val="243E118D"/>
    <w:rsid w:val="24743B45"/>
    <w:rsid w:val="2593449F"/>
    <w:rsid w:val="28446A3F"/>
    <w:rsid w:val="2A41271B"/>
    <w:rsid w:val="2A8A04DA"/>
    <w:rsid w:val="2C2416B4"/>
    <w:rsid w:val="2D0B37A7"/>
    <w:rsid w:val="2DB63BD8"/>
    <w:rsid w:val="2EEB70FA"/>
    <w:rsid w:val="31100BA2"/>
    <w:rsid w:val="3115220C"/>
    <w:rsid w:val="312D1C4B"/>
    <w:rsid w:val="31D245A1"/>
    <w:rsid w:val="33CB7A78"/>
    <w:rsid w:val="340C3D9A"/>
    <w:rsid w:val="36DE6B45"/>
    <w:rsid w:val="381B0332"/>
    <w:rsid w:val="389820A0"/>
    <w:rsid w:val="39D2513E"/>
    <w:rsid w:val="3A1219DE"/>
    <w:rsid w:val="3A2847D6"/>
    <w:rsid w:val="40DB5220"/>
    <w:rsid w:val="41F8269F"/>
    <w:rsid w:val="43DB1093"/>
    <w:rsid w:val="45D76C57"/>
    <w:rsid w:val="462558F9"/>
    <w:rsid w:val="46410341"/>
    <w:rsid w:val="4B3C1CC8"/>
    <w:rsid w:val="4D1F167F"/>
    <w:rsid w:val="4D522188"/>
    <w:rsid w:val="4E4639B7"/>
    <w:rsid w:val="50CD66BC"/>
    <w:rsid w:val="50D94BCC"/>
    <w:rsid w:val="525C226C"/>
    <w:rsid w:val="536966BB"/>
    <w:rsid w:val="53AE2320"/>
    <w:rsid w:val="54DC110F"/>
    <w:rsid w:val="576B07CF"/>
    <w:rsid w:val="5B2B614D"/>
    <w:rsid w:val="5CBD5767"/>
    <w:rsid w:val="5EAC5272"/>
    <w:rsid w:val="5EF05EE3"/>
    <w:rsid w:val="5F4F64F0"/>
    <w:rsid w:val="64CC2606"/>
    <w:rsid w:val="64CE38BC"/>
    <w:rsid w:val="66DB2FC1"/>
    <w:rsid w:val="678371C8"/>
    <w:rsid w:val="6DE775D0"/>
    <w:rsid w:val="6FDB2297"/>
    <w:rsid w:val="70524F5E"/>
    <w:rsid w:val="70877018"/>
    <w:rsid w:val="71B374B1"/>
    <w:rsid w:val="72926AFF"/>
    <w:rsid w:val="73D732B2"/>
    <w:rsid w:val="77A94A29"/>
    <w:rsid w:val="79FA170A"/>
    <w:rsid w:val="7C854063"/>
    <w:rsid w:val="7C8B3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4"/>
    <w:autoRedefine/>
    <w:semiHidden/>
    <w:unhideWhenUsed/>
    <w:qFormat/>
    <w:uiPriority w:val="99"/>
    <w:rPr>
      <w:b/>
      <w:bCs/>
    </w:rPr>
  </w:style>
  <w:style w:type="character" w:styleId="9">
    <w:name w:val="annotation reference"/>
    <w:basedOn w:val="8"/>
    <w:autoRedefine/>
    <w:semiHidden/>
    <w:unhideWhenUsed/>
    <w:qFormat/>
    <w:uiPriority w:val="99"/>
    <w:rPr>
      <w:sz w:val="21"/>
      <w:szCs w:val="21"/>
    </w:rPr>
  </w:style>
  <w:style w:type="character" w:customStyle="1" w:styleId="10">
    <w:name w:val="批注框文本 字符"/>
    <w:basedOn w:val="8"/>
    <w:link w:val="3"/>
    <w:autoRedefine/>
    <w:semiHidden/>
    <w:qFormat/>
    <w:uiPriority w:val="99"/>
    <w:rPr>
      <w:sz w:val="18"/>
      <w:szCs w:val="18"/>
    </w:rPr>
  </w:style>
  <w:style w:type="character" w:customStyle="1" w:styleId="11">
    <w:name w:val="页眉 字符"/>
    <w:basedOn w:val="8"/>
    <w:link w:val="5"/>
    <w:autoRedefine/>
    <w:qFormat/>
    <w:uiPriority w:val="99"/>
    <w:rPr>
      <w:sz w:val="18"/>
      <w:szCs w:val="18"/>
    </w:rPr>
  </w:style>
  <w:style w:type="character" w:customStyle="1" w:styleId="12">
    <w:name w:val="页脚 字符"/>
    <w:basedOn w:val="8"/>
    <w:link w:val="4"/>
    <w:autoRedefine/>
    <w:qFormat/>
    <w:uiPriority w:val="99"/>
    <w:rPr>
      <w:sz w:val="18"/>
      <w:szCs w:val="18"/>
    </w:rPr>
  </w:style>
  <w:style w:type="character" w:customStyle="1" w:styleId="13">
    <w:name w:val="批注文字 字符"/>
    <w:basedOn w:val="8"/>
    <w:link w:val="2"/>
    <w:autoRedefine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14">
    <w:name w:val="批注主题 字符"/>
    <w:basedOn w:val="13"/>
    <w:link w:val="6"/>
    <w:autoRedefine/>
    <w:semiHidden/>
    <w:qFormat/>
    <w:uiPriority w:val="99"/>
    <w:rPr>
      <w:rFonts w:asciiTheme="minorHAnsi" w:hAnsiTheme="minorHAnsi" w:eastAsiaTheme="minorEastAsia" w:cstheme="minorBidi"/>
      <w:b/>
      <w:bCs/>
      <w:kern w:val="2"/>
      <w:sz w:val="21"/>
      <w:szCs w:val="22"/>
    </w:rPr>
  </w:style>
  <w:style w:type="paragraph" w:styleId="15">
    <w:name w:val="List Paragraph"/>
    <w:basedOn w:val="1"/>
    <w:unhideWhenUsed/>
    <w:qFormat/>
    <w:uiPriority w:val="99"/>
    <w:pPr>
      <w:ind w:firstLine="420" w:firstLineChars="200"/>
    </w:pPr>
  </w:style>
  <w:style w:type="paragraph" w:customStyle="1" w:styleId="16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3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ontractReview xmlns="http://schemas.wps.cn/vas-ai-hub/contract-review">
  <reviewItems>
    <reviewItem>
      <errorID>ac388929-9e93-443d-9799-214fafcbabe1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189FAEBF</paraID>
      <start>12</start>
      <end>13</end>
      <status>modified</status>
      <modifiedWord>:</modifiedWord>
      <trackRevisions>false</trackRevisions>
    </reviewItem>
    <reviewItem>
      <errorID>5e46cd59-0829-44a4-a6b9-ef87d2ca669b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189FAEBF</paraID>
      <start>18</start>
      <end>19</end>
      <status>modified</status>
      <modifiedWord>:</modifiedWord>
      <trackRevisions>false</trackRevisions>
    </reviewItem>
    <reviewItem>
      <errorID>79310981-b86d-4aa9-8a6c-85d9c19aad8f</errorID>
      <errorWord>?</errorWord>
      <group>L1_Format</group>
      <groupName>格式问题</groupName>
      <ability>L2_HalfPunc_CN</ability>
      <abilityName>全半角问题</abilityName>
      <candidateList>
        <item>？</item>
      </candidateList>
      <explain>文本全半角错误。</explain>
      <paraID>3A3FB4E8</paraID>
      <start>33</start>
      <end>34</end>
      <status>modified</status>
      <modifiedWord>？</modifiedWord>
      <trackRevisions>false</trackRevisions>
    </reviewItem>
    <reviewItem>
      <errorID>bd61974a-0d76-4f43-83f7-0b08592501f4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7C507AE3</paraID>
      <start>12</start>
      <end>13</end>
      <status>modified</status>
      <modifiedWord>（</modifiedWord>
      <trackRevisions>false</trackRevisions>
    </reviewItem>
    <reviewItem>
      <errorID>401ca02c-6259-404e-a7e7-a370f851c462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7C507AE3</paraID>
      <start>17</start>
      <end>18</end>
      <status>modified</status>
      <modifiedWord>）</modifiedWord>
      <trackRevisions>false</trackRevisions>
    </reviewItem>
    <reviewItem>
      <errorID>01231116-a875-454a-a523-814576b26649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5DDA32E3</paraID>
      <start>8</start>
      <end>9</end>
      <status>modified</status>
      <modifiedWord>（</modifiedWord>
      <trackRevisions>false</trackRevisions>
    </reviewItem>
    <reviewItem>
      <errorID>d2bd25de-7b01-4d72-9f4e-70f0597d713b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5DDA32E3</paraID>
      <start>11</start>
      <end>12</end>
      <status>modified</status>
      <modifiedWord>）</modifiedWord>
      <trackRevisions>false</trackRevisions>
    </reviewItem>
    <reviewItem>
      <errorID>c8e490fd-4cd4-4c83-803d-4045c781262a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4C3861CE</paraID>
      <start>2</start>
      <end>3</end>
      <status>modified</status>
      <modifiedWord>（</modifiedWord>
      <trackRevisions>false</trackRevisions>
    </reviewItem>
    <reviewItem>
      <errorID>9a92199d-3d53-4518-aa69-502faa3ce5d5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4C3861CE</paraID>
      <start>5</start>
      <end>6</end>
      <status>modified</status>
      <modifiedWord>）</modifiedWord>
      <trackRevisions>false</trackRevisions>
    </reviewItem>
    <reviewItem>
      <errorID>b04703a3-4c59-4984-9193-8561a298eaa7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12C1356F</paraID>
      <start>14</start>
      <end>15</end>
      <status>modified</status>
      <modifiedWord>（</modifiedWord>
      <trackRevisions>false</trackRevisions>
    </reviewItem>
    <reviewItem>
      <errorID>5b55e9c0-ecbe-42e7-aafc-5846c87a15f7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12C1356F</paraID>
      <start>19</start>
      <end>20</end>
      <status>modified</status>
      <modifiedWord>）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1D93F1D-8717-4813-BDE3-5389298EE5EF}">
  <ds:schemaRefs/>
</ds:datastoreItem>
</file>

<file path=customXml/itemProps3.xml><?xml version="1.0" encoding="utf-8"?>
<ds:datastoreItem xmlns:ds="http://schemas.openxmlformats.org/officeDocument/2006/customXml" ds:itemID="{92aebf74-1d91-42eb-9289-855e3244f0e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2150</Words>
  <Characters>2381</Characters>
  <Lines>1</Lines>
  <Paragraphs>1</Paragraphs>
  <TotalTime>13</TotalTime>
  <ScaleCrop>false</ScaleCrop>
  <LinksUpToDate>false</LinksUpToDate>
  <CharactersWithSpaces>2512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2025-03-07T07:51:00Z</dcterms:created>
  <dc:creator>Windows 用户</dc:creator>
  <cp:lastModifiedBy>孙丹洪</cp:lastModifiedBy>
  <cp:lastPrinted>2021-09-16T08:26:00Z</cp:lastPrinted>
  <dcterms:modified xsi:type="dcterms:W3CDTF">2026-08-27T03:46:48Z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1EFB59E6331F4388A5FE381B6DD89852</vt:lpwstr>
  </property>
  <property fmtid="{D5CDD505-2E9C-101B-9397-08002B2CF9AE}" pid="4" name="KSOTemplateDocerSaveRecord">
    <vt:lpwstr>eyJoZGlkIjoiMzEwNTM5NzYwMDRjMzkwZTVkZjY2ODkwMGIxNGU0OTUiLCJ1c2VySWQiOiI2MjQ3NTU0NDIifQ==</vt:lpwstr>
  </property>
</Properties>
</file>