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A9677" w14:textId="4E89E4C8" w:rsidR="00E731AE" w:rsidRDefault="005203E3">
      <w:pPr>
        <w:keepNext/>
        <w:keepLines/>
        <w:spacing w:before="260" w:after="260" w:line="360" w:lineRule="auto"/>
        <w:jc w:val="center"/>
        <w:outlineLvl w:val="1"/>
        <w:rPr>
          <w:rFonts w:ascii="宋体" w:hAnsi="宋体"/>
          <w:b/>
          <w:bCs/>
          <w:iCs/>
          <w:sz w:val="24"/>
          <w:szCs w:val="24"/>
        </w:rPr>
      </w:pPr>
      <w:r>
        <w:rPr>
          <w:rFonts w:ascii="仿宋_GB2312" w:eastAsia="仿宋_GB2312" w:hAnsi="仿宋_GB2312" w:cs="仿宋_GB2312" w:hint="eastAsia"/>
          <w:iCs/>
          <w:sz w:val="24"/>
          <w:szCs w:val="24"/>
        </w:rPr>
        <w:t>证券代码：600415                                 证券简称：小商品城</w:t>
      </w:r>
    </w:p>
    <w:p w14:paraId="6C5DD870" w14:textId="77777777" w:rsidR="00E731AE" w:rsidRDefault="005203E3">
      <w:pPr>
        <w:keepNext/>
        <w:keepLines/>
        <w:jc w:val="center"/>
        <w:outlineLvl w:val="1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浙江中国小商品城集团股份有限公司</w:t>
      </w:r>
    </w:p>
    <w:p w14:paraId="2C9AEFA2" w14:textId="77777777" w:rsidR="00E731AE" w:rsidRDefault="005203E3">
      <w:pPr>
        <w:keepNext/>
        <w:keepLines/>
        <w:jc w:val="center"/>
        <w:outlineLvl w:val="1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投资者关系活动记录表</w:t>
      </w:r>
    </w:p>
    <w:p w14:paraId="12A62BD2" w14:textId="48131C53" w:rsidR="00E731AE" w:rsidRDefault="005203E3">
      <w:pPr>
        <w:keepNext/>
        <w:keepLines/>
        <w:spacing w:beforeLines="50" w:before="156" w:afterLines="50" w:after="156" w:line="360" w:lineRule="auto"/>
        <w:jc w:val="right"/>
        <w:outlineLvl w:val="1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编号：2026-00</w:t>
      </w:r>
      <w:r w:rsidR="006505E0">
        <w:rPr>
          <w:rFonts w:ascii="仿宋_GB2312" w:eastAsia="仿宋_GB2312" w:hAnsi="仿宋_GB2312" w:cs="仿宋_GB2312" w:hint="eastAsia"/>
          <w:sz w:val="24"/>
          <w:szCs w:val="24"/>
        </w:rPr>
        <w:t>5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6379"/>
      </w:tblGrid>
      <w:tr w:rsidR="00E731AE" w14:paraId="57070E9C" w14:textId="77777777">
        <w:tc>
          <w:tcPr>
            <w:tcW w:w="2411" w:type="dxa"/>
            <w:vAlign w:val="center"/>
          </w:tcPr>
          <w:p w14:paraId="034080E7" w14:textId="77777777" w:rsidR="00E731AE" w:rsidRDefault="005203E3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379" w:type="dxa"/>
          </w:tcPr>
          <w:p w14:paraId="4CB8528A" w14:textId="77777777" w:rsidR="00E731AE" w:rsidRDefault="005203E3">
            <w:pPr>
              <w:spacing w:line="360" w:lineRule="auto"/>
              <w:rPr>
                <w:rFonts w:ascii="宋体" w:hAnsi="宋体" w:cs="仿宋_GB2312"/>
                <w:bCs/>
                <w:iCs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特定对象调研        </w:t>
            </w: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分析师会议</w:t>
            </w:r>
          </w:p>
          <w:p w14:paraId="771D4756" w14:textId="77777777" w:rsidR="00E731AE" w:rsidRDefault="005203E3">
            <w:pPr>
              <w:spacing w:line="360" w:lineRule="auto"/>
              <w:rPr>
                <w:rFonts w:ascii="宋体" w:hAnsi="宋体" w:cs="仿宋_GB2312"/>
                <w:bCs/>
                <w:iCs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媒体采访            </w:t>
            </w: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业绩说明会</w:t>
            </w:r>
          </w:p>
          <w:p w14:paraId="6AA14D57" w14:textId="77777777" w:rsidR="00E731AE" w:rsidRDefault="005203E3">
            <w:pPr>
              <w:spacing w:line="360" w:lineRule="auto"/>
              <w:rPr>
                <w:rFonts w:ascii="宋体" w:hAnsi="宋体" w:cs="仿宋_GB2312"/>
                <w:bCs/>
                <w:iCs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☑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路演活动</w:t>
            </w:r>
          </w:p>
          <w:p w14:paraId="610D54DB" w14:textId="77777777" w:rsidR="00E731AE" w:rsidRDefault="005203E3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hAnsi="宋体" w:cs="仿宋_GB2312"/>
                <w:bCs/>
                <w:iCs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现场参观            </w:t>
            </w: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☑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>电话会议</w:t>
            </w:r>
          </w:p>
          <w:p w14:paraId="156C2FE1" w14:textId="77777777" w:rsidR="00E731AE" w:rsidRDefault="005203E3">
            <w:pPr>
              <w:tabs>
                <w:tab w:val="center" w:pos="3199"/>
              </w:tabs>
              <w:spacing w:line="360" w:lineRule="auto"/>
              <w:rPr>
                <w:rFonts w:ascii="宋体" w:hAnsi="宋体" w:cs="仿宋_GB2312"/>
                <w:bCs/>
                <w:iCs/>
                <w:sz w:val="24"/>
                <w:szCs w:val="24"/>
              </w:rPr>
            </w:pPr>
            <w:r>
              <w:rPr>
                <w:rFonts w:ascii="宋体" w:hAnsi="宋体" w:cs="仿宋_GB2312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cs="仿宋_GB2312" w:hint="eastAsia"/>
                <w:sz w:val="24"/>
                <w:szCs w:val="24"/>
              </w:rPr>
              <w:t xml:space="preserve">其他 </w:t>
            </w:r>
            <w:r>
              <w:rPr>
                <w:rFonts w:ascii="宋体" w:hAnsi="宋体" w:cs="仿宋_GB2312" w:hint="eastAsia"/>
                <w:sz w:val="24"/>
                <w:szCs w:val="24"/>
                <w:u w:val="single"/>
              </w:rPr>
              <w:t xml:space="preserve">               </w:t>
            </w:r>
          </w:p>
        </w:tc>
      </w:tr>
      <w:tr w:rsidR="00E731AE" w14:paraId="7C51E963" w14:textId="77777777">
        <w:tc>
          <w:tcPr>
            <w:tcW w:w="2411" w:type="dxa"/>
            <w:vAlign w:val="center"/>
          </w:tcPr>
          <w:p w14:paraId="70FAC1EB" w14:textId="77777777" w:rsidR="00E731AE" w:rsidRDefault="005203E3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参与单位名称</w:t>
            </w:r>
          </w:p>
        </w:tc>
        <w:tc>
          <w:tcPr>
            <w:tcW w:w="6379" w:type="dxa"/>
            <w:vAlign w:val="center"/>
          </w:tcPr>
          <w:p w14:paraId="5C1CF4CE" w14:textId="2F004BDD" w:rsidR="00E731AE" w:rsidRPr="00B43546" w:rsidRDefault="005203E3">
            <w:pPr>
              <w:tabs>
                <w:tab w:val="center" w:pos="2798"/>
              </w:tabs>
              <w:rPr>
                <w:rFonts w:ascii="仿宋_GB2312" w:eastAsia="仿宋_GB2312"/>
                <w:bCs/>
                <w:iCs/>
                <w:sz w:val="24"/>
                <w:szCs w:val="24"/>
              </w:rPr>
            </w:pPr>
            <w:r w:rsidRPr="00B43546">
              <w:rPr>
                <w:rFonts w:ascii="仿宋_GB2312" w:eastAsia="仿宋_GB2312" w:hint="eastAsia"/>
                <w:bCs/>
                <w:iCs/>
                <w:sz w:val="24"/>
                <w:szCs w:val="24"/>
              </w:rPr>
              <w:t>中信证券、中金公司、长江证券、易方达基金、华夏久盈、嘉实基金、汇丰晋信、长盛基金、鹏华基金、宽远资产、华夏基金、平安养老、新华资产、华宝基金、泰康资产、南方基金、前海开源基金、华富基金、建信养老、国寿安保、大家资产、安信基金、汇添富基金、财通资管、博道基金、华安基金、兴全基金、睿远基金、华泰柏瑞、淡水泉基金、中意资产、宏利基金、阳光资产、安信基金、诺德基金、国金基金、中信资管、华泰自营、合晟资产、英大保险、中邮基金、中油资管、国联基金、英大基金、人保养老、国寿养老、博时基金、国寿资产、柏基投资、南京</w:t>
            </w:r>
            <w:r w:rsidRPr="00B43546">
              <w:rPr>
                <w:rFonts w:ascii="微软雅黑" w:eastAsia="微软雅黑" w:hAnsi="微软雅黑" w:cs="微软雅黑" w:hint="eastAsia"/>
                <w:bCs/>
                <w:iCs/>
                <w:sz w:val="24"/>
                <w:szCs w:val="24"/>
              </w:rPr>
              <w:t>璟</w:t>
            </w:r>
            <w:r w:rsidRPr="00B43546"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恒、龙石资本、中财招商、中邮证券、花旗全球、丰道投资、益理资产、九方智投、沣沛投资、永安国富、爱华资产、摩根基金、汇丰晋信基金、民沣资产、交银施罗德基金、中信保诚基金、泉果基金、同</w:t>
            </w:r>
            <w:r w:rsidRPr="00B43546">
              <w:rPr>
                <w:rFonts w:ascii="微软雅黑" w:eastAsia="微软雅黑" w:hAnsi="微软雅黑" w:cs="微软雅黑" w:hint="eastAsia"/>
                <w:bCs/>
                <w:iCs/>
                <w:sz w:val="24"/>
                <w:szCs w:val="24"/>
              </w:rPr>
              <w:t>犇</w:t>
            </w:r>
            <w:r w:rsidRPr="00B43546"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投资、安盛基金、路博迈基金、天治基金、海富通基金、上银基金等</w:t>
            </w:r>
            <w:r w:rsidRPr="00B43546">
              <w:rPr>
                <w:rFonts w:ascii="仿宋_GB2312" w:eastAsia="仿宋_GB2312" w:hint="eastAsia"/>
                <w:bCs/>
                <w:iCs/>
                <w:sz w:val="24"/>
                <w:szCs w:val="24"/>
              </w:rPr>
              <w:t>150余家机构。</w:t>
            </w:r>
          </w:p>
        </w:tc>
      </w:tr>
      <w:tr w:rsidR="00E731AE" w14:paraId="12C96176" w14:textId="77777777">
        <w:tc>
          <w:tcPr>
            <w:tcW w:w="2411" w:type="dxa"/>
            <w:vAlign w:val="center"/>
          </w:tcPr>
          <w:p w14:paraId="7E9BE2D3" w14:textId="77777777" w:rsidR="00E731AE" w:rsidRDefault="005203E3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会议时间</w:t>
            </w:r>
          </w:p>
        </w:tc>
        <w:tc>
          <w:tcPr>
            <w:tcW w:w="6379" w:type="dxa"/>
            <w:vAlign w:val="center"/>
          </w:tcPr>
          <w:p w14:paraId="6239FCCD" w14:textId="77777777" w:rsidR="00E731AE" w:rsidRDefault="005203E3">
            <w:pPr>
              <w:spacing w:line="360" w:lineRule="auto"/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2026年7-8月</w:t>
            </w:r>
          </w:p>
        </w:tc>
      </w:tr>
      <w:tr w:rsidR="00E731AE" w14:paraId="58AC16BB" w14:textId="77777777">
        <w:tc>
          <w:tcPr>
            <w:tcW w:w="2411" w:type="dxa"/>
            <w:vAlign w:val="center"/>
          </w:tcPr>
          <w:p w14:paraId="760B77AE" w14:textId="77777777" w:rsidR="00E731AE" w:rsidRDefault="005203E3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会议地点</w:t>
            </w:r>
          </w:p>
        </w:tc>
        <w:tc>
          <w:tcPr>
            <w:tcW w:w="6379" w:type="dxa"/>
            <w:vAlign w:val="center"/>
          </w:tcPr>
          <w:p w14:paraId="5B3D10F3" w14:textId="77777777" w:rsidR="00E731AE" w:rsidRDefault="005203E3">
            <w:pPr>
              <w:spacing w:line="360" w:lineRule="auto"/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北京、上海、广州、深圳、集团会议室、电话会议</w:t>
            </w:r>
          </w:p>
        </w:tc>
      </w:tr>
      <w:tr w:rsidR="00E731AE" w14:paraId="7EEB0211" w14:textId="77777777">
        <w:tc>
          <w:tcPr>
            <w:tcW w:w="2411" w:type="dxa"/>
            <w:vAlign w:val="center"/>
          </w:tcPr>
          <w:p w14:paraId="64C1F394" w14:textId="77777777" w:rsidR="00E731AE" w:rsidRDefault="005203E3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上市公司接待人员</w:t>
            </w:r>
          </w:p>
        </w:tc>
        <w:tc>
          <w:tcPr>
            <w:tcW w:w="6379" w:type="dxa"/>
            <w:vAlign w:val="center"/>
          </w:tcPr>
          <w:p w14:paraId="2D33BBE1" w14:textId="77777777" w:rsidR="00E731AE" w:rsidRDefault="005203E3">
            <w:pPr>
              <w:spacing w:line="360" w:lineRule="auto"/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公司高管、公司证券部</w:t>
            </w:r>
          </w:p>
        </w:tc>
      </w:tr>
      <w:tr w:rsidR="00E731AE" w14:paraId="533FEED3" w14:textId="77777777">
        <w:trPr>
          <w:trHeight w:val="490"/>
        </w:trPr>
        <w:tc>
          <w:tcPr>
            <w:tcW w:w="2411" w:type="dxa"/>
            <w:vAlign w:val="center"/>
          </w:tcPr>
          <w:p w14:paraId="19770D12" w14:textId="77777777" w:rsidR="00E731AE" w:rsidRDefault="005203E3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379" w:type="dxa"/>
          </w:tcPr>
          <w:p w14:paraId="368EA321" w14:textId="77777777" w:rsidR="00E731AE" w:rsidRDefault="005203E3">
            <w:r>
              <w:rPr>
                <w:rFonts w:ascii="仿宋_GB2312" w:eastAsia="仿宋_GB2312" w:hAnsi="仿宋_GB2312"/>
                <w:b/>
                <w:sz w:val="24"/>
              </w:rPr>
              <w:t>1.请介绍今年以来义乌出口的整体表现及主要增长驱动因素。</w:t>
            </w:r>
          </w:p>
          <w:p w14:paraId="243AEBCE" w14:textId="01CEECB7" w:rsidR="00E731AE" w:rsidRDefault="005203E3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答：今年上半年义乌出口额达4</w:t>
            </w:r>
            <w:r w:rsidR="00BA690C">
              <w:rPr>
                <w:rFonts w:ascii="仿宋_GB2312" w:eastAsia="仿宋_GB2312" w:hAnsi="仿宋_GB2312" w:hint="eastAsia"/>
                <w:sz w:val="24"/>
              </w:rPr>
              <w:t>,</w:t>
            </w:r>
            <w:r>
              <w:rPr>
                <w:rFonts w:ascii="仿宋_GB2312" w:eastAsia="仿宋_GB2312" w:hAnsi="仿宋_GB2312"/>
                <w:sz w:val="24"/>
              </w:rPr>
              <w:t>207亿元，同比增长17.3%</w:t>
            </w:r>
            <w:r>
              <w:rPr>
                <w:rFonts w:ascii="仿宋_GB2312" w:eastAsia="仿宋_GB2312" w:hAnsi="仿宋_GB2312" w:hint="eastAsia"/>
                <w:sz w:val="24"/>
              </w:rPr>
              <w:t>，历史同期首次突破4</w:t>
            </w:r>
            <w:r w:rsidR="00BA690C">
              <w:rPr>
                <w:rFonts w:ascii="仿宋_GB2312" w:eastAsia="仿宋_GB2312" w:hAnsi="仿宋_GB2312" w:hint="eastAsia"/>
                <w:sz w:val="24"/>
              </w:rPr>
              <w:t>,</w:t>
            </w:r>
            <w:r>
              <w:rPr>
                <w:rFonts w:ascii="仿宋_GB2312" w:eastAsia="仿宋_GB2312" w:hAnsi="仿宋_GB2312" w:hint="eastAsia"/>
                <w:sz w:val="24"/>
              </w:rPr>
              <w:t>000亿元</w:t>
            </w:r>
            <w:r>
              <w:rPr>
                <w:rFonts w:ascii="仿宋_GB2312" w:eastAsia="仿宋_GB2312" w:hAnsi="仿宋_GB2312"/>
                <w:sz w:val="24"/>
              </w:rPr>
              <w:t>。其中，对非洲、东盟和欧盟</w:t>
            </w:r>
            <w:r>
              <w:rPr>
                <w:rFonts w:ascii="仿宋_GB2312" w:eastAsia="仿宋_GB2312" w:hAnsi="仿宋_GB2312"/>
                <w:sz w:val="24"/>
              </w:rPr>
              <w:lastRenderedPageBreak/>
              <w:t>分别进出口1</w:t>
            </w:r>
            <w:r w:rsidR="00BA690C">
              <w:rPr>
                <w:rFonts w:ascii="仿宋_GB2312" w:eastAsia="仿宋_GB2312" w:hAnsi="仿宋_GB2312" w:hint="eastAsia"/>
                <w:sz w:val="24"/>
              </w:rPr>
              <w:t>,</w:t>
            </w:r>
            <w:r>
              <w:rPr>
                <w:rFonts w:ascii="仿宋_GB2312" w:eastAsia="仿宋_GB2312" w:hAnsi="仿宋_GB2312"/>
                <w:sz w:val="24"/>
              </w:rPr>
              <w:t>026.4亿元、782.1亿元和458.1亿元，同比增长42</w:t>
            </w:r>
            <w:r w:rsidR="00BA690C">
              <w:rPr>
                <w:rFonts w:ascii="仿宋_GB2312" w:eastAsia="仿宋_GB2312" w:hAnsi="仿宋_GB2312" w:hint="eastAsia"/>
                <w:sz w:val="24"/>
              </w:rPr>
              <w:t>.</w:t>
            </w:r>
            <w:r>
              <w:rPr>
                <w:rFonts w:ascii="仿宋_GB2312" w:eastAsia="仿宋_GB2312" w:hAnsi="仿宋_GB2312"/>
                <w:sz w:val="24"/>
              </w:rPr>
              <w:t>7%、63.5%和13</w:t>
            </w:r>
            <w:r w:rsidR="00BA690C">
              <w:rPr>
                <w:rFonts w:ascii="仿宋_GB2312" w:eastAsia="仿宋_GB2312" w:hAnsi="仿宋_GB2312" w:hint="eastAsia"/>
                <w:sz w:val="24"/>
              </w:rPr>
              <w:t>.</w:t>
            </w:r>
            <w:r>
              <w:rPr>
                <w:rFonts w:ascii="仿宋_GB2312" w:eastAsia="仿宋_GB2312" w:hAnsi="仿宋_GB2312"/>
                <w:sz w:val="24"/>
              </w:rPr>
              <w:t>7%。</w:t>
            </w:r>
          </w:p>
          <w:p w14:paraId="6C42DE01" w14:textId="6933CE5C" w:rsidR="00E731AE" w:rsidRDefault="005203E3">
            <w:r>
              <w:rPr>
                <w:rFonts w:ascii="仿宋_GB2312" w:eastAsia="仿宋_GB2312" w:hAnsi="仿宋_GB2312"/>
                <w:sz w:val="24"/>
              </w:rPr>
              <w:t>增长主要得益于以下因素：一是中东等</w:t>
            </w:r>
            <w:r>
              <w:rPr>
                <w:rFonts w:ascii="仿宋_GB2312" w:eastAsia="仿宋_GB2312" w:hAnsi="仿宋_GB2312" w:hint="eastAsia"/>
                <w:sz w:val="24"/>
              </w:rPr>
              <w:t>区域</w:t>
            </w:r>
            <w:r>
              <w:rPr>
                <w:rFonts w:ascii="仿宋_GB2312" w:eastAsia="仿宋_GB2312" w:hAnsi="仿宋_GB2312"/>
                <w:sz w:val="24"/>
              </w:rPr>
              <w:t>市场贸易额</w:t>
            </w:r>
            <w:r>
              <w:rPr>
                <w:rFonts w:ascii="仿宋_GB2312" w:eastAsia="仿宋_GB2312" w:hAnsi="仿宋_GB2312" w:hint="eastAsia"/>
                <w:sz w:val="24"/>
              </w:rPr>
              <w:t>持续</w:t>
            </w:r>
            <w:r>
              <w:rPr>
                <w:rFonts w:ascii="仿宋_GB2312" w:eastAsia="仿宋_GB2312" w:hAnsi="仿宋_GB2312"/>
                <w:sz w:val="24"/>
              </w:rPr>
              <w:t>回暖；二是体育赛事等事件性驱动，如世界杯带动拉美地区体育用品出口增长明显，欧洲高温带动降温用品需求增长；三是市场采购贸易方式持续扩容，中小微企业出口活跃。</w:t>
            </w:r>
          </w:p>
          <w:p w14:paraId="6BBBB744" w14:textId="77777777" w:rsidR="00E731AE" w:rsidRDefault="00E731AE"/>
          <w:p w14:paraId="1B00BFAE" w14:textId="77777777" w:rsidR="00E731AE" w:rsidRDefault="005203E3">
            <w:pPr>
              <w:rPr>
                <w:rFonts w:eastAsia="仿宋_GB2312"/>
              </w:rPr>
            </w:pPr>
            <w:r>
              <w:rPr>
                <w:rFonts w:ascii="仿宋_GB2312" w:eastAsia="仿宋_GB2312" w:hAnsi="仿宋_GB2312"/>
                <w:b/>
                <w:sz w:val="24"/>
              </w:rPr>
              <w:t>2.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今年以来</w:t>
            </w:r>
            <w:r>
              <w:rPr>
                <w:rFonts w:ascii="仿宋_GB2312" w:eastAsia="仿宋_GB2312" w:hAnsi="仿宋_GB2312"/>
                <w:b/>
                <w:sz w:val="24"/>
              </w:rPr>
              <w:t>市场客流和外商入境情况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如何？</w:t>
            </w:r>
          </w:p>
          <w:p w14:paraId="4E873EA7" w14:textId="3F8F070E" w:rsidR="00E731AE" w:rsidRDefault="005203E3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答：</w:t>
            </w:r>
            <w:r w:rsidR="00BB02B8">
              <w:rPr>
                <w:rFonts w:ascii="仿宋_GB2312" w:eastAsia="仿宋_GB2312" w:hAnsi="仿宋_GB2312" w:hint="eastAsia"/>
                <w:sz w:val="24"/>
              </w:rPr>
              <w:t>今年</w:t>
            </w:r>
            <w:r>
              <w:rPr>
                <w:rFonts w:ascii="仿宋_GB2312" w:eastAsia="仿宋_GB2312" w:hAnsi="仿宋_GB2312"/>
                <w:sz w:val="24"/>
              </w:rPr>
              <w:t>市场整体景气度较高，</w:t>
            </w:r>
            <w:r>
              <w:rPr>
                <w:rFonts w:ascii="仿宋_GB2312" w:eastAsia="仿宋_GB2312" w:hAnsi="仿宋_GB2312" w:hint="eastAsia"/>
                <w:sz w:val="24"/>
              </w:rPr>
              <w:t>义乌</w:t>
            </w:r>
            <w:r>
              <w:rPr>
                <w:rFonts w:ascii="仿宋_GB2312" w:eastAsia="仿宋_GB2312" w:hAnsi="仿宋_GB2312"/>
                <w:sz w:val="24"/>
              </w:rPr>
              <w:t>市场日均客流量约30万人次，同比增长34%；日均外商约1.2万人次，同比增长30%。义乌入境外商达3</w:t>
            </w:r>
            <w:r>
              <w:rPr>
                <w:rFonts w:ascii="仿宋_GB2312" w:eastAsia="仿宋_GB2312" w:hAnsi="仿宋_GB2312" w:hint="eastAsia"/>
                <w:sz w:val="24"/>
              </w:rPr>
              <w:t>4.2</w:t>
            </w:r>
            <w:r>
              <w:rPr>
                <w:rFonts w:ascii="仿宋_GB2312" w:eastAsia="仿宋_GB2312" w:hAnsi="仿宋_GB2312"/>
                <w:sz w:val="24"/>
              </w:rPr>
              <w:t>万人次，同比增长1</w:t>
            </w:r>
            <w:r>
              <w:rPr>
                <w:rFonts w:ascii="仿宋_GB2312" w:eastAsia="仿宋_GB2312" w:hAnsi="仿宋_GB2312" w:hint="eastAsia"/>
                <w:sz w:val="24"/>
              </w:rPr>
              <w:t>4.4</w:t>
            </w:r>
            <w:r>
              <w:rPr>
                <w:rFonts w:ascii="仿宋_GB2312" w:eastAsia="仿宋_GB2312" w:hAnsi="仿宋_GB2312"/>
                <w:sz w:val="24"/>
              </w:rPr>
              <w:t>%。整体市场氛围旺盛，商业活力充足，客流回暖带动上下游商户订单增加。</w:t>
            </w:r>
          </w:p>
          <w:p w14:paraId="40C95EBF" w14:textId="77777777" w:rsidR="00E731AE" w:rsidRDefault="00E731AE"/>
          <w:p w14:paraId="15E6851B" w14:textId="77777777" w:rsidR="00E731AE" w:rsidRDefault="005203E3">
            <w:r>
              <w:rPr>
                <w:rFonts w:ascii="仿宋_GB2312" w:eastAsia="仿宋_GB2312" w:hAnsi="仿宋_GB2312"/>
                <w:b/>
                <w:sz w:val="24"/>
              </w:rPr>
              <w:t>3.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公司对于港股上市的考虑是什么？</w:t>
            </w:r>
          </w:p>
          <w:p w14:paraId="614B5298" w14:textId="77777777" w:rsidR="00E731AE" w:rsidRDefault="005203E3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答：</w:t>
            </w:r>
            <w:r>
              <w:rPr>
                <w:rFonts w:ascii="仿宋_GB2312" w:eastAsia="仿宋_GB2312" w:hAnsi="仿宋_GB2312" w:hint="eastAsia"/>
                <w:sz w:val="24"/>
              </w:rPr>
              <w:t>赴港上市是基于公司国际化战略和长远发展的综合考虑，有利于借助香港国际资本市场平台，进一步推动公司全球化业务布局。募集资金拟主要用于海外分市场、海外仓等海外业务综合布局，Chinagoods平台技术升级，义支付海外牌照申办和跨境支付基础设施建设，以及补充营运资金，全部投向市场经营主业及国际化发展。</w:t>
            </w:r>
          </w:p>
          <w:p w14:paraId="0A314A95" w14:textId="77777777" w:rsidR="00E731AE" w:rsidRDefault="00E731AE">
            <w:pPr>
              <w:rPr>
                <w:rFonts w:ascii="仿宋_GB2312" w:eastAsia="仿宋_GB2312" w:hAnsi="仿宋_GB2312"/>
                <w:sz w:val="24"/>
              </w:rPr>
            </w:pPr>
          </w:p>
          <w:p w14:paraId="7854B1D7" w14:textId="77777777" w:rsidR="00E731AE" w:rsidRDefault="005203E3">
            <w:r>
              <w:rPr>
                <w:rFonts w:ascii="仿宋_GB2312" w:eastAsia="仿宋_GB2312" w:hAnsi="仿宋_GB2312"/>
                <w:b/>
                <w:sz w:val="24"/>
              </w:rPr>
              <w:t>4.请介绍公司在AI及数字化应用方面的进展。</w:t>
            </w:r>
          </w:p>
          <w:p w14:paraId="163051F5" w14:textId="77777777" w:rsidR="00E731AE" w:rsidRDefault="005203E3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答：公司持续推进数字化建设，Chinagoods平台已上线AI应用25项，并</w:t>
            </w:r>
            <w:r>
              <w:rPr>
                <w:rFonts w:ascii="仿宋_GB2312" w:eastAsia="仿宋_GB2312" w:hAnsi="仿宋_GB2312" w:hint="eastAsia"/>
                <w:sz w:val="24"/>
              </w:rPr>
              <w:t>计划于</w:t>
            </w:r>
            <w:r>
              <w:rPr>
                <w:rFonts w:ascii="仿宋_GB2312" w:eastAsia="仿宋_GB2312" w:hAnsi="仿宋_GB2312"/>
                <w:sz w:val="24"/>
              </w:rPr>
              <w:t>每年</w:t>
            </w:r>
            <w:r>
              <w:rPr>
                <w:rFonts w:ascii="仿宋_GB2312" w:eastAsia="仿宋_GB2312" w:hAnsi="仿宋_GB2312" w:hint="eastAsia"/>
                <w:sz w:val="24"/>
              </w:rPr>
              <w:t>10月15日</w:t>
            </w:r>
            <w:r>
              <w:rPr>
                <w:rFonts w:ascii="仿宋_GB2312" w:eastAsia="仿宋_GB2312" w:hAnsi="仿宋_GB2312"/>
                <w:sz w:val="24"/>
              </w:rPr>
              <w:t>举办贸易类AI应用大赛。</w:t>
            </w:r>
            <w:r>
              <w:rPr>
                <w:rFonts w:ascii="仿宋_GB2312" w:eastAsia="仿宋_GB2312" w:hAnsi="仿宋_GB2312" w:hint="eastAsia"/>
                <w:sz w:val="24"/>
              </w:rPr>
              <w:t>最新上线的“</w:t>
            </w:r>
            <w:r>
              <w:rPr>
                <w:rFonts w:ascii="仿宋_GB2312" w:eastAsia="仿宋_GB2312" w:hAnsi="仿宋_GB2312"/>
                <w:sz w:val="24"/>
              </w:rPr>
              <w:t>电商通</w:t>
            </w:r>
            <w:r>
              <w:rPr>
                <w:rFonts w:ascii="仿宋_GB2312" w:eastAsia="仿宋_GB2312" w:hAnsi="仿宋_GB2312" w:hint="eastAsia"/>
                <w:sz w:val="24"/>
              </w:rPr>
              <w:t>”应用</w:t>
            </w:r>
            <w:r>
              <w:rPr>
                <w:rFonts w:ascii="仿宋_GB2312" w:eastAsia="仿宋_GB2312" w:hAnsi="仿宋_GB2312"/>
                <w:sz w:val="24"/>
              </w:rPr>
              <w:t>已接入20余家电商平台，可为商户提供个性化定制电商服务。公司正与各职能部门协同，打造智能</w:t>
            </w:r>
            <w:r>
              <w:rPr>
                <w:rFonts w:ascii="仿宋_GB2312" w:eastAsia="仿宋_GB2312" w:hAnsi="仿宋_GB2312" w:hint="eastAsia"/>
                <w:sz w:val="24"/>
              </w:rPr>
              <w:t>化</w:t>
            </w:r>
            <w:r>
              <w:rPr>
                <w:rFonts w:ascii="仿宋_GB2312" w:eastAsia="仿宋_GB2312" w:hAnsi="仿宋_GB2312"/>
                <w:sz w:val="24"/>
              </w:rPr>
              <w:t>应用，帮助经营户在细分领域提升经营效率。AI应用上线后，抽样显示部分商户订单量有所提升。</w:t>
            </w:r>
          </w:p>
          <w:p w14:paraId="66033279" w14:textId="77777777" w:rsidR="00E731AE" w:rsidRDefault="00E731AE">
            <w:pPr>
              <w:rPr>
                <w:rFonts w:ascii="仿宋_GB2312" w:eastAsia="仿宋_GB2312" w:hAnsi="仿宋_GB2312"/>
                <w:sz w:val="24"/>
              </w:rPr>
            </w:pPr>
          </w:p>
          <w:p w14:paraId="1A800385" w14:textId="77777777" w:rsidR="00E731AE" w:rsidRDefault="005203E3">
            <w:pPr>
              <w:rPr>
                <w:rFonts w:ascii="仿宋_GB2312" w:eastAsia="仿宋_GB2312" w:hAnsi="仿宋_GB2312"/>
                <w:b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sz w:val="24"/>
              </w:rPr>
              <w:t>5</w:t>
            </w:r>
            <w:r>
              <w:rPr>
                <w:rFonts w:ascii="仿宋_GB2312" w:eastAsia="仿宋_GB2312" w:hAnsi="仿宋_GB2312"/>
                <w:b/>
                <w:sz w:val="24"/>
              </w:rPr>
              <w:t>.公司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对于出海项目的</w:t>
            </w:r>
            <w:r>
              <w:rPr>
                <w:rFonts w:ascii="仿宋_GB2312" w:eastAsia="仿宋_GB2312" w:hAnsi="仿宋_GB2312"/>
                <w:b/>
                <w:sz w:val="24"/>
              </w:rPr>
              <w:t>布局如何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考虑</w:t>
            </w:r>
            <w:r>
              <w:rPr>
                <w:rFonts w:ascii="仿宋_GB2312" w:eastAsia="仿宋_GB2312" w:hAnsi="仿宋_GB2312"/>
                <w:b/>
                <w:sz w:val="24"/>
              </w:rPr>
              <w:t>？海外仓、海外站、海外展厅等项目是否涉及较大资本开支？</w:t>
            </w:r>
          </w:p>
          <w:p w14:paraId="645A2F4C" w14:textId="3A133D5A" w:rsidR="00E731AE" w:rsidRDefault="005203E3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答：上半年公司稳步推进品牌出海行动，加快构筑覆盖全球的海外贸易服务网络，已实现14个出海项目，包括海外分市场1个（坦桑尼亚分市场）、FBC仓6个、海外站2个、海外展厅3个、海外展会2场。目前模式以轻资产为主，通过合作方式拓展小商品城海外服务体系，针对不同地区实施不同策略。</w:t>
            </w:r>
            <w:r w:rsidR="00A44F84">
              <w:rPr>
                <w:rFonts w:ascii="仿宋_GB2312" w:eastAsia="仿宋_GB2312" w:hAnsi="仿宋_GB2312" w:hint="eastAsia"/>
                <w:sz w:val="24"/>
              </w:rPr>
              <w:t>品牌出海是公司发展战略</w:t>
            </w:r>
            <w:r>
              <w:rPr>
                <w:rFonts w:ascii="仿宋_GB2312" w:eastAsia="仿宋_GB2312" w:hAnsi="仿宋_GB2312" w:hint="eastAsia"/>
                <w:sz w:val="24"/>
              </w:rPr>
              <w:t>，通过H股上市</w:t>
            </w:r>
            <w:r w:rsidR="00A44F84">
              <w:rPr>
                <w:rFonts w:ascii="仿宋_GB2312" w:eastAsia="仿宋_GB2312" w:hAnsi="仿宋_GB2312" w:hint="eastAsia"/>
                <w:sz w:val="24"/>
              </w:rPr>
              <w:t>借助国际</w:t>
            </w:r>
            <w:r>
              <w:rPr>
                <w:rFonts w:ascii="仿宋_GB2312" w:eastAsia="仿宋_GB2312" w:hAnsi="仿宋_GB2312" w:hint="eastAsia"/>
                <w:sz w:val="24"/>
              </w:rPr>
              <w:t>资本市场</w:t>
            </w:r>
            <w:r w:rsidR="00A44F84">
              <w:rPr>
                <w:rFonts w:ascii="仿宋_GB2312" w:eastAsia="仿宋_GB2312" w:hAnsi="仿宋_GB2312" w:hint="eastAsia"/>
                <w:sz w:val="24"/>
              </w:rPr>
              <w:t>推动公司全球化业务布局</w:t>
            </w:r>
            <w:r>
              <w:rPr>
                <w:rFonts w:ascii="仿宋_GB2312" w:eastAsia="仿宋_GB2312" w:hAnsi="仿宋_GB2312" w:hint="eastAsia"/>
                <w:sz w:val="24"/>
              </w:rPr>
              <w:t>。</w:t>
            </w:r>
          </w:p>
          <w:p w14:paraId="3CBD7B27" w14:textId="77777777" w:rsidR="00E731AE" w:rsidRDefault="00E731AE"/>
          <w:p w14:paraId="6B8AB925" w14:textId="77777777" w:rsidR="00E731AE" w:rsidRDefault="005203E3">
            <w:r>
              <w:rPr>
                <w:rFonts w:ascii="仿宋_GB2312" w:eastAsia="仿宋_GB2312" w:hAnsi="仿宋_GB2312" w:hint="eastAsia"/>
                <w:b/>
                <w:sz w:val="24"/>
              </w:rPr>
              <w:t>6</w:t>
            </w:r>
            <w:r>
              <w:rPr>
                <w:rFonts w:ascii="仿宋_GB2312" w:eastAsia="仿宋_GB2312" w:hAnsi="仿宋_GB2312"/>
                <w:b/>
                <w:sz w:val="24"/>
              </w:rPr>
              <w:t>.</w:t>
            </w:r>
            <w:r>
              <w:rPr>
                <w:rFonts w:ascii="仿宋_GB2312" w:eastAsia="仿宋_GB2312" w:hAnsi="仿宋_GB2312" w:hint="eastAsia"/>
                <w:b/>
                <w:sz w:val="24"/>
              </w:rPr>
              <w:t>公司对于股东回报方面有什么考虑？</w:t>
            </w:r>
          </w:p>
          <w:p w14:paraId="5A22CD9A" w14:textId="609880CA" w:rsidR="00E731AE" w:rsidRPr="002529FE" w:rsidRDefault="005203E3" w:rsidP="00A57452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答：公司高度重视股东回报，持续保持较高比例的现金分红。2025年度，公司分红比例达65.23%，该方案已实施完毕。2026年7月20日</w:t>
            </w:r>
            <w:r w:rsidR="006E11E7">
              <w:rPr>
                <w:rFonts w:ascii="仿宋_GB2312" w:eastAsia="仿宋_GB2312" w:hAnsi="仿宋_GB2312" w:hint="eastAsia"/>
                <w:sz w:val="24"/>
              </w:rPr>
              <w:t>公司</w:t>
            </w:r>
            <w:r w:rsidR="00413D24">
              <w:rPr>
                <w:rFonts w:ascii="仿宋_GB2312" w:eastAsia="仿宋_GB2312" w:hAnsi="仿宋_GB2312" w:hint="eastAsia"/>
                <w:sz w:val="24"/>
              </w:rPr>
              <w:t>公告</w:t>
            </w:r>
            <w:r>
              <w:rPr>
                <w:rFonts w:ascii="仿宋_GB2312" w:eastAsia="仿宋_GB2312" w:hAnsi="仿宋_GB2312"/>
                <w:sz w:val="24"/>
              </w:rPr>
              <w:t>，公司董事长陈德占先生提议制定2026年中期利润分配</w:t>
            </w:r>
            <w:r w:rsidR="001C24CC">
              <w:rPr>
                <w:rFonts w:ascii="仿宋_GB2312" w:eastAsia="仿宋_GB2312" w:hAnsi="仿宋_GB2312" w:hint="eastAsia"/>
                <w:sz w:val="24"/>
              </w:rPr>
              <w:t>方案</w:t>
            </w:r>
            <w:r w:rsidR="00413D24">
              <w:rPr>
                <w:rFonts w:ascii="仿宋_GB2312" w:eastAsia="仿宋_GB2312" w:hAnsi="仿宋_GB2312" w:hint="eastAsia"/>
                <w:sz w:val="24"/>
              </w:rPr>
              <w:t>。</w:t>
            </w:r>
            <w:r>
              <w:rPr>
                <w:rFonts w:ascii="仿宋_GB2312" w:eastAsia="仿宋_GB2312" w:hAnsi="仿宋_GB2312" w:hint="eastAsia"/>
                <w:sz w:val="24"/>
              </w:rPr>
              <w:t>经</w:t>
            </w:r>
            <w:r w:rsidR="00413D24">
              <w:rPr>
                <w:rFonts w:ascii="仿宋_GB2312" w:eastAsia="仿宋_GB2312" w:hAnsi="仿宋_GB2312" w:hint="eastAsia"/>
                <w:sz w:val="24"/>
              </w:rPr>
              <w:t>本次董事会</w:t>
            </w:r>
            <w:r>
              <w:rPr>
                <w:rFonts w:ascii="仿宋_GB2312" w:eastAsia="仿宋_GB2312" w:hAnsi="仿宋_GB2312" w:hint="eastAsia"/>
                <w:sz w:val="24"/>
              </w:rPr>
              <w:t>审议</w:t>
            </w:r>
            <w:r w:rsidR="008377F2">
              <w:rPr>
                <w:rFonts w:ascii="仿宋_GB2312" w:eastAsia="仿宋_GB2312" w:hAnsi="仿宋_GB2312" w:hint="eastAsia"/>
                <w:sz w:val="24"/>
              </w:rPr>
              <w:t>，</w:t>
            </w:r>
            <w:r>
              <w:rPr>
                <w:rFonts w:ascii="仿宋_GB2312" w:eastAsia="仿宋_GB2312" w:hAnsi="仿宋_GB2312" w:hint="eastAsia"/>
                <w:sz w:val="24"/>
              </w:rPr>
              <w:t>拟每10</w:t>
            </w:r>
            <w:r>
              <w:rPr>
                <w:rFonts w:ascii="仿宋_GB2312" w:eastAsia="仿宋_GB2312" w:hAnsi="仿宋_GB2312" w:hint="eastAsia"/>
                <w:sz w:val="24"/>
              </w:rPr>
              <w:lastRenderedPageBreak/>
              <w:t>股派发</w:t>
            </w:r>
            <w:r w:rsidR="002529FE">
              <w:rPr>
                <w:rFonts w:ascii="仿宋_GB2312" w:eastAsia="仿宋_GB2312" w:hAnsi="仿宋_GB2312" w:hint="eastAsia"/>
                <w:sz w:val="24"/>
              </w:rPr>
              <w:t>现金红利人民币1</w:t>
            </w:r>
            <w:r w:rsidR="00744F29">
              <w:rPr>
                <w:rFonts w:ascii="仿宋_GB2312" w:eastAsia="仿宋_GB2312" w:hAnsi="仿宋_GB2312" w:hint="eastAsia"/>
                <w:sz w:val="24"/>
              </w:rPr>
              <w:t>.0</w:t>
            </w:r>
            <w:r w:rsidR="002529FE">
              <w:rPr>
                <w:rFonts w:ascii="仿宋_GB2312" w:eastAsia="仿宋_GB2312" w:hAnsi="仿宋_GB2312" w:hint="eastAsia"/>
                <w:sz w:val="24"/>
              </w:rPr>
              <w:t>元（含税），共计5.48亿元。</w:t>
            </w:r>
            <w:r>
              <w:rPr>
                <w:rFonts w:ascii="仿宋_GB2312" w:eastAsia="仿宋_GB2312" w:hAnsi="仿宋_GB2312"/>
                <w:sz w:val="24"/>
              </w:rPr>
              <w:t>公司将坚持稳定的现金分红政策，在保障业务发展资金需求的同时，持续提升股东回报水平，为股东创造长期价值。</w:t>
            </w:r>
          </w:p>
        </w:tc>
      </w:tr>
      <w:tr w:rsidR="00E731AE" w14:paraId="3A534501" w14:textId="77777777">
        <w:trPr>
          <w:trHeight w:val="90"/>
        </w:trPr>
        <w:tc>
          <w:tcPr>
            <w:tcW w:w="2411" w:type="dxa"/>
            <w:vAlign w:val="center"/>
          </w:tcPr>
          <w:p w14:paraId="524BB622" w14:textId="77777777" w:rsidR="00E731AE" w:rsidRDefault="005203E3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lastRenderedPageBreak/>
              <w:t>关于本次活动是否涉及应披露重大信息的说明</w:t>
            </w:r>
          </w:p>
        </w:tc>
        <w:tc>
          <w:tcPr>
            <w:tcW w:w="6379" w:type="dxa"/>
            <w:vAlign w:val="center"/>
          </w:tcPr>
          <w:p w14:paraId="1302A170" w14:textId="77777777" w:rsidR="00E731AE" w:rsidRDefault="005203E3">
            <w:pPr>
              <w:spacing w:line="360" w:lineRule="auto"/>
              <w:jc w:val="center"/>
              <w:rPr>
                <w:rFonts w:ascii="宋体" w:hAnsi="宋体" w:cs="仿宋_GB2312"/>
                <w:bCs/>
                <w:i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iCs/>
                <w:sz w:val="24"/>
                <w:szCs w:val="24"/>
              </w:rPr>
              <w:t>否</w:t>
            </w:r>
          </w:p>
        </w:tc>
      </w:tr>
      <w:tr w:rsidR="00E731AE" w14:paraId="3103E0D8" w14:textId="77777777">
        <w:trPr>
          <w:trHeight w:val="1130"/>
        </w:trPr>
        <w:tc>
          <w:tcPr>
            <w:tcW w:w="2411" w:type="dxa"/>
            <w:vAlign w:val="center"/>
          </w:tcPr>
          <w:p w14:paraId="304202EB" w14:textId="77777777" w:rsidR="00E731AE" w:rsidRDefault="005203E3">
            <w:pPr>
              <w:spacing w:line="360" w:lineRule="auto"/>
              <w:jc w:val="center"/>
              <w:rPr>
                <w:rFonts w:ascii="宋体" w:hAnsi="宋体" w:cs="黑体"/>
                <w:iCs/>
                <w:sz w:val="24"/>
                <w:szCs w:val="24"/>
              </w:rPr>
            </w:pPr>
            <w:r>
              <w:rPr>
                <w:rFonts w:ascii="宋体" w:hAnsi="宋体" w:cs="黑体" w:hint="eastAsia"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6379" w:type="dxa"/>
          </w:tcPr>
          <w:p w14:paraId="4C0DF9AA" w14:textId="77777777" w:rsidR="00E731AE" w:rsidRDefault="00E731AE">
            <w:pPr>
              <w:spacing w:line="360" w:lineRule="auto"/>
              <w:rPr>
                <w:rFonts w:ascii="仿宋_GB2312" w:eastAsia="仿宋_GB2312" w:hAnsi="仿宋_GB2312" w:cs="仿宋_GB2312"/>
                <w:bCs/>
                <w:iCs/>
                <w:sz w:val="24"/>
                <w:szCs w:val="24"/>
              </w:rPr>
            </w:pPr>
          </w:p>
        </w:tc>
      </w:tr>
    </w:tbl>
    <w:p w14:paraId="3A61D651" w14:textId="77777777" w:rsidR="00E731AE" w:rsidRDefault="00E731AE">
      <w:pPr>
        <w:spacing w:line="360" w:lineRule="auto"/>
      </w:pPr>
    </w:p>
    <w:sectPr w:rsidR="00E731A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FB32" w14:textId="77777777" w:rsidR="002B42F2" w:rsidRDefault="002B42F2" w:rsidP="00520966">
      <w:r>
        <w:separator/>
      </w:r>
    </w:p>
  </w:endnote>
  <w:endnote w:type="continuationSeparator" w:id="0">
    <w:p w14:paraId="57C05D37" w14:textId="77777777" w:rsidR="002B42F2" w:rsidRDefault="002B42F2" w:rsidP="0052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B0C9" w14:textId="77777777" w:rsidR="002B42F2" w:rsidRDefault="002B42F2" w:rsidP="00520966">
      <w:r>
        <w:separator/>
      </w:r>
    </w:p>
  </w:footnote>
  <w:footnote w:type="continuationSeparator" w:id="0">
    <w:p w14:paraId="60584121" w14:textId="77777777" w:rsidR="002B42F2" w:rsidRDefault="002B42F2" w:rsidP="005209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1C24CC"/>
    <w:rsid w:val="002164FD"/>
    <w:rsid w:val="002529FE"/>
    <w:rsid w:val="002B42F2"/>
    <w:rsid w:val="003F6326"/>
    <w:rsid w:val="00413D24"/>
    <w:rsid w:val="004B5AA6"/>
    <w:rsid w:val="005203E3"/>
    <w:rsid w:val="00520966"/>
    <w:rsid w:val="00533254"/>
    <w:rsid w:val="00533FB6"/>
    <w:rsid w:val="00556619"/>
    <w:rsid w:val="006505E0"/>
    <w:rsid w:val="006E11E7"/>
    <w:rsid w:val="00744F29"/>
    <w:rsid w:val="007923DF"/>
    <w:rsid w:val="007A480C"/>
    <w:rsid w:val="008377F2"/>
    <w:rsid w:val="00992993"/>
    <w:rsid w:val="00A42031"/>
    <w:rsid w:val="00A44F84"/>
    <w:rsid w:val="00A57452"/>
    <w:rsid w:val="00AA2FEA"/>
    <w:rsid w:val="00B43546"/>
    <w:rsid w:val="00B77BCA"/>
    <w:rsid w:val="00BA690C"/>
    <w:rsid w:val="00BB02B8"/>
    <w:rsid w:val="00E731AE"/>
    <w:rsid w:val="082264AD"/>
    <w:rsid w:val="08DB6A0C"/>
    <w:rsid w:val="0C172490"/>
    <w:rsid w:val="0F024EAD"/>
    <w:rsid w:val="1BE5D122"/>
    <w:rsid w:val="1C8011BD"/>
    <w:rsid w:val="1D547238"/>
    <w:rsid w:val="1DE75D86"/>
    <w:rsid w:val="1FFC1EF1"/>
    <w:rsid w:val="20922EFF"/>
    <w:rsid w:val="22765384"/>
    <w:rsid w:val="2A644BB0"/>
    <w:rsid w:val="2D5F5522"/>
    <w:rsid w:val="2EE817B0"/>
    <w:rsid w:val="31D90E48"/>
    <w:rsid w:val="331C1F78"/>
    <w:rsid w:val="36721D4D"/>
    <w:rsid w:val="3B3665B8"/>
    <w:rsid w:val="477A2C98"/>
    <w:rsid w:val="4EAE3E76"/>
    <w:rsid w:val="51237AAF"/>
    <w:rsid w:val="54CC0884"/>
    <w:rsid w:val="56194AE5"/>
    <w:rsid w:val="5D5CAED4"/>
    <w:rsid w:val="5F7F8892"/>
    <w:rsid w:val="603D0153"/>
    <w:rsid w:val="6184481B"/>
    <w:rsid w:val="61E62405"/>
    <w:rsid w:val="63FB399E"/>
    <w:rsid w:val="67E4235D"/>
    <w:rsid w:val="69D202A8"/>
    <w:rsid w:val="6C224E83"/>
    <w:rsid w:val="743453B3"/>
    <w:rsid w:val="759B3B0D"/>
    <w:rsid w:val="77275DC2"/>
    <w:rsid w:val="77F7B6CD"/>
    <w:rsid w:val="785250C1"/>
    <w:rsid w:val="BAF7FEE2"/>
    <w:rsid w:val="BBF544EE"/>
    <w:rsid w:val="BDFF5F45"/>
    <w:rsid w:val="DFEE01B4"/>
    <w:rsid w:val="EADD0FBF"/>
    <w:rsid w:val="EFB820BE"/>
    <w:rsid w:val="FA9B461A"/>
    <w:rsid w:val="FBFF4EAF"/>
    <w:rsid w:val="FEFF720E"/>
    <w:rsid w:val="FF7710FD"/>
    <w:rsid w:val="FFBB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2F8DA1"/>
  <w15:docId w15:val="{023B5581-25AA-4E8B-979E-616131E6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1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next w:val="a"/>
    <w:qFormat/>
    <w:pPr>
      <w:widowControl w:val="0"/>
      <w:adjustRightInd w:val="0"/>
      <w:spacing w:before="320" w:line="300" w:lineRule="auto"/>
      <w:jc w:val="both"/>
      <w:outlineLvl w:val="0"/>
    </w:pPr>
    <w:rPr>
      <w:rFonts w:eastAsia="黑体"/>
      <w:color w:val="000000"/>
      <w:kern w:val="44"/>
      <w:sz w:val="32"/>
      <w:szCs w:val="44"/>
    </w:rPr>
  </w:style>
  <w:style w:type="paragraph" w:styleId="2">
    <w:name w:val="heading 2"/>
    <w:next w:val="a"/>
    <w:unhideWhenUsed/>
    <w:qFormat/>
    <w:pPr>
      <w:widowControl w:val="0"/>
      <w:adjustRightInd w:val="0"/>
      <w:spacing w:before="280" w:line="300" w:lineRule="auto"/>
      <w:jc w:val="both"/>
      <w:outlineLvl w:val="1"/>
    </w:pPr>
    <w:rPr>
      <w:rFonts w:eastAsia="黑体"/>
      <w:kern w:val="2"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ody Text"/>
    <w:qFormat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1"/>
    <w:unhideWhenUsed/>
    <w:qFormat/>
    <w:pPr>
      <w:spacing w:beforeAutospacing="1" w:afterAutospacing="1"/>
      <w:jc w:val="left"/>
    </w:pPr>
    <w:rPr>
      <w:kern w:val="0"/>
      <w:sz w:val="24"/>
    </w:rPr>
  </w:style>
  <w:style w:type="paragraph" w:styleId="ad">
    <w:name w:val="annotation subject"/>
    <w:basedOn w:val="a3"/>
    <w:next w:val="a3"/>
    <w:link w:val="ae"/>
    <w:uiPriority w:val="99"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Strong"/>
    <w:basedOn w:val="a0"/>
    <w:uiPriority w:val="1"/>
    <w:qFormat/>
    <w:rPr>
      <w:b/>
    </w:rPr>
  </w:style>
  <w:style w:type="character" w:styleId="af1">
    <w:name w:val="Hyperlink"/>
    <w:uiPriority w:val="99"/>
    <w:unhideWhenUsed/>
    <w:qFormat/>
    <w:rPr>
      <w:color w:val="467886"/>
      <w:u w:val="single"/>
    </w:rPr>
  </w:style>
  <w:style w:type="character" w:styleId="af2">
    <w:name w:val="annotation reference"/>
    <w:uiPriority w:val="99"/>
    <w:unhideWhenUsed/>
    <w:qFormat/>
    <w:rPr>
      <w:sz w:val="21"/>
      <w:szCs w:val="21"/>
    </w:rPr>
  </w:style>
  <w:style w:type="character" w:customStyle="1" w:styleId="a9">
    <w:name w:val="页脚 字符"/>
    <w:link w:val="a8"/>
    <w:uiPriority w:val="99"/>
    <w:qFormat/>
    <w:rPr>
      <w:kern w:val="2"/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  <w:rPr>
      <w:kern w:val="2"/>
      <w:sz w:val="21"/>
      <w:szCs w:val="22"/>
    </w:rPr>
  </w:style>
  <w:style w:type="character" w:customStyle="1" w:styleId="10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ab">
    <w:name w:val="页眉 字符"/>
    <w:link w:val="aa"/>
    <w:uiPriority w:val="99"/>
    <w:qFormat/>
    <w:rPr>
      <w:kern w:val="2"/>
      <w:sz w:val="18"/>
      <w:szCs w:val="18"/>
    </w:rPr>
  </w:style>
  <w:style w:type="character" w:customStyle="1" w:styleId="ae">
    <w:name w:val="批注主题 字符"/>
    <w:link w:val="ad"/>
    <w:uiPriority w:val="99"/>
    <w:semiHidden/>
    <w:qFormat/>
    <w:rPr>
      <w:b/>
      <w:bCs/>
      <w:kern w:val="2"/>
      <w:sz w:val="21"/>
      <w:szCs w:val="22"/>
    </w:rPr>
  </w:style>
  <w:style w:type="character" w:customStyle="1" w:styleId="a7">
    <w:name w:val="批注框文本 字符"/>
    <w:link w:val="a6"/>
    <w:uiPriority w:val="99"/>
    <w:semiHidden/>
    <w:qFormat/>
    <w:rPr>
      <w:kern w:val="2"/>
      <w:sz w:val="18"/>
      <w:szCs w:val="18"/>
    </w:rPr>
  </w:style>
  <w:style w:type="paragraph" w:customStyle="1" w:styleId="11">
    <w:name w:val="修订1"/>
    <w:uiPriority w:val="99"/>
    <w:unhideWhenUsed/>
    <w:qFormat/>
    <w:rPr>
      <w:kern w:val="2"/>
      <w:sz w:val="21"/>
      <w:szCs w:val="22"/>
    </w:rPr>
  </w:style>
  <w:style w:type="paragraph" w:customStyle="1" w:styleId="12">
    <w:name w:val="列表段落1"/>
    <w:basedOn w:val="a"/>
    <w:uiPriority w:val="99"/>
    <w:qFormat/>
    <w:pPr>
      <w:ind w:firstLineChars="200" w:firstLine="420"/>
    </w:p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</w:rPr>
  </w:style>
  <w:style w:type="paragraph" w:styleId="af3">
    <w:name w:val="Revision"/>
    <w:hidden/>
    <w:uiPriority w:val="99"/>
    <w:semiHidden/>
    <w:rsid w:val="003F632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Xiang</dc:creator>
  <cp:lastModifiedBy>Nail He</cp:lastModifiedBy>
  <cp:revision>43</cp:revision>
  <cp:lastPrinted>2026-08-28T06:53:00Z</cp:lastPrinted>
  <dcterms:created xsi:type="dcterms:W3CDTF">2025-04-16T21:24:00Z</dcterms:created>
  <dcterms:modified xsi:type="dcterms:W3CDTF">2026-08-28T07:08:00Z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A5EAD4DD4F4F59C0648C756A82DF0732_43</vt:lpwstr>
  </property>
  <property fmtid="{D5CDD505-2E9C-101B-9397-08002B2CF9AE}" pid="4" name="KSOTemplateDocerSaveRecord">
    <vt:lpwstr>eyJoZGlkIjoiMWM4MmVkOTA1MjFjYzMwZWNmZGFhODliZDBjZWU4YWMiLCJ1c2VySWQiOiIyMzcxOTgwOTIifQ==</vt:lpwstr>
  </property>
</Properties>
</file>