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5B56B" w14:textId="77777777" w:rsidR="00FD4025" w:rsidRDefault="00506D5A">
      <w:pPr>
        <w:spacing w:line="560" w:lineRule="exact"/>
        <w:rPr>
          <w:rFonts w:ascii="宋体" w:hAnsi="宋体"/>
          <w:bCs/>
          <w:iCs/>
          <w:color w:val="000000"/>
          <w:sz w:val="24"/>
          <w:szCs w:val="24"/>
        </w:rPr>
      </w:pPr>
      <w:r>
        <w:rPr>
          <w:rFonts w:ascii="宋体" w:hAnsi="宋体" w:hint="eastAsia"/>
          <w:bCs/>
          <w:iCs/>
          <w:color w:val="000000"/>
          <w:sz w:val="24"/>
          <w:szCs w:val="24"/>
        </w:rPr>
        <w:t xml:space="preserve">证券代码：605196                            </w:t>
      </w:r>
      <w:r>
        <w:rPr>
          <w:rFonts w:ascii="宋体" w:hAnsi="宋体"/>
          <w:bCs/>
          <w:iCs/>
          <w:color w:val="000000"/>
          <w:sz w:val="24"/>
          <w:szCs w:val="24"/>
        </w:rPr>
        <w:t xml:space="preserve">     </w:t>
      </w:r>
      <w:r>
        <w:rPr>
          <w:rFonts w:ascii="宋体" w:hAnsi="宋体" w:hint="eastAsia"/>
          <w:bCs/>
          <w:iCs/>
          <w:color w:val="000000"/>
          <w:sz w:val="24"/>
          <w:szCs w:val="24"/>
        </w:rPr>
        <w:t xml:space="preserve">  证券简称：华通线缆</w:t>
      </w:r>
    </w:p>
    <w:p w14:paraId="3B8D7841" w14:textId="77777777" w:rsidR="00FD4025" w:rsidRDefault="00506D5A">
      <w:pPr>
        <w:spacing w:line="560" w:lineRule="exact"/>
        <w:jc w:val="center"/>
        <w:rPr>
          <w:rFonts w:ascii="宋体" w:hAnsi="宋体"/>
          <w:b/>
          <w:bCs/>
          <w:iCs/>
          <w:color w:val="000000"/>
          <w:sz w:val="28"/>
          <w:szCs w:val="28"/>
        </w:rPr>
      </w:pPr>
      <w:r>
        <w:rPr>
          <w:rFonts w:ascii="宋体" w:hAnsi="宋体" w:hint="eastAsia"/>
          <w:b/>
          <w:bCs/>
          <w:iCs/>
          <w:color w:val="000000"/>
          <w:sz w:val="28"/>
          <w:szCs w:val="28"/>
        </w:rPr>
        <w:t>河北华通线缆集团股份有限公司</w:t>
      </w:r>
    </w:p>
    <w:p w14:paraId="3D4B19CC" w14:textId="77777777" w:rsidR="00FD4025" w:rsidRDefault="00506D5A">
      <w:pPr>
        <w:spacing w:line="560" w:lineRule="exact"/>
        <w:jc w:val="center"/>
        <w:rPr>
          <w:rFonts w:ascii="宋体" w:hAnsi="宋体"/>
          <w:b/>
          <w:bCs/>
          <w:iCs/>
          <w:color w:val="000000"/>
          <w:sz w:val="28"/>
          <w:szCs w:val="28"/>
        </w:rPr>
      </w:pPr>
      <w:r>
        <w:rPr>
          <w:rFonts w:ascii="宋体" w:hAnsi="宋体" w:hint="eastAsia"/>
          <w:b/>
          <w:bCs/>
          <w:iCs/>
          <w:color w:val="000000"/>
          <w:sz w:val="28"/>
          <w:szCs w:val="28"/>
        </w:rPr>
        <w:t>投资者关系活动记录表</w:t>
      </w:r>
    </w:p>
    <w:p w14:paraId="05298C31" w14:textId="77777777" w:rsidR="00FD4025" w:rsidRDefault="00506D5A">
      <w:pPr>
        <w:spacing w:line="560" w:lineRule="exact"/>
        <w:rPr>
          <w:rFonts w:ascii="宋体" w:hAnsi="宋体"/>
          <w:bCs/>
          <w:iCs/>
          <w:color w:val="000000"/>
          <w:sz w:val="24"/>
          <w:szCs w:val="24"/>
        </w:rPr>
      </w:pPr>
      <w:r>
        <w:rPr>
          <w:rFonts w:ascii="宋体" w:hAnsi="宋体" w:hint="eastAsia"/>
          <w:bCs/>
          <w:iCs/>
          <w:color w:val="000000"/>
          <w:sz w:val="28"/>
          <w:szCs w:val="28"/>
        </w:rPr>
        <w:t xml:space="preserve">                                        </w:t>
      </w:r>
      <w:r>
        <w:rPr>
          <w:rFonts w:ascii="宋体" w:hAnsi="宋体"/>
          <w:bCs/>
          <w:iCs/>
          <w:color w:val="000000"/>
          <w:sz w:val="28"/>
          <w:szCs w:val="28"/>
        </w:rPr>
        <w:t xml:space="preserve">   </w:t>
      </w:r>
      <w:r>
        <w:rPr>
          <w:rFonts w:ascii="宋体" w:hAnsi="宋体" w:hint="eastAsia"/>
          <w:bCs/>
          <w:iCs/>
          <w:color w:val="000000"/>
          <w:sz w:val="28"/>
          <w:szCs w:val="28"/>
        </w:rPr>
        <w:t xml:space="preserve">   </w:t>
      </w:r>
      <w:r>
        <w:rPr>
          <w:rFonts w:ascii="宋体" w:hAnsi="宋体" w:hint="eastAsia"/>
          <w:bCs/>
          <w:iCs/>
          <w:color w:val="000000"/>
          <w:sz w:val="24"/>
          <w:szCs w:val="24"/>
        </w:rPr>
        <w:t>编号：2</w:t>
      </w:r>
      <w:r>
        <w:rPr>
          <w:rFonts w:ascii="宋体" w:hAnsi="宋体"/>
          <w:bCs/>
          <w:iCs/>
          <w:color w:val="000000"/>
          <w:sz w:val="24"/>
          <w:szCs w:val="24"/>
        </w:rPr>
        <w:t>02</w:t>
      </w:r>
      <w:r>
        <w:rPr>
          <w:rFonts w:ascii="宋体" w:hAnsi="宋体" w:hint="eastAsia"/>
          <w:bCs/>
          <w:iCs/>
          <w:color w:val="000000"/>
          <w:sz w:val="24"/>
          <w:szCs w:val="24"/>
        </w:rPr>
        <w:t>6</w:t>
      </w:r>
      <w:r>
        <w:rPr>
          <w:rFonts w:ascii="宋体" w:hAnsi="宋体"/>
          <w:bCs/>
          <w:iCs/>
          <w:color w:val="000000"/>
          <w:sz w:val="24"/>
          <w:szCs w:val="24"/>
        </w:rPr>
        <w:t>-003</w:t>
      </w:r>
    </w:p>
    <w:tbl>
      <w:tblPr>
        <w:tblW w:w="4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9"/>
        <w:gridCol w:w="1689"/>
        <w:gridCol w:w="1689"/>
        <w:gridCol w:w="1689"/>
        <w:gridCol w:w="1706"/>
      </w:tblGrid>
      <w:tr w:rsidR="00FD4025" w14:paraId="63187AB2"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25F3E88D"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t>投资者关系活动类别</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192D3E45" w14:textId="77777777" w:rsidR="00FD4025" w:rsidRDefault="00506D5A">
            <w:pPr>
              <w:spacing w:line="560" w:lineRule="exact"/>
              <w:rPr>
                <w:rFonts w:ascii="宋体" w:hAnsi="宋体"/>
                <w:bCs/>
                <w:iCs/>
                <w:color w:val="000000"/>
                <w:sz w:val="24"/>
                <w:szCs w:val="24"/>
              </w:rPr>
            </w:pPr>
            <w:r>
              <w:rPr>
                <w:rFonts w:ascii="宋体" w:hAnsi="宋体" w:hint="eastAsia"/>
                <w:bCs/>
                <w:iCs/>
                <w:color w:val="000000"/>
                <w:sz w:val="24"/>
                <w:szCs w:val="24"/>
              </w:rPr>
              <w:sym w:font="Wingdings 2" w:char="F050"/>
            </w:r>
            <w:r>
              <w:rPr>
                <w:rFonts w:ascii="宋体" w:hAnsi="宋体" w:hint="eastAsia"/>
                <w:color w:val="000000"/>
                <w:sz w:val="24"/>
                <w:szCs w:val="24"/>
              </w:rPr>
              <w:t xml:space="preserve">特定对象调研      </w:t>
            </w:r>
            <w:r>
              <w:rPr>
                <w:rFonts w:ascii="宋体" w:hAnsi="宋体"/>
                <w:color w:val="000000"/>
                <w:sz w:val="24"/>
                <w:szCs w:val="24"/>
              </w:rPr>
              <w:t xml:space="preserve">  </w:t>
            </w:r>
            <w:r>
              <w:rPr>
                <w:rFonts w:ascii="宋体" w:hAnsi="宋体" w:hint="eastAsia"/>
                <w:bCs/>
                <w:iCs/>
                <w:color w:val="000000"/>
                <w:sz w:val="24"/>
                <w:szCs w:val="24"/>
              </w:rPr>
              <w:t>□</w:t>
            </w:r>
            <w:r>
              <w:rPr>
                <w:rFonts w:ascii="宋体" w:hAnsi="宋体" w:hint="eastAsia"/>
                <w:color w:val="000000"/>
                <w:sz w:val="24"/>
                <w:szCs w:val="24"/>
              </w:rPr>
              <w:t>分析师会议</w:t>
            </w:r>
          </w:p>
          <w:p w14:paraId="77BA96C2" w14:textId="77777777" w:rsidR="00FD4025" w:rsidRDefault="00506D5A">
            <w:pPr>
              <w:spacing w:line="560" w:lineRule="exact"/>
              <w:rPr>
                <w:rFonts w:ascii="宋体" w:hAnsi="宋体"/>
                <w:bCs/>
                <w:iCs/>
                <w:color w:val="000000"/>
                <w:sz w:val="24"/>
                <w:szCs w:val="24"/>
              </w:rPr>
            </w:pPr>
            <w:r>
              <w:rPr>
                <w:rFonts w:ascii="宋体" w:hAnsi="宋体" w:hint="eastAsia"/>
                <w:bCs/>
                <w:iCs/>
                <w:color w:val="000000"/>
                <w:sz w:val="24"/>
                <w:szCs w:val="24"/>
              </w:rPr>
              <w:t>□</w:t>
            </w:r>
            <w:r>
              <w:rPr>
                <w:rFonts w:ascii="宋体" w:hAnsi="宋体" w:hint="eastAsia"/>
                <w:color w:val="000000"/>
                <w:sz w:val="24"/>
                <w:szCs w:val="24"/>
              </w:rPr>
              <w:t xml:space="preserve">媒体采访            </w:t>
            </w:r>
            <w:r>
              <w:rPr>
                <w:rFonts w:ascii="宋体" w:hAnsi="宋体" w:hint="eastAsia"/>
                <w:bCs/>
                <w:iCs/>
                <w:color w:val="000000"/>
                <w:sz w:val="24"/>
                <w:szCs w:val="24"/>
              </w:rPr>
              <w:t>□</w:t>
            </w:r>
            <w:r>
              <w:rPr>
                <w:rFonts w:ascii="宋体" w:hAnsi="宋体" w:hint="eastAsia"/>
                <w:color w:val="000000"/>
                <w:sz w:val="24"/>
                <w:szCs w:val="24"/>
              </w:rPr>
              <w:t>业绩说明会</w:t>
            </w:r>
          </w:p>
          <w:p w14:paraId="4C368B6F" w14:textId="77777777" w:rsidR="00FD4025" w:rsidRDefault="00506D5A">
            <w:pPr>
              <w:spacing w:line="560" w:lineRule="exact"/>
              <w:rPr>
                <w:rFonts w:ascii="宋体" w:hAnsi="宋体"/>
                <w:bCs/>
                <w:iCs/>
                <w:color w:val="000000"/>
                <w:sz w:val="24"/>
                <w:szCs w:val="24"/>
              </w:rPr>
            </w:pPr>
            <w:r>
              <w:rPr>
                <w:rFonts w:ascii="宋体" w:hAnsi="宋体" w:hint="eastAsia"/>
                <w:bCs/>
                <w:iCs/>
                <w:color w:val="000000"/>
                <w:sz w:val="24"/>
                <w:szCs w:val="24"/>
              </w:rPr>
              <w:t>□</w:t>
            </w:r>
            <w:r>
              <w:rPr>
                <w:rFonts w:ascii="宋体" w:hAnsi="宋体" w:hint="eastAsia"/>
                <w:color w:val="000000"/>
                <w:sz w:val="24"/>
                <w:szCs w:val="24"/>
              </w:rPr>
              <w:t xml:space="preserve">新闻发布会          </w:t>
            </w:r>
            <w:r>
              <w:rPr>
                <w:rFonts w:ascii="宋体" w:hAnsi="宋体" w:hint="eastAsia"/>
                <w:bCs/>
                <w:iCs/>
                <w:color w:val="000000"/>
                <w:sz w:val="24"/>
                <w:szCs w:val="24"/>
              </w:rPr>
              <w:t>□</w:t>
            </w:r>
            <w:r>
              <w:rPr>
                <w:rFonts w:ascii="宋体" w:hAnsi="宋体" w:hint="eastAsia"/>
                <w:color w:val="000000"/>
                <w:sz w:val="24"/>
                <w:szCs w:val="24"/>
              </w:rPr>
              <w:t>路演活动</w:t>
            </w:r>
          </w:p>
          <w:p w14:paraId="26108704" w14:textId="77777777" w:rsidR="00FD4025" w:rsidRDefault="00506D5A">
            <w:pPr>
              <w:tabs>
                <w:tab w:val="left" w:pos="3045"/>
                <w:tab w:val="center" w:pos="3199"/>
              </w:tabs>
              <w:spacing w:line="560" w:lineRule="exact"/>
              <w:rPr>
                <w:rFonts w:ascii="宋体" w:hAnsi="宋体"/>
                <w:bCs/>
                <w:iCs/>
                <w:color w:val="000000"/>
                <w:sz w:val="24"/>
                <w:szCs w:val="24"/>
              </w:rPr>
            </w:pPr>
            <w:r>
              <w:rPr>
                <w:rFonts w:ascii="宋体" w:hAnsi="宋体" w:hint="eastAsia"/>
                <w:bCs/>
                <w:iCs/>
                <w:color w:val="000000"/>
                <w:sz w:val="24"/>
                <w:szCs w:val="24"/>
              </w:rPr>
              <w:t>□</w:t>
            </w:r>
            <w:r>
              <w:rPr>
                <w:rFonts w:ascii="宋体" w:hAnsi="宋体" w:hint="eastAsia"/>
                <w:color w:val="000000"/>
                <w:sz w:val="24"/>
                <w:szCs w:val="24"/>
              </w:rPr>
              <w:t xml:space="preserve">现场参观            </w:t>
            </w:r>
            <w:r>
              <w:rPr>
                <w:rFonts w:ascii="宋体" w:hAnsi="宋体" w:hint="eastAsia"/>
                <w:bCs/>
                <w:iCs/>
                <w:color w:val="000000"/>
                <w:sz w:val="24"/>
                <w:szCs w:val="24"/>
              </w:rPr>
              <w:t>□</w:t>
            </w:r>
            <w:r>
              <w:rPr>
                <w:rFonts w:ascii="宋体" w:hAnsi="宋体" w:hint="eastAsia"/>
                <w:color w:val="000000"/>
                <w:sz w:val="24"/>
                <w:szCs w:val="24"/>
              </w:rPr>
              <w:t>其他</w:t>
            </w:r>
          </w:p>
        </w:tc>
      </w:tr>
      <w:tr w:rsidR="00FD4025" w14:paraId="160BA721" w14:textId="77777777">
        <w:trPr>
          <w:trHeight w:val="140"/>
          <w:jc w:val="center"/>
        </w:trPr>
        <w:tc>
          <w:tcPr>
            <w:tcW w:w="805" w:type="pct"/>
            <w:vMerge w:val="restart"/>
            <w:tcBorders>
              <w:top w:val="single" w:sz="4" w:space="0" w:color="auto"/>
              <w:left w:val="single" w:sz="4" w:space="0" w:color="auto"/>
              <w:right w:val="single" w:sz="4" w:space="0" w:color="auto"/>
            </w:tcBorders>
            <w:vAlign w:val="center"/>
          </w:tcPr>
          <w:p w14:paraId="3D27DB20"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t>参与单位名称及人员名称</w:t>
            </w:r>
          </w:p>
        </w:tc>
        <w:tc>
          <w:tcPr>
            <w:tcW w:w="1046" w:type="pct"/>
            <w:tcBorders>
              <w:top w:val="single" w:sz="4" w:space="0" w:color="auto"/>
              <w:left w:val="single" w:sz="4" w:space="0" w:color="auto"/>
              <w:bottom w:val="single" w:sz="4" w:space="0" w:color="auto"/>
              <w:right w:val="single" w:sz="4" w:space="0" w:color="auto"/>
            </w:tcBorders>
            <w:vAlign w:val="center"/>
          </w:tcPr>
          <w:p w14:paraId="666754CE"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浙商证券</w:t>
            </w:r>
          </w:p>
        </w:tc>
        <w:tc>
          <w:tcPr>
            <w:tcW w:w="1046" w:type="pct"/>
            <w:tcBorders>
              <w:top w:val="single" w:sz="4" w:space="0" w:color="auto"/>
              <w:left w:val="single" w:sz="4" w:space="0" w:color="auto"/>
              <w:bottom w:val="single" w:sz="4" w:space="0" w:color="auto"/>
              <w:right w:val="single" w:sz="4" w:space="0" w:color="auto"/>
            </w:tcBorders>
            <w:vAlign w:val="center"/>
          </w:tcPr>
          <w:p w14:paraId="252D528E"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易方达</w:t>
            </w:r>
          </w:p>
        </w:tc>
        <w:tc>
          <w:tcPr>
            <w:tcW w:w="1046" w:type="pct"/>
            <w:tcBorders>
              <w:top w:val="single" w:sz="4" w:space="0" w:color="auto"/>
              <w:left w:val="single" w:sz="4" w:space="0" w:color="auto"/>
              <w:bottom w:val="single" w:sz="4" w:space="0" w:color="auto"/>
              <w:right w:val="single" w:sz="4" w:space="0" w:color="auto"/>
            </w:tcBorders>
            <w:vAlign w:val="center"/>
          </w:tcPr>
          <w:p w14:paraId="56C4E4C1"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富国基金</w:t>
            </w:r>
          </w:p>
        </w:tc>
        <w:tc>
          <w:tcPr>
            <w:tcW w:w="1057" w:type="pct"/>
            <w:tcBorders>
              <w:top w:val="single" w:sz="4" w:space="0" w:color="auto"/>
              <w:left w:val="single" w:sz="4" w:space="0" w:color="auto"/>
              <w:bottom w:val="single" w:sz="4" w:space="0" w:color="auto"/>
              <w:right w:val="single" w:sz="4" w:space="0" w:color="auto"/>
            </w:tcBorders>
            <w:vAlign w:val="center"/>
          </w:tcPr>
          <w:p w14:paraId="21A233B4"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平安基金</w:t>
            </w:r>
          </w:p>
        </w:tc>
      </w:tr>
      <w:tr w:rsidR="00FD4025" w14:paraId="6D1D1C36" w14:textId="77777777">
        <w:trPr>
          <w:trHeight w:val="140"/>
          <w:jc w:val="center"/>
        </w:trPr>
        <w:tc>
          <w:tcPr>
            <w:tcW w:w="805" w:type="pct"/>
            <w:vMerge/>
            <w:tcBorders>
              <w:left w:val="single" w:sz="4" w:space="0" w:color="auto"/>
              <w:right w:val="single" w:sz="4" w:space="0" w:color="auto"/>
            </w:tcBorders>
            <w:vAlign w:val="center"/>
          </w:tcPr>
          <w:p w14:paraId="364F316D"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1727E3F0"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华泰证券</w:t>
            </w:r>
          </w:p>
        </w:tc>
        <w:tc>
          <w:tcPr>
            <w:tcW w:w="1046" w:type="pct"/>
            <w:tcBorders>
              <w:top w:val="single" w:sz="4" w:space="0" w:color="auto"/>
              <w:left w:val="single" w:sz="4" w:space="0" w:color="auto"/>
              <w:bottom w:val="single" w:sz="4" w:space="0" w:color="auto"/>
              <w:right w:val="single" w:sz="4" w:space="0" w:color="auto"/>
            </w:tcBorders>
            <w:vAlign w:val="center"/>
          </w:tcPr>
          <w:p w14:paraId="706030A5"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汇添富基金</w:t>
            </w:r>
          </w:p>
        </w:tc>
        <w:tc>
          <w:tcPr>
            <w:tcW w:w="1046" w:type="pct"/>
            <w:tcBorders>
              <w:top w:val="single" w:sz="4" w:space="0" w:color="auto"/>
              <w:left w:val="single" w:sz="4" w:space="0" w:color="auto"/>
              <w:bottom w:val="single" w:sz="4" w:space="0" w:color="auto"/>
              <w:right w:val="single" w:sz="4" w:space="0" w:color="auto"/>
            </w:tcBorders>
            <w:vAlign w:val="center"/>
          </w:tcPr>
          <w:p w14:paraId="35372E91"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中银基金</w:t>
            </w:r>
          </w:p>
        </w:tc>
        <w:tc>
          <w:tcPr>
            <w:tcW w:w="1057" w:type="pct"/>
            <w:tcBorders>
              <w:top w:val="single" w:sz="4" w:space="0" w:color="auto"/>
              <w:left w:val="single" w:sz="4" w:space="0" w:color="auto"/>
              <w:bottom w:val="single" w:sz="4" w:space="0" w:color="auto"/>
              <w:right w:val="single" w:sz="4" w:space="0" w:color="auto"/>
            </w:tcBorders>
            <w:vAlign w:val="center"/>
          </w:tcPr>
          <w:p w14:paraId="210237A3"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银河基金</w:t>
            </w:r>
          </w:p>
        </w:tc>
      </w:tr>
      <w:tr w:rsidR="00FD4025" w14:paraId="48FEDE17" w14:textId="77777777">
        <w:trPr>
          <w:trHeight w:val="140"/>
          <w:jc w:val="center"/>
        </w:trPr>
        <w:tc>
          <w:tcPr>
            <w:tcW w:w="805" w:type="pct"/>
            <w:vMerge/>
            <w:tcBorders>
              <w:left w:val="single" w:sz="4" w:space="0" w:color="auto"/>
              <w:right w:val="single" w:sz="4" w:space="0" w:color="auto"/>
            </w:tcBorders>
            <w:vAlign w:val="center"/>
          </w:tcPr>
          <w:p w14:paraId="4D5484ED"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3E7C590F"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交银施罗德</w:t>
            </w:r>
          </w:p>
        </w:tc>
        <w:tc>
          <w:tcPr>
            <w:tcW w:w="1046" w:type="pct"/>
            <w:tcBorders>
              <w:top w:val="single" w:sz="4" w:space="0" w:color="auto"/>
              <w:left w:val="single" w:sz="4" w:space="0" w:color="auto"/>
              <w:bottom w:val="single" w:sz="4" w:space="0" w:color="auto"/>
              <w:right w:val="single" w:sz="4" w:space="0" w:color="auto"/>
            </w:tcBorders>
            <w:vAlign w:val="center"/>
          </w:tcPr>
          <w:p w14:paraId="43716094"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东方证券</w:t>
            </w:r>
          </w:p>
        </w:tc>
        <w:tc>
          <w:tcPr>
            <w:tcW w:w="1046" w:type="pct"/>
            <w:tcBorders>
              <w:top w:val="single" w:sz="4" w:space="0" w:color="auto"/>
              <w:left w:val="single" w:sz="4" w:space="0" w:color="auto"/>
              <w:bottom w:val="single" w:sz="4" w:space="0" w:color="auto"/>
              <w:right w:val="single" w:sz="4" w:space="0" w:color="auto"/>
            </w:tcBorders>
            <w:vAlign w:val="center"/>
          </w:tcPr>
          <w:p w14:paraId="6F92D638"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鹏扬基金</w:t>
            </w:r>
          </w:p>
        </w:tc>
        <w:tc>
          <w:tcPr>
            <w:tcW w:w="1057" w:type="pct"/>
            <w:tcBorders>
              <w:top w:val="single" w:sz="4" w:space="0" w:color="auto"/>
              <w:left w:val="single" w:sz="4" w:space="0" w:color="auto"/>
              <w:bottom w:val="single" w:sz="4" w:space="0" w:color="auto"/>
              <w:right w:val="single" w:sz="4" w:space="0" w:color="auto"/>
            </w:tcBorders>
            <w:vAlign w:val="center"/>
          </w:tcPr>
          <w:p w14:paraId="6F3114FB"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长城基金</w:t>
            </w:r>
          </w:p>
        </w:tc>
      </w:tr>
      <w:tr w:rsidR="00FD4025" w14:paraId="74A0DA5F" w14:textId="77777777">
        <w:trPr>
          <w:trHeight w:val="140"/>
          <w:jc w:val="center"/>
        </w:trPr>
        <w:tc>
          <w:tcPr>
            <w:tcW w:w="805" w:type="pct"/>
            <w:vMerge/>
            <w:tcBorders>
              <w:left w:val="single" w:sz="4" w:space="0" w:color="auto"/>
              <w:right w:val="single" w:sz="4" w:space="0" w:color="auto"/>
            </w:tcBorders>
            <w:vAlign w:val="center"/>
          </w:tcPr>
          <w:p w14:paraId="04D12818"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66FBD5FE"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海富通基金</w:t>
            </w:r>
          </w:p>
        </w:tc>
        <w:tc>
          <w:tcPr>
            <w:tcW w:w="1046" w:type="pct"/>
            <w:tcBorders>
              <w:top w:val="single" w:sz="4" w:space="0" w:color="auto"/>
              <w:left w:val="single" w:sz="4" w:space="0" w:color="auto"/>
              <w:bottom w:val="single" w:sz="4" w:space="0" w:color="auto"/>
              <w:right w:val="single" w:sz="4" w:space="0" w:color="auto"/>
            </w:tcBorders>
            <w:vAlign w:val="center"/>
          </w:tcPr>
          <w:p w14:paraId="664D50BB"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嘉实基金</w:t>
            </w:r>
          </w:p>
        </w:tc>
        <w:tc>
          <w:tcPr>
            <w:tcW w:w="1046" w:type="pct"/>
            <w:tcBorders>
              <w:top w:val="single" w:sz="4" w:space="0" w:color="auto"/>
              <w:left w:val="single" w:sz="4" w:space="0" w:color="auto"/>
              <w:bottom w:val="single" w:sz="4" w:space="0" w:color="auto"/>
              <w:right w:val="single" w:sz="4" w:space="0" w:color="auto"/>
            </w:tcBorders>
            <w:vAlign w:val="center"/>
          </w:tcPr>
          <w:p w14:paraId="3F1EFF82"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创金合信</w:t>
            </w:r>
          </w:p>
        </w:tc>
        <w:tc>
          <w:tcPr>
            <w:tcW w:w="1057" w:type="pct"/>
            <w:tcBorders>
              <w:top w:val="single" w:sz="4" w:space="0" w:color="auto"/>
              <w:left w:val="single" w:sz="4" w:space="0" w:color="auto"/>
              <w:bottom w:val="single" w:sz="4" w:space="0" w:color="auto"/>
              <w:right w:val="single" w:sz="4" w:space="0" w:color="auto"/>
            </w:tcBorders>
            <w:vAlign w:val="center"/>
          </w:tcPr>
          <w:p w14:paraId="233CF572"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西部利得</w:t>
            </w:r>
          </w:p>
        </w:tc>
      </w:tr>
      <w:tr w:rsidR="00FD4025" w14:paraId="5EB926F7" w14:textId="77777777">
        <w:trPr>
          <w:trHeight w:val="140"/>
          <w:jc w:val="center"/>
        </w:trPr>
        <w:tc>
          <w:tcPr>
            <w:tcW w:w="805" w:type="pct"/>
            <w:vMerge/>
            <w:tcBorders>
              <w:left w:val="single" w:sz="4" w:space="0" w:color="auto"/>
              <w:right w:val="single" w:sz="4" w:space="0" w:color="auto"/>
            </w:tcBorders>
            <w:vAlign w:val="center"/>
          </w:tcPr>
          <w:p w14:paraId="75FAC151"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2FD73E02"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建信养老</w:t>
            </w:r>
          </w:p>
        </w:tc>
        <w:tc>
          <w:tcPr>
            <w:tcW w:w="1046" w:type="pct"/>
            <w:tcBorders>
              <w:top w:val="single" w:sz="4" w:space="0" w:color="auto"/>
              <w:left w:val="single" w:sz="4" w:space="0" w:color="auto"/>
              <w:bottom w:val="single" w:sz="4" w:space="0" w:color="auto"/>
              <w:right w:val="single" w:sz="4" w:space="0" w:color="auto"/>
            </w:tcBorders>
            <w:vAlign w:val="center"/>
          </w:tcPr>
          <w:p w14:paraId="6F7296AF"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华夏理财</w:t>
            </w:r>
          </w:p>
        </w:tc>
        <w:tc>
          <w:tcPr>
            <w:tcW w:w="1046" w:type="pct"/>
            <w:tcBorders>
              <w:top w:val="single" w:sz="4" w:space="0" w:color="auto"/>
              <w:left w:val="single" w:sz="4" w:space="0" w:color="auto"/>
              <w:bottom w:val="single" w:sz="4" w:space="0" w:color="auto"/>
              <w:right w:val="single" w:sz="4" w:space="0" w:color="auto"/>
            </w:tcBorders>
            <w:vAlign w:val="center"/>
          </w:tcPr>
          <w:p w14:paraId="1A0BAE1D"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建信理财</w:t>
            </w:r>
          </w:p>
        </w:tc>
        <w:tc>
          <w:tcPr>
            <w:tcW w:w="1057" w:type="pct"/>
            <w:tcBorders>
              <w:top w:val="single" w:sz="4" w:space="0" w:color="auto"/>
              <w:left w:val="single" w:sz="4" w:space="0" w:color="auto"/>
              <w:bottom w:val="single" w:sz="4" w:space="0" w:color="auto"/>
              <w:right w:val="single" w:sz="4" w:space="0" w:color="auto"/>
            </w:tcBorders>
            <w:vAlign w:val="center"/>
          </w:tcPr>
          <w:p w14:paraId="4D234FCC"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中银资管</w:t>
            </w:r>
          </w:p>
        </w:tc>
      </w:tr>
      <w:tr w:rsidR="00FD4025" w14:paraId="54D400BF" w14:textId="77777777">
        <w:trPr>
          <w:trHeight w:val="140"/>
          <w:jc w:val="center"/>
        </w:trPr>
        <w:tc>
          <w:tcPr>
            <w:tcW w:w="805" w:type="pct"/>
            <w:vMerge/>
            <w:tcBorders>
              <w:left w:val="single" w:sz="4" w:space="0" w:color="auto"/>
              <w:right w:val="single" w:sz="4" w:space="0" w:color="auto"/>
            </w:tcBorders>
            <w:vAlign w:val="center"/>
          </w:tcPr>
          <w:p w14:paraId="6507169A"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5BFB0004"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中信证券资管</w:t>
            </w:r>
          </w:p>
        </w:tc>
        <w:tc>
          <w:tcPr>
            <w:tcW w:w="1046" w:type="pct"/>
            <w:tcBorders>
              <w:top w:val="single" w:sz="4" w:space="0" w:color="auto"/>
              <w:left w:val="single" w:sz="4" w:space="0" w:color="auto"/>
              <w:bottom w:val="single" w:sz="4" w:space="0" w:color="auto"/>
              <w:right w:val="single" w:sz="4" w:space="0" w:color="auto"/>
            </w:tcBorders>
            <w:vAlign w:val="center"/>
          </w:tcPr>
          <w:p w14:paraId="473C83C7"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中国人保资管</w:t>
            </w:r>
          </w:p>
        </w:tc>
        <w:tc>
          <w:tcPr>
            <w:tcW w:w="1046" w:type="pct"/>
            <w:tcBorders>
              <w:top w:val="single" w:sz="4" w:space="0" w:color="auto"/>
              <w:left w:val="single" w:sz="4" w:space="0" w:color="auto"/>
              <w:bottom w:val="single" w:sz="4" w:space="0" w:color="auto"/>
              <w:right w:val="single" w:sz="4" w:space="0" w:color="auto"/>
            </w:tcBorders>
            <w:vAlign w:val="center"/>
          </w:tcPr>
          <w:p w14:paraId="77983977"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浦银安盛</w:t>
            </w:r>
          </w:p>
        </w:tc>
        <w:tc>
          <w:tcPr>
            <w:tcW w:w="1057" w:type="pct"/>
            <w:tcBorders>
              <w:top w:val="single" w:sz="4" w:space="0" w:color="auto"/>
              <w:left w:val="single" w:sz="4" w:space="0" w:color="auto"/>
              <w:bottom w:val="single" w:sz="4" w:space="0" w:color="auto"/>
              <w:right w:val="single" w:sz="4" w:space="0" w:color="auto"/>
            </w:tcBorders>
            <w:vAlign w:val="center"/>
          </w:tcPr>
          <w:p w14:paraId="25E171B5"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中泰资管</w:t>
            </w:r>
          </w:p>
        </w:tc>
      </w:tr>
      <w:tr w:rsidR="00FD4025" w14:paraId="37143D38" w14:textId="77777777">
        <w:trPr>
          <w:trHeight w:val="140"/>
          <w:jc w:val="center"/>
        </w:trPr>
        <w:tc>
          <w:tcPr>
            <w:tcW w:w="805" w:type="pct"/>
            <w:vMerge/>
            <w:tcBorders>
              <w:left w:val="single" w:sz="4" w:space="0" w:color="auto"/>
              <w:right w:val="single" w:sz="4" w:space="0" w:color="auto"/>
            </w:tcBorders>
            <w:vAlign w:val="center"/>
          </w:tcPr>
          <w:p w14:paraId="134C63C2"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749BD227"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浙商资管</w:t>
            </w:r>
          </w:p>
        </w:tc>
        <w:tc>
          <w:tcPr>
            <w:tcW w:w="1046" w:type="pct"/>
            <w:tcBorders>
              <w:top w:val="single" w:sz="4" w:space="0" w:color="auto"/>
              <w:left w:val="single" w:sz="4" w:space="0" w:color="auto"/>
              <w:bottom w:val="single" w:sz="4" w:space="0" w:color="auto"/>
              <w:right w:val="single" w:sz="4" w:space="0" w:color="auto"/>
            </w:tcBorders>
            <w:vAlign w:val="center"/>
          </w:tcPr>
          <w:p w14:paraId="18DA29B7"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东方证券资管</w:t>
            </w:r>
          </w:p>
        </w:tc>
        <w:tc>
          <w:tcPr>
            <w:tcW w:w="1046" w:type="pct"/>
            <w:tcBorders>
              <w:top w:val="single" w:sz="4" w:space="0" w:color="auto"/>
              <w:left w:val="single" w:sz="4" w:space="0" w:color="auto"/>
              <w:bottom w:val="single" w:sz="4" w:space="0" w:color="auto"/>
              <w:right w:val="single" w:sz="4" w:space="0" w:color="auto"/>
            </w:tcBorders>
            <w:vAlign w:val="center"/>
          </w:tcPr>
          <w:p w14:paraId="047F1B97"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中国人寿养老保险</w:t>
            </w:r>
          </w:p>
        </w:tc>
        <w:tc>
          <w:tcPr>
            <w:tcW w:w="1057" w:type="pct"/>
            <w:tcBorders>
              <w:top w:val="single" w:sz="4" w:space="0" w:color="auto"/>
              <w:left w:val="single" w:sz="4" w:space="0" w:color="auto"/>
              <w:bottom w:val="single" w:sz="4" w:space="0" w:color="auto"/>
              <w:right w:val="single" w:sz="4" w:space="0" w:color="auto"/>
            </w:tcBorders>
            <w:vAlign w:val="center"/>
          </w:tcPr>
          <w:p w14:paraId="1B52159F"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渤海人寿保险</w:t>
            </w:r>
          </w:p>
        </w:tc>
      </w:tr>
      <w:tr w:rsidR="00FD4025" w14:paraId="78C69B45" w14:textId="77777777">
        <w:trPr>
          <w:trHeight w:val="140"/>
          <w:jc w:val="center"/>
        </w:trPr>
        <w:tc>
          <w:tcPr>
            <w:tcW w:w="805" w:type="pct"/>
            <w:vMerge/>
            <w:tcBorders>
              <w:left w:val="single" w:sz="4" w:space="0" w:color="auto"/>
              <w:right w:val="single" w:sz="4" w:space="0" w:color="auto"/>
            </w:tcBorders>
            <w:vAlign w:val="center"/>
          </w:tcPr>
          <w:p w14:paraId="22A53843"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tcPr>
          <w:p w14:paraId="376C1CB6"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长江养老保险</w:t>
            </w:r>
          </w:p>
        </w:tc>
        <w:tc>
          <w:tcPr>
            <w:tcW w:w="1046" w:type="pct"/>
            <w:tcBorders>
              <w:top w:val="single" w:sz="4" w:space="0" w:color="auto"/>
              <w:left w:val="single" w:sz="4" w:space="0" w:color="auto"/>
              <w:bottom w:val="single" w:sz="4" w:space="0" w:color="auto"/>
              <w:right w:val="single" w:sz="4" w:space="0" w:color="auto"/>
            </w:tcBorders>
          </w:tcPr>
          <w:p w14:paraId="499638B3"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生命人寿保险</w:t>
            </w:r>
          </w:p>
        </w:tc>
        <w:tc>
          <w:tcPr>
            <w:tcW w:w="1046" w:type="pct"/>
            <w:tcBorders>
              <w:top w:val="single" w:sz="4" w:space="0" w:color="auto"/>
              <w:left w:val="single" w:sz="4" w:space="0" w:color="auto"/>
              <w:bottom w:val="single" w:sz="4" w:space="0" w:color="auto"/>
              <w:right w:val="single" w:sz="4" w:space="0" w:color="auto"/>
            </w:tcBorders>
          </w:tcPr>
          <w:p w14:paraId="230A08EA"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诚泰保险</w:t>
            </w:r>
          </w:p>
        </w:tc>
        <w:tc>
          <w:tcPr>
            <w:tcW w:w="1057" w:type="pct"/>
            <w:tcBorders>
              <w:top w:val="single" w:sz="4" w:space="0" w:color="auto"/>
              <w:left w:val="single" w:sz="4" w:space="0" w:color="auto"/>
              <w:bottom w:val="single" w:sz="4" w:space="0" w:color="auto"/>
              <w:right w:val="single" w:sz="4" w:space="0" w:color="auto"/>
            </w:tcBorders>
          </w:tcPr>
          <w:p w14:paraId="5304C356"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信达澳亚基金</w:t>
            </w:r>
          </w:p>
        </w:tc>
      </w:tr>
      <w:tr w:rsidR="00FD4025" w14:paraId="43B5D71A" w14:textId="77777777">
        <w:trPr>
          <w:trHeight w:val="140"/>
          <w:jc w:val="center"/>
        </w:trPr>
        <w:tc>
          <w:tcPr>
            <w:tcW w:w="805" w:type="pct"/>
            <w:vMerge/>
            <w:tcBorders>
              <w:left w:val="single" w:sz="4" w:space="0" w:color="auto"/>
              <w:right w:val="single" w:sz="4" w:space="0" w:color="auto"/>
            </w:tcBorders>
            <w:vAlign w:val="center"/>
          </w:tcPr>
          <w:p w14:paraId="35B7080E"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tcPr>
          <w:p w14:paraId="49BCDD8C"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圆信永丰基金</w:t>
            </w:r>
          </w:p>
        </w:tc>
        <w:tc>
          <w:tcPr>
            <w:tcW w:w="1046" w:type="pct"/>
            <w:tcBorders>
              <w:top w:val="single" w:sz="4" w:space="0" w:color="auto"/>
              <w:left w:val="single" w:sz="4" w:space="0" w:color="auto"/>
              <w:bottom w:val="single" w:sz="4" w:space="0" w:color="auto"/>
              <w:right w:val="single" w:sz="4" w:space="0" w:color="auto"/>
            </w:tcBorders>
          </w:tcPr>
          <w:p w14:paraId="6D8C233E"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泰信基金</w:t>
            </w:r>
          </w:p>
        </w:tc>
        <w:tc>
          <w:tcPr>
            <w:tcW w:w="1046" w:type="pct"/>
            <w:tcBorders>
              <w:top w:val="single" w:sz="4" w:space="0" w:color="auto"/>
              <w:left w:val="single" w:sz="4" w:space="0" w:color="auto"/>
              <w:bottom w:val="single" w:sz="4" w:space="0" w:color="auto"/>
              <w:right w:val="single" w:sz="4" w:space="0" w:color="auto"/>
            </w:tcBorders>
            <w:vAlign w:val="center"/>
          </w:tcPr>
          <w:p w14:paraId="3430E421"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永赢基金</w:t>
            </w:r>
          </w:p>
        </w:tc>
        <w:tc>
          <w:tcPr>
            <w:tcW w:w="1057" w:type="pct"/>
            <w:tcBorders>
              <w:top w:val="single" w:sz="4" w:space="0" w:color="auto"/>
              <w:left w:val="single" w:sz="4" w:space="0" w:color="auto"/>
              <w:bottom w:val="single" w:sz="4" w:space="0" w:color="auto"/>
              <w:right w:val="single" w:sz="4" w:space="0" w:color="auto"/>
            </w:tcBorders>
            <w:vAlign w:val="center"/>
          </w:tcPr>
          <w:p w14:paraId="52ACA153"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大成基金</w:t>
            </w:r>
          </w:p>
        </w:tc>
      </w:tr>
      <w:tr w:rsidR="00FD4025" w14:paraId="5A334ED2" w14:textId="77777777">
        <w:trPr>
          <w:trHeight w:val="140"/>
          <w:jc w:val="center"/>
        </w:trPr>
        <w:tc>
          <w:tcPr>
            <w:tcW w:w="805" w:type="pct"/>
            <w:vMerge/>
            <w:tcBorders>
              <w:left w:val="single" w:sz="4" w:space="0" w:color="auto"/>
              <w:right w:val="single" w:sz="4" w:space="0" w:color="auto"/>
            </w:tcBorders>
            <w:vAlign w:val="center"/>
          </w:tcPr>
          <w:p w14:paraId="28C906DD"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43192620"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诺德基金</w:t>
            </w:r>
          </w:p>
        </w:tc>
        <w:tc>
          <w:tcPr>
            <w:tcW w:w="1046" w:type="pct"/>
            <w:tcBorders>
              <w:top w:val="single" w:sz="4" w:space="0" w:color="auto"/>
              <w:left w:val="single" w:sz="4" w:space="0" w:color="auto"/>
              <w:bottom w:val="single" w:sz="4" w:space="0" w:color="auto"/>
              <w:right w:val="single" w:sz="4" w:space="0" w:color="auto"/>
            </w:tcBorders>
            <w:vAlign w:val="center"/>
          </w:tcPr>
          <w:p w14:paraId="36D86B4C"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新华基金</w:t>
            </w:r>
          </w:p>
        </w:tc>
        <w:tc>
          <w:tcPr>
            <w:tcW w:w="1046" w:type="pct"/>
            <w:tcBorders>
              <w:top w:val="single" w:sz="4" w:space="0" w:color="auto"/>
              <w:left w:val="single" w:sz="4" w:space="0" w:color="auto"/>
              <w:bottom w:val="single" w:sz="4" w:space="0" w:color="auto"/>
              <w:right w:val="single" w:sz="4" w:space="0" w:color="auto"/>
            </w:tcBorders>
            <w:vAlign w:val="center"/>
          </w:tcPr>
          <w:p w14:paraId="27991C00"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路博迈基金</w:t>
            </w:r>
          </w:p>
        </w:tc>
        <w:tc>
          <w:tcPr>
            <w:tcW w:w="1057" w:type="pct"/>
            <w:tcBorders>
              <w:top w:val="single" w:sz="4" w:space="0" w:color="auto"/>
              <w:left w:val="single" w:sz="4" w:space="0" w:color="auto"/>
              <w:bottom w:val="single" w:sz="4" w:space="0" w:color="auto"/>
              <w:right w:val="single" w:sz="4" w:space="0" w:color="auto"/>
            </w:tcBorders>
            <w:vAlign w:val="center"/>
          </w:tcPr>
          <w:p w14:paraId="37D3FA3A"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睿远基金</w:t>
            </w:r>
          </w:p>
        </w:tc>
      </w:tr>
      <w:tr w:rsidR="00FD4025" w14:paraId="25A1058A" w14:textId="77777777">
        <w:trPr>
          <w:trHeight w:val="140"/>
          <w:jc w:val="center"/>
        </w:trPr>
        <w:tc>
          <w:tcPr>
            <w:tcW w:w="805" w:type="pct"/>
            <w:vMerge/>
            <w:tcBorders>
              <w:left w:val="single" w:sz="4" w:space="0" w:color="auto"/>
              <w:right w:val="single" w:sz="4" w:space="0" w:color="auto"/>
            </w:tcBorders>
            <w:vAlign w:val="center"/>
          </w:tcPr>
          <w:p w14:paraId="2E54FD10"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0D7D2BCD"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国联安基金</w:t>
            </w:r>
          </w:p>
        </w:tc>
        <w:tc>
          <w:tcPr>
            <w:tcW w:w="1046" w:type="pct"/>
            <w:tcBorders>
              <w:top w:val="single" w:sz="4" w:space="0" w:color="auto"/>
              <w:left w:val="single" w:sz="4" w:space="0" w:color="auto"/>
              <w:bottom w:val="single" w:sz="4" w:space="0" w:color="auto"/>
              <w:right w:val="single" w:sz="4" w:space="0" w:color="auto"/>
            </w:tcBorders>
            <w:vAlign w:val="center"/>
          </w:tcPr>
          <w:p w14:paraId="16061AE9"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汇丰晋信基金</w:t>
            </w:r>
          </w:p>
        </w:tc>
        <w:tc>
          <w:tcPr>
            <w:tcW w:w="1046" w:type="pct"/>
            <w:tcBorders>
              <w:top w:val="single" w:sz="4" w:space="0" w:color="auto"/>
              <w:left w:val="single" w:sz="4" w:space="0" w:color="auto"/>
              <w:bottom w:val="single" w:sz="4" w:space="0" w:color="auto"/>
              <w:right w:val="single" w:sz="4" w:space="0" w:color="auto"/>
            </w:tcBorders>
            <w:vAlign w:val="center"/>
          </w:tcPr>
          <w:p w14:paraId="03432268"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鑫元基金</w:t>
            </w:r>
          </w:p>
        </w:tc>
        <w:tc>
          <w:tcPr>
            <w:tcW w:w="1057" w:type="pct"/>
            <w:tcBorders>
              <w:top w:val="single" w:sz="4" w:space="0" w:color="auto"/>
              <w:left w:val="single" w:sz="4" w:space="0" w:color="auto"/>
              <w:bottom w:val="single" w:sz="4" w:space="0" w:color="auto"/>
              <w:right w:val="single" w:sz="4" w:space="0" w:color="auto"/>
            </w:tcBorders>
            <w:vAlign w:val="center"/>
          </w:tcPr>
          <w:p w14:paraId="418BA761"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诺安基金</w:t>
            </w:r>
          </w:p>
        </w:tc>
      </w:tr>
      <w:tr w:rsidR="00FD4025" w14:paraId="690488AA" w14:textId="77777777">
        <w:trPr>
          <w:trHeight w:val="140"/>
          <w:jc w:val="center"/>
        </w:trPr>
        <w:tc>
          <w:tcPr>
            <w:tcW w:w="805" w:type="pct"/>
            <w:vMerge/>
            <w:tcBorders>
              <w:left w:val="single" w:sz="4" w:space="0" w:color="auto"/>
              <w:right w:val="single" w:sz="4" w:space="0" w:color="auto"/>
            </w:tcBorders>
            <w:vAlign w:val="center"/>
          </w:tcPr>
          <w:p w14:paraId="324FAA6A"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35496F96"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金鹰基金</w:t>
            </w:r>
          </w:p>
        </w:tc>
        <w:tc>
          <w:tcPr>
            <w:tcW w:w="1046" w:type="pct"/>
            <w:tcBorders>
              <w:top w:val="single" w:sz="4" w:space="0" w:color="auto"/>
              <w:left w:val="single" w:sz="4" w:space="0" w:color="auto"/>
              <w:bottom w:val="single" w:sz="4" w:space="0" w:color="auto"/>
              <w:right w:val="single" w:sz="4" w:space="0" w:color="auto"/>
            </w:tcBorders>
            <w:vAlign w:val="center"/>
          </w:tcPr>
          <w:p w14:paraId="5D4AA77B"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驼铃资产</w:t>
            </w:r>
          </w:p>
        </w:tc>
        <w:tc>
          <w:tcPr>
            <w:tcW w:w="1046" w:type="pct"/>
            <w:tcBorders>
              <w:top w:val="single" w:sz="4" w:space="0" w:color="auto"/>
              <w:left w:val="single" w:sz="4" w:space="0" w:color="auto"/>
              <w:bottom w:val="single" w:sz="4" w:space="0" w:color="auto"/>
              <w:right w:val="single" w:sz="4" w:space="0" w:color="auto"/>
            </w:tcBorders>
            <w:vAlign w:val="center"/>
          </w:tcPr>
          <w:p w14:paraId="1407F94C"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时代共赢</w:t>
            </w:r>
          </w:p>
        </w:tc>
        <w:tc>
          <w:tcPr>
            <w:tcW w:w="1057" w:type="pct"/>
            <w:tcBorders>
              <w:top w:val="single" w:sz="4" w:space="0" w:color="auto"/>
              <w:left w:val="single" w:sz="4" w:space="0" w:color="auto"/>
              <w:bottom w:val="single" w:sz="4" w:space="0" w:color="auto"/>
              <w:right w:val="single" w:sz="4" w:space="0" w:color="auto"/>
            </w:tcBorders>
            <w:vAlign w:val="center"/>
          </w:tcPr>
          <w:p w14:paraId="10F38366"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盘京投资</w:t>
            </w:r>
          </w:p>
        </w:tc>
      </w:tr>
      <w:tr w:rsidR="00FD4025" w14:paraId="1F4585D2" w14:textId="77777777">
        <w:trPr>
          <w:trHeight w:val="140"/>
          <w:jc w:val="center"/>
        </w:trPr>
        <w:tc>
          <w:tcPr>
            <w:tcW w:w="805" w:type="pct"/>
            <w:vMerge/>
            <w:tcBorders>
              <w:left w:val="single" w:sz="4" w:space="0" w:color="auto"/>
              <w:right w:val="single" w:sz="4" w:space="0" w:color="auto"/>
            </w:tcBorders>
            <w:vAlign w:val="center"/>
          </w:tcPr>
          <w:p w14:paraId="62518405"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6C429DEA"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丰道基金</w:t>
            </w:r>
          </w:p>
        </w:tc>
        <w:tc>
          <w:tcPr>
            <w:tcW w:w="1046" w:type="pct"/>
            <w:tcBorders>
              <w:top w:val="single" w:sz="4" w:space="0" w:color="auto"/>
              <w:left w:val="single" w:sz="4" w:space="0" w:color="auto"/>
              <w:bottom w:val="single" w:sz="4" w:space="0" w:color="auto"/>
              <w:right w:val="single" w:sz="4" w:space="0" w:color="auto"/>
            </w:tcBorders>
            <w:vAlign w:val="center"/>
          </w:tcPr>
          <w:p w14:paraId="52B0FBA3"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勤远私募</w:t>
            </w:r>
          </w:p>
        </w:tc>
        <w:tc>
          <w:tcPr>
            <w:tcW w:w="1046" w:type="pct"/>
            <w:tcBorders>
              <w:top w:val="single" w:sz="4" w:space="0" w:color="auto"/>
              <w:left w:val="single" w:sz="4" w:space="0" w:color="auto"/>
              <w:bottom w:val="single" w:sz="4" w:space="0" w:color="auto"/>
              <w:right w:val="single" w:sz="4" w:space="0" w:color="auto"/>
            </w:tcBorders>
            <w:vAlign w:val="center"/>
          </w:tcPr>
          <w:p w14:paraId="6AB29020"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乙慧投资</w:t>
            </w:r>
          </w:p>
        </w:tc>
        <w:tc>
          <w:tcPr>
            <w:tcW w:w="1057" w:type="pct"/>
            <w:tcBorders>
              <w:top w:val="single" w:sz="4" w:space="0" w:color="auto"/>
              <w:left w:val="single" w:sz="4" w:space="0" w:color="auto"/>
              <w:bottom w:val="single" w:sz="4" w:space="0" w:color="auto"/>
              <w:right w:val="single" w:sz="4" w:space="0" w:color="auto"/>
            </w:tcBorders>
            <w:vAlign w:val="center"/>
          </w:tcPr>
          <w:p w14:paraId="5F501BC0"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正圆私募</w:t>
            </w:r>
          </w:p>
        </w:tc>
      </w:tr>
      <w:tr w:rsidR="00FD4025" w14:paraId="21B04815" w14:textId="77777777">
        <w:trPr>
          <w:trHeight w:val="140"/>
          <w:jc w:val="center"/>
        </w:trPr>
        <w:tc>
          <w:tcPr>
            <w:tcW w:w="805" w:type="pct"/>
            <w:vMerge/>
            <w:tcBorders>
              <w:left w:val="single" w:sz="4" w:space="0" w:color="auto"/>
              <w:right w:val="single" w:sz="4" w:space="0" w:color="auto"/>
            </w:tcBorders>
            <w:vAlign w:val="center"/>
          </w:tcPr>
          <w:p w14:paraId="7DD5E76C"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121C144C"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丹羿投资</w:t>
            </w:r>
          </w:p>
        </w:tc>
        <w:tc>
          <w:tcPr>
            <w:tcW w:w="1046" w:type="pct"/>
            <w:tcBorders>
              <w:top w:val="single" w:sz="4" w:space="0" w:color="auto"/>
              <w:left w:val="single" w:sz="4" w:space="0" w:color="auto"/>
              <w:bottom w:val="single" w:sz="4" w:space="0" w:color="auto"/>
              <w:right w:val="single" w:sz="4" w:space="0" w:color="auto"/>
            </w:tcBorders>
            <w:vAlign w:val="center"/>
          </w:tcPr>
          <w:p w14:paraId="5A43570A"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弘尚资产</w:t>
            </w:r>
          </w:p>
        </w:tc>
        <w:tc>
          <w:tcPr>
            <w:tcW w:w="1046" w:type="pct"/>
            <w:tcBorders>
              <w:top w:val="single" w:sz="4" w:space="0" w:color="auto"/>
              <w:left w:val="single" w:sz="4" w:space="0" w:color="auto"/>
              <w:bottom w:val="single" w:sz="4" w:space="0" w:color="auto"/>
              <w:right w:val="single" w:sz="4" w:space="0" w:color="auto"/>
            </w:tcBorders>
            <w:vAlign w:val="center"/>
          </w:tcPr>
          <w:p w14:paraId="646EF3A5"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禹田资产</w:t>
            </w:r>
          </w:p>
        </w:tc>
        <w:tc>
          <w:tcPr>
            <w:tcW w:w="1057" w:type="pct"/>
            <w:tcBorders>
              <w:top w:val="single" w:sz="4" w:space="0" w:color="auto"/>
              <w:left w:val="single" w:sz="4" w:space="0" w:color="auto"/>
              <w:bottom w:val="single" w:sz="4" w:space="0" w:color="auto"/>
              <w:right w:val="single" w:sz="4" w:space="0" w:color="auto"/>
            </w:tcBorders>
            <w:vAlign w:val="center"/>
          </w:tcPr>
          <w:p w14:paraId="0F85F90E"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海南鑫焱</w:t>
            </w:r>
          </w:p>
        </w:tc>
      </w:tr>
      <w:tr w:rsidR="00FD4025" w14:paraId="676EF51D" w14:textId="77777777">
        <w:trPr>
          <w:trHeight w:val="140"/>
          <w:jc w:val="center"/>
        </w:trPr>
        <w:tc>
          <w:tcPr>
            <w:tcW w:w="805" w:type="pct"/>
            <w:vMerge/>
            <w:tcBorders>
              <w:left w:val="single" w:sz="4" w:space="0" w:color="auto"/>
              <w:right w:val="single" w:sz="4" w:space="0" w:color="auto"/>
            </w:tcBorders>
            <w:vAlign w:val="center"/>
          </w:tcPr>
          <w:p w14:paraId="6866583B"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3953BEDA"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瑞华投资</w:t>
            </w:r>
          </w:p>
        </w:tc>
        <w:tc>
          <w:tcPr>
            <w:tcW w:w="1046" w:type="pct"/>
            <w:tcBorders>
              <w:top w:val="single" w:sz="4" w:space="0" w:color="auto"/>
              <w:left w:val="single" w:sz="4" w:space="0" w:color="auto"/>
              <w:bottom w:val="single" w:sz="4" w:space="0" w:color="auto"/>
              <w:right w:val="single" w:sz="4" w:space="0" w:color="auto"/>
            </w:tcBorders>
            <w:vAlign w:val="center"/>
          </w:tcPr>
          <w:p w14:paraId="5CCD8EDB"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源乘私募</w:t>
            </w:r>
          </w:p>
        </w:tc>
        <w:tc>
          <w:tcPr>
            <w:tcW w:w="1046" w:type="pct"/>
            <w:tcBorders>
              <w:top w:val="single" w:sz="4" w:space="0" w:color="auto"/>
              <w:left w:val="single" w:sz="4" w:space="0" w:color="auto"/>
              <w:bottom w:val="single" w:sz="4" w:space="0" w:color="auto"/>
              <w:right w:val="single" w:sz="4" w:space="0" w:color="auto"/>
            </w:tcBorders>
            <w:vAlign w:val="center"/>
          </w:tcPr>
          <w:p w14:paraId="54EE4358"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合远私募</w:t>
            </w:r>
          </w:p>
        </w:tc>
        <w:tc>
          <w:tcPr>
            <w:tcW w:w="1057" w:type="pct"/>
            <w:tcBorders>
              <w:top w:val="single" w:sz="4" w:space="0" w:color="auto"/>
              <w:left w:val="single" w:sz="4" w:space="0" w:color="auto"/>
              <w:bottom w:val="single" w:sz="4" w:space="0" w:color="auto"/>
              <w:right w:val="single" w:sz="4" w:space="0" w:color="auto"/>
            </w:tcBorders>
            <w:vAlign w:val="center"/>
          </w:tcPr>
          <w:p w14:paraId="539A745D"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弥远投资</w:t>
            </w:r>
          </w:p>
        </w:tc>
      </w:tr>
      <w:tr w:rsidR="00FD4025" w14:paraId="1BD6A0BE" w14:textId="77777777">
        <w:trPr>
          <w:trHeight w:val="140"/>
          <w:jc w:val="center"/>
        </w:trPr>
        <w:tc>
          <w:tcPr>
            <w:tcW w:w="805" w:type="pct"/>
            <w:vMerge/>
            <w:tcBorders>
              <w:left w:val="single" w:sz="4" w:space="0" w:color="auto"/>
              <w:right w:val="single" w:sz="4" w:space="0" w:color="auto"/>
            </w:tcBorders>
            <w:vAlign w:val="center"/>
          </w:tcPr>
          <w:p w14:paraId="4688A10B"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0296EFE0"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璞桥私募</w:t>
            </w:r>
          </w:p>
        </w:tc>
        <w:tc>
          <w:tcPr>
            <w:tcW w:w="1046" w:type="pct"/>
            <w:tcBorders>
              <w:top w:val="single" w:sz="4" w:space="0" w:color="auto"/>
              <w:left w:val="single" w:sz="4" w:space="0" w:color="auto"/>
              <w:bottom w:val="single" w:sz="4" w:space="0" w:color="auto"/>
              <w:right w:val="single" w:sz="4" w:space="0" w:color="auto"/>
            </w:tcBorders>
            <w:vAlign w:val="center"/>
          </w:tcPr>
          <w:p w14:paraId="737D25C9"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彤源资产</w:t>
            </w:r>
          </w:p>
        </w:tc>
        <w:tc>
          <w:tcPr>
            <w:tcW w:w="1046" w:type="pct"/>
            <w:tcBorders>
              <w:top w:val="single" w:sz="4" w:space="0" w:color="auto"/>
              <w:left w:val="single" w:sz="4" w:space="0" w:color="auto"/>
              <w:bottom w:val="single" w:sz="4" w:space="0" w:color="auto"/>
              <w:right w:val="single" w:sz="4" w:space="0" w:color="auto"/>
            </w:tcBorders>
            <w:vAlign w:val="center"/>
          </w:tcPr>
          <w:p w14:paraId="231F7FD1"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红年资产</w:t>
            </w:r>
          </w:p>
        </w:tc>
        <w:tc>
          <w:tcPr>
            <w:tcW w:w="1057" w:type="pct"/>
            <w:tcBorders>
              <w:top w:val="single" w:sz="4" w:space="0" w:color="auto"/>
              <w:left w:val="single" w:sz="4" w:space="0" w:color="auto"/>
              <w:bottom w:val="single" w:sz="4" w:space="0" w:color="auto"/>
              <w:right w:val="single" w:sz="4" w:space="0" w:color="auto"/>
            </w:tcBorders>
            <w:vAlign w:val="center"/>
          </w:tcPr>
          <w:p w14:paraId="0A773FC8"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水木清源</w:t>
            </w:r>
          </w:p>
        </w:tc>
      </w:tr>
      <w:tr w:rsidR="00FD4025" w14:paraId="54B1A584" w14:textId="77777777">
        <w:trPr>
          <w:trHeight w:val="140"/>
          <w:jc w:val="center"/>
        </w:trPr>
        <w:tc>
          <w:tcPr>
            <w:tcW w:w="805" w:type="pct"/>
            <w:vMerge/>
            <w:tcBorders>
              <w:left w:val="single" w:sz="4" w:space="0" w:color="auto"/>
              <w:right w:val="single" w:sz="4" w:space="0" w:color="auto"/>
            </w:tcBorders>
            <w:vAlign w:val="center"/>
          </w:tcPr>
          <w:p w14:paraId="39B0854C" w14:textId="77777777" w:rsidR="00FD4025" w:rsidRDefault="00FD4025">
            <w:pPr>
              <w:spacing w:line="560" w:lineRule="exact"/>
              <w:jc w:val="center"/>
              <w:rPr>
                <w:rFonts w:ascii="宋体" w:hAnsi="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43F677E5" w14:textId="77777777" w:rsidR="00FD4025" w:rsidRDefault="00506D5A">
            <w:pPr>
              <w:widowControl/>
              <w:jc w:val="center"/>
              <w:textAlignment w:val="center"/>
              <w:rPr>
                <w:rFonts w:ascii="宋体" w:hAnsi="宋体" w:cs="宋体"/>
                <w:bCs/>
                <w:iCs/>
                <w:color w:val="000000"/>
                <w:sz w:val="24"/>
                <w:szCs w:val="24"/>
              </w:rPr>
            </w:pPr>
            <w:r>
              <w:rPr>
                <w:rFonts w:ascii="宋体" w:hAnsi="宋体" w:cs="宋体" w:hint="eastAsia"/>
                <w:bCs/>
                <w:iCs/>
                <w:color w:val="000000"/>
                <w:sz w:val="24"/>
                <w:szCs w:val="24"/>
              </w:rPr>
              <w:t>原力星股份</w:t>
            </w:r>
          </w:p>
        </w:tc>
        <w:tc>
          <w:tcPr>
            <w:tcW w:w="1046" w:type="pct"/>
            <w:tcBorders>
              <w:top w:val="single" w:sz="4" w:space="0" w:color="auto"/>
              <w:left w:val="single" w:sz="4" w:space="0" w:color="auto"/>
              <w:bottom w:val="single" w:sz="4" w:space="0" w:color="auto"/>
              <w:right w:val="single" w:sz="4" w:space="0" w:color="auto"/>
            </w:tcBorders>
            <w:vAlign w:val="center"/>
          </w:tcPr>
          <w:p w14:paraId="61626A60" w14:textId="77777777" w:rsidR="00FD4025" w:rsidRDefault="00FD4025">
            <w:pPr>
              <w:widowControl/>
              <w:jc w:val="center"/>
              <w:textAlignment w:val="center"/>
              <w:rPr>
                <w:rFonts w:ascii="宋体" w:hAnsi="宋体" w:cs="宋体"/>
                <w:bCs/>
                <w:iCs/>
                <w:color w:val="000000"/>
                <w:sz w:val="24"/>
                <w:szCs w:val="24"/>
              </w:rPr>
            </w:pPr>
          </w:p>
        </w:tc>
        <w:tc>
          <w:tcPr>
            <w:tcW w:w="1046" w:type="pct"/>
            <w:tcBorders>
              <w:top w:val="single" w:sz="4" w:space="0" w:color="auto"/>
              <w:left w:val="single" w:sz="4" w:space="0" w:color="auto"/>
              <w:bottom w:val="single" w:sz="4" w:space="0" w:color="auto"/>
              <w:right w:val="single" w:sz="4" w:space="0" w:color="auto"/>
            </w:tcBorders>
            <w:vAlign w:val="center"/>
          </w:tcPr>
          <w:p w14:paraId="1797CB14" w14:textId="77777777" w:rsidR="00FD4025" w:rsidRDefault="00FD4025">
            <w:pPr>
              <w:widowControl/>
              <w:jc w:val="center"/>
              <w:textAlignment w:val="center"/>
              <w:rPr>
                <w:rFonts w:ascii="宋体" w:hAnsi="宋体" w:cs="宋体"/>
                <w:bCs/>
                <w:iCs/>
                <w:color w:val="000000"/>
                <w:sz w:val="24"/>
                <w:szCs w:val="24"/>
              </w:rPr>
            </w:pPr>
          </w:p>
        </w:tc>
        <w:tc>
          <w:tcPr>
            <w:tcW w:w="1057" w:type="pct"/>
            <w:tcBorders>
              <w:top w:val="single" w:sz="4" w:space="0" w:color="auto"/>
              <w:left w:val="single" w:sz="4" w:space="0" w:color="auto"/>
              <w:bottom w:val="single" w:sz="4" w:space="0" w:color="auto"/>
              <w:right w:val="single" w:sz="4" w:space="0" w:color="auto"/>
            </w:tcBorders>
            <w:vAlign w:val="center"/>
          </w:tcPr>
          <w:p w14:paraId="35568ED1" w14:textId="77777777" w:rsidR="00FD4025" w:rsidRDefault="00FD4025">
            <w:pPr>
              <w:widowControl/>
              <w:jc w:val="center"/>
              <w:textAlignment w:val="center"/>
              <w:rPr>
                <w:rFonts w:ascii="宋体" w:hAnsi="宋体" w:cs="宋体"/>
                <w:bCs/>
                <w:iCs/>
                <w:color w:val="000000"/>
                <w:sz w:val="24"/>
                <w:szCs w:val="24"/>
              </w:rPr>
            </w:pPr>
          </w:p>
        </w:tc>
      </w:tr>
      <w:tr w:rsidR="00FD4025" w14:paraId="1F7B4240"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669568ED"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t>时间</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4BAE5346" w14:textId="77777777" w:rsidR="00FD4025" w:rsidRDefault="00506D5A">
            <w:pPr>
              <w:rPr>
                <w:color w:val="000000"/>
                <w:sz w:val="24"/>
                <w:szCs w:val="24"/>
              </w:rPr>
            </w:pPr>
            <w:r>
              <w:rPr>
                <w:rFonts w:hint="eastAsia"/>
                <w:color w:val="000000"/>
                <w:sz w:val="24"/>
                <w:szCs w:val="24"/>
              </w:rPr>
              <w:t>2026</w:t>
            </w:r>
            <w:r>
              <w:rPr>
                <w:rFonts w:hint="eastAsia"/>
                <w:color w:val="000000"/>
                <w:sz w:val="24"/>
                <w:szCs w:val="24"/>
              </w:rPr>
              <w:t>年</w:t>
            </w:r>
            <w:r>
              <w:rPr>
                <w:color w:val="000000"/>
                <w:sz w:val="24"/>
                <w:szCs w:val="24"/>
              </w:rPr>
              <w:t>8</w:t>
            </w:r>
            <w:r>
              <w:rPr>
                <w:rFonts w:hint="eastAsia"/>
                <w:color w:val="000000"/>
                <w:sz w:val="24"/>
                <w:szCs w:val="24"/>
              </w:rPr>
              <w:t>月</w:t>
            </w:r>
            <w:r>
              <w:rPr>
                <w:color w:val="000000"/>
                <w:sz w:val="24"/>
                <w:szCs w:val="24"/>
              </w:rPr>
              <w:t>27</w:t>
            </w:r>
            <w:r>
              <w:rPr>
                <w:rFonts w:hint="eastAsia"/>
                <w:color w:val="000000"/>
                <w:sz w:val="24"/>
                <w:szCs w:val="24"/>
              </w:rPr>
              <w:t>日</w:t>
            </w:r>
          </w:p>
        </w:tc>
      </w:tr>
      <w:tr w:rsidR="00FD4025" w14:paraId="0177984F"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56A9634C"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t>地点</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7EEE8EDE" w14:textId="77777777" w:rsidR="00FD4025" w:rsidRDefault="00506D5A">
            <w:pPr>
              <w:spacing w:line="360" w:lineRule="auto"/>
              <w:rPr>
                <w:color w:val="000000"/>
                <w:sz w:val="24"/>
                <w:szCs w:val="24"/>
              </w:rPr>
            </w:pPr>
            <w:r>
              <w:rPr>
                <w:rFonts w:hint="eastAsia"/>
                <w:color w:val="000000"/>
                <w:sz w:val="24"/>
                <w:szCs w:val="24"/>
              </w:rPr>
              <w:t>线上会议：电话会议</w:t>
            </w:r>
          </w:p>
        </w:tc>
      </w:tr>
      <w:tr w:rsidR="00FD4025" w14:paraId="419DE9B7"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641AB5F6" w14:textId="77777777" w:rsidR="00FD4025" w:rsidRDefault="00506D5A">
            <w:pPr>
              <w:spacing w:line="240" w:lineRule="atLeast"/>
              <w:jc w:val="center"/>
              <w:rPr>
                <w:rFonts w:ascii="宋体" w:hAnsi="宋体"/>
                <w:bCs/>
                <w:iCs/>
                <w:color w:val="000000"/>
                <w:sz w:val="24"/>
                <w:szCs w:val="24"/>
              </w:rPr>
            </w:pPr>
            <w:r>
              <w:rPr>
                <w:rFonts w:ascii="宋体" w:hAnsi="宋体" w:hint="eastAsia"/>
                <w:bCs/>
                <w:iCs/>
                <w:color w:val="000000"/>
                <w:sz w:val="24"/>
                <w:szCs w:val="24"/>
              </w:rPr>
              <w:t>上市公司接待人员姓名</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39EFDA7E" w14:textId="77777777" w:rsidR="00FD4025" w:rsidRDefault="00506D5A">
            <w:pPr>
              <w:spacing w:line="360" w:lineRule="auto"/>
              <w:rPr>
                <w:rFonts w:ascii="宋体" w:hAnsi="宋体"/>
                <w:bCs/>
                <w:iCs/>
                <w:color w:val="000000"/>
                <w:sz w:val="24"/>
                <w:szCs w:val="24"/>
              </w:rPr>
            </w:pPr>
            <w:r>
              <w:rPr>
                <w:rFonts w:ascii="宋体" w:hAnsi="宋体" w:hint="eastAsia"/>
                <w:bCs/>
                <w:iCs/>
                <w:color w:val="000000"/>
                <w:sz w:val="24"/>
                <w:szCs w:val="24"/>
              </w:rPr>
              <w:t>财务总监兼董事会秘书 罗效愚</w:t>
            </w:r>
          </w:p>
        </w:tc>
      </w:tr>
      <w:tr w:rsidR="00FD4025" w14:paraId="7C8B471E"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621BF86E"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t>投资者关系活动主</w:t>
            </w:r>
            <w:r>
              <w:rPr>
                <w:rFonts w:ascii="宋体" w:hAnsi="宋体" w:hint="eastAsia"/>
                <w:bCs/>
                <w:iCs/>
                <w:color w:val="000000"/>
                <w:sz w:val="24"/>
                <w:szCs w:val="24"/>
              </w:rPr>
              <w:lastRenderedPageBreak/>
              <w:t>要内容介绍</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08CC3D20"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lastRenderedPageBreak/>
              <w:t>一、公司管理层交流</w:t>
            </w:r>
          </w:p>
          <w:p w14:paraId="1E51B7B0"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公司管理层与投资者进行互动交流，主要沟通内容如下：</w:t>
            </w:r>
          </w:p>
          <w:p w14:paraId="47639D5B" w14:textId="77777777" w:rsidR="00FD4025" w:rsidRDefault="00506D5A">
            <w:pPr>
              <w:numPr>
                <w:ilvl w:val="0"/>
                <w:numId w:val="2"/>
              </w:num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公司2</w:t>
            </w:r>
            <w:r>
              <w:rPr>
                <w:rFonts w:ascii="宋体" w:hAnsi="宋体" w:cs="宋体"/>
                <w:sz w:val="24"/>
                <w:szCs w:val="24"/>
              </w:rPr>
              <w:t>026</w:t>
            </w:r>
            <w:r>
              <w:rPr>
                <w:rFonts w:ascii="宋体" w:hAnsi="宋体" w:cs="宋体" w:hint="eastAsia"/>
                <w:sz w:val="24"/>
                <w:szCs w:val="24"/>
              </w:rPr>
              <w:t>年上半年整体经营情况？</w:t>
            </w:r>
          </w:p>
          <w:p w14:paraId="1E9435B9" w14:textId="77777777" w:rsidR="005824EF" w:rsidRDefault="00506D5A" w:rsidP="005824EF">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lastRenderedPageBreak/>
              <w:t>202</w:t>
            </w:r>
            <w:r>
              <w:rPr>
                <w:rFonts w:ascii="宋体" w:hAnsi="宋体" w:cs="宋体"/>
                <w:sz w:val="24"/>
                <w:szCs w:val="24"/>
              </w:rPr>
              <w:t>6</w:t>
            </w:r>
            <w:r>
              <w:rPr>
                <w:rFonts w:ascii="宋体" w:hAnsi="宋体" w:cs="宋体" w:hint="eastAsia"/>
                <w:sz w:val="24"/>
                <w:szCs w:val="24"/>
              </w:rPr>
              <w:t>年上半年公司实现营业收入4</w:t>
            </w:r>
            <w:r>
              <w:rPr>
                <w:rFonts w:ascii="宋体" w:hAnsi="宋体" w:cs="宋体"/>
                <w:sz w:val="24"/>
                <w:szCs w:val="24"/>
              </w:rPr>
              <w:t>8.42</w:t>
            </w:r>
            <w:r>
              <w:rPr>
                <w:rFonts w:ascii="宋体" w:hAnsi="宋体" w:cs="宋体" w:hint="eastAsia"/>
                <w:sz w:val="24"/>
                <w:szCs w:val="24"/>
              </w:rPr>
              <w:t>亿元，同比增长4</w:t>
            </w:r>
            <w:r>
              <w:rPr>
                <w:rFonts w:ascii="宋体" w:hAnsi="宋体" w:cs="宋体"/>
                <w:sz w:val="24"/>
                <w:szCs w:val="24"/>
              </w:rPr>
              <w:t>1.35%</w:t>
            </w:r>
            <w:r>
              <w:rPr>
                <w:rFonts w:ascii="宋体" w:hAnsi="宋体" w:cs="宋体" w:hint="eastAsia"/>
                <w:sz w:val="24"/>
                <w:szCs w:val="24"/>
              </w:rPr>
              <w:t>，利润总额1</w:t>
            </w:r>
            <w:r>
              <w:rPr>
                <w:rFonts w:ascii="宋体" w:hAnsi="宋体" w:cs="宋体"/>
                <w:sz w:val="24"/>
                <w:szCs w:val="24"/>
              </w:rPr>
              <w:t>.89</w:t>
            </w:r>
            <w:r>
              <w:rPr>
                <w:rFonts w:ascii="宋体" w:hAnsi="宋体" w:cs="宋体" w:hint="eastAsia"/>
                <w:sz w:val="24"/>
                <w:szCs w:val="24"/>
              </w:rPr>
              <w:t>亿元，同比增长1</w:t>
            </w:r>
            <w:r>
              <w:rPr>
                <w:rFonts w:ascii="宋体" w:hAnsi="宋体" w:cs="宋体"/>
                <w:sz w:val="24"/>
                <w:szCs w:val="24"/>
              </w:rPr>
              <w:t>4.80%</w:t>
            </w:r>
            <w:r>
              <w:rPr>
                <w:rFonts w:ascii="宋体" w:hAnsi="宋体" w:cs="宋体" w:hint="eastAsia"/>
                <w:sz w:val="24"/>
                <w:szCs w:val="24"/>
              </w:rPr>
              <w:t>。</w:t>
            </w:r>
            <w:r w:rsidR="005824EF">
              <w:rPr>
                <w:rFonts w:ascii="宋体" w:hAnsi="宋体" w:cs="宋体" w:hint="eastAsia"/>
                <w:sz w:val="24"/>
                <w:szCs w:val="24"/>
              </w:rPr>
              <w:t>公司营业收入的增长主要是</w:t>
            </w:r>
            <w:r w:rsidR="005824EF" w:rsidRPr="005824EF">
              <w:rPr>
                <w:rFonts w:ascii="宋体" w:hAnsi="宋体" w:cs="宋体" w:hint="eastAsia"/>
                <w:sz w:val="24"/>
                <w:szCs w:val="24"/>
              </w:rPr>
              <w:t>公司海外订单增加，油服产品、服务以及安哥拉铝产品销售增加所致</w:t>
            </w:r>
            <w:r w:rsidR="005824EF">
              <w:rPr>
                <w:rFonts w:ascii="宋体" w:hAnsi="宋体" w:cs="宋体" w:hint="eastAsia"/>
                <w:sz w:val="24"/>
                <w:szCs w:val="24"/>
              </w:rPr>
              <w:t>。</w:t>
            </w:r>
          </w:p>
          <w:p w14:paraId="08BF1E89" w14:textId="36DDBD58" w:rsidR="00FD4025" w:rsidRDefault="00506D5A" w:rsidP="005824EF">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安哥拉项目投产推动公司“线缆+油服+铝业”三大业务板块协同发展的产业格局，全球化网络已基本成型，海外业务覆盖范围持续扩大。</w:t>
            </w:r>
          </w:p>
          <w:p w14:paraId="510D0A96"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整体而言公司2</w:t>
            </w:r>
            <w:r>
              <w:rPr>
                <w:rFonts w:ascii="宋体" w:hAnsi="宋体" w:cs="宋体"/>
                <w:sz w:val="24"/>
                <w:szCs w:val="24"/>
              </w:rPr>
              <w:t>026</w:t>
            </w:r>
            <w:r>
              <w:rPr>
                <w:rFonts w:ascii="宋体" w:hAnsi="宋体" w:cs="宋体" w:hint="eastAsia"/>
                <w:sz w:val="24"/>
                <w:szCs w:val="24"/>
              </w:rPr>
              <w:t>年上半年公司业务有序推进，后续公司将继续深耕国内外业务，并推进三大业务板块协同发展，致力于成为能源领域综合服务提供商。</w:t>
            </w:r>
          </w:p>
          <w:p w14:paraId="5F0EAF5B"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2、公司安哥拉公司业务进展情况？</w:t>
            </w:r>
          </w:p>
          <w:p w14:paraId="361DCF99" w14:textId="547D828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2026年1月，安哥拉电解铝一期1</w:t>
            </w:r>
            <w:r>
              <w:rPr>
                <w:rFonts w:ascii="宋体" w:hAnsi="宋体" w:cs="宋体"/>
                <w:sz w:val="24"/>
                <w:szCs w:val="24"/>
              </w:rPr>
              <w:t>2</w:t>
            </w:r>
            <w:r>
              <w:rPr>
                <w:rFonts w:ascii="宋体" w:hAnsi="宋体" w:cs="宋体" w:hint="eastAsia"/>
                <w:sz w:val="24"/>
                <w:szCs w:val="24"/>
              </w:rPr>
              <w:t>万吨电解铝项目正式投产，经过产能爬坡，目前已经达到满产状态，生产经营运行稳定。安哥拉电解铝项目是公司线缆板块业务向上游的延伸，安哥拉项目的发展协同了安哥拉当地丰富的水电资源、安哥拉政府税收等方面优惠政策，为公司提供新的利润增长点。</w:t>
            </w:r>
          </w:p>
          <w:p w14:paraId="0F4F01A8"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公司目前正在有序推进二期24万吨产能建设，二期项目在现有基础上进一步扩大电解铝产品生产产能，完善业务配套能力。二期项目落地能够有效释放生产潜力，补齐产能短板，增强整体运营实力，为公司后续稳健经营、持续高质量发展注入强劲动力。</w:t>
            </w:r>
          </w:p>
          <w:p w14:paraId="00E034EA"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sz w:val="24"/>
                <w:szCs w:val="24"/>
              </w:rPr>
              <w:t>3</w:t>
            </w:r>
            <w:r>
              <w:rPr>
                <w:rFonts w:ascii="宋体" w:hAnsi="宋体" w:cs="宋体" w:hint="eastAsia"/>
                <w:sz w:val="24"/>
                <w:szCs w:val="24"/>
              </w:rPr>
              <w:t>、公司目前韩国工厂情况？</w:t>
            </w:r>
          </w:p>
          <w:p w14:paraId="12918AA8"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公司韩国工厂在全球采购原材料并针对北美市场进行销售，主要产品为中低压线缆，下游客户主要为线缆领域经销商。目前产品订单需求旺盛，公司将根据集团整体资金安排有序推进韩国工厂增资扩产。</w:t>
            </w:r>
          </w:p>
          <w:p w14:paraId="2AEB702A"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sz w:val="24"/>
                <w:szCs w:val="24"/>
              </w:rPr>
              <w:t>4</w:t>
            </w:r>
            <w:r>
              <w:rPr>
                <w:rFonts w:ascii="宋体" w:hAnsi="宋体" w:cs="宋体" w:hint="eastAsia"/>
                <w:sz w:val="24"/>
                <w:szCs w:val="24"/>
              </w:rPr>
              <w:t xml:space="preserve">、公司与2218221 Ontario </w:t>
            </w:r>
            <w:r>
              <w:rPr>
                <w:rFonts w:ascii="宋体" w:hAnsi="宋体" w:cs="宋体"/>
                <w:sz w:val="24"/>
                <w:szCs w:val="24"/>
              </w:rPr>
              <w:t>I</w:t>
            </w:r>
            <w:r>
              <w:rPr>
                <w:rFonts w:ascii="宋体" w:hAnsi="宋体" w:cs="宋体" w:hint="eastAsia"/>
                <w:sz w:val="24"/>
                <w:szCs w:val="24"/>
              </w:rPr>
              <w:t>nc.诉讼进展情况？</w:t>
            </w:r>
          </w:p>
          <w:p w14:paraId="58FEA487" w14:textId="35D24AB0"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 xml:space="preserve">公司以及全资子公司Hanil Electric Engineer Co., Ltd因下游客户2218221 Ontario </w:t>
            </w:r>
            <w:r>
              <w:rPr>
                <w:rFonts w:ascii="宋体" w:hAnsi="宋体" w:cs="宋体"/>
                <w:sz w:val="24"/>
                <w:szCs w:val="24"/>
              </w:rPr>
              <w:t>I</w:t>
            </w:r>
            <w:r>
              <w:rPr>
                <w:rFonts w:ascii="宋体" w:hAnsi="宋体" w:cs="宋体" w:hint="eastAsia"/>
                <w:sz w:val="24"/>
                <w:szCs w:val="24"/>
              </w:rPr>
              <w:t>nc.未按照合同约定支付货款向</w:t>
            </w:r>
            <w:r>
              <w:rPr>
                <w:rFonts w:ascii="宋体" w:hAnsi="宋体" w:cs="宋体" w:hint="eastAsia"/>
                <w:sz w:val="24"/>
                <w:szCs w:val="24"/>
              </w:rPr>
              <w:lastRenderedPageBreak/>
              <w:t>加拿大安大略省法院提起诉讼，公司已将上述诉讼情况在上海证券交易所网站（www.sse.com.cn）和法定信息披露媒体进行披露，目前案件尚未开庭审理，公司将持续关注案件进展情况，并及时履行信息披露义务。</w:t>
            </w:r>
          </w:p>
          <w:p w14:paraId="1DB16F4C"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5、公司在物探业务方面的情况如何？</w:t>
            </w:r>
          </w:p>
          <w:p w14:paraId="310C33AD"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公司印尼子公司华通印尼服务有限责任公司针对当地以及周边市场提供油气勘探技术服务，为地质调查、油气勘探及相关领域提供高性能、可靠的产品，提供集成的一站式解决方案。公司后续将持续挖掘潜在合作机会，力争获取更多优质订单与项目资源，不断提升市场竞争力与经营效益。</w:t>
            </w:r>
          </w:p>
          <w:p w14:paraId="12CAD600" w14:textId="77777777" w:rsidR="00FD4025" w:rsidRDefault="00506D5A">
            <w:pPr>
              <w:spacing w:beforeLines="50" w:before="156" w:line="360" w:lineRule="auto"/>
              <w:ind w:firstLineChars="200" w:firstLine="480"/>
              <w:contextualSpacing/>
              <w:rPr>
                <w:rFonts w:ascii="宋体" w:hAnsi="宋体" w:cs="宋体"/>
                <w:sz w:val="24"/>
                <w:szCs w:val="24"/>
              </w:rPr>
            </w:pPr>
            <w:r>
              <w:rPr>
                <w:rFonts w:ascii="宋体" w:hAnsi="宋体" w:cs="宋体" w:hint="eastAsia"/>
                <w:sz w:val="24"/>
                <w:szCs w:val="24"/>
              </w:rPr>
              <w:t>二、风险提示</w:t>
            </w:r>
          </w:p>
          <w:p w14:paraId="0A807168" w14:textId="77777777" w:rsidR="00FD4025" w:rsidRDefault="00506D5A">
            <w:pPr>
              <w:spacing w:beforeLines="50" w:before="156" w:line="360" w:lineRule="auto"/>
              <w:ind w:firstLineChars="200" w:firstLine="480"/>
              <w:contextualSpacing/>
              <w:rPr>
                <w:rFonts w:ascii="宋体" w:hAnsi="宋体"/>
                <w:sz w:val="24"/>
                <w:szCs w:val="24"/>
              </w:rPr>
            </w:pPr>
            <w:r>
              <w:rPr>
                <w:rFonts w:ascii="宋体" w:hAnsi="宋体" w:cs="宋体" w:hint="eastAsia"/>
                <w:sz w:val="24"/>
                <w:szCs w:val="24"/>
              </w:rPr>
              <w:t>公司郑重提醒广大投资者，有关公司信息以公司在上海证券交易所网站（www.sse.com.cn）和法定信息披露媒体刊登的相关公告为准。本公告中如涉及对外部环境判断、公司发展战略、未来计划等描述，不构成公司对投资者的实质承诺，敬请广大投资者理性投资，注意投资风险。</w:t>
            </w:r>
          </w:p>
        </w:tc>
      </w:tr>
      <w:tr w:rsidR="00FD4025" w14:paraId="367831EE"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06344DC7"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lastRenderedPageBreak/>
              <w:t>附件清单（如有）</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1F9872C8" w14:textId="77777777" w:rsidR="00FD4025" w:rsidRDefault="00506D5A">
            <w:pPr>
              <w:spacing w:line="560" w:lineRule="exact"/>
              <w:jc w:val="left"/>
              <w:rPr>
                <w:rFonts w:ascii="宋体" w:hAnsi="宋体"/>
                <w:bCs/>
                <w:iCs/>
                <w:color w:val="000000"/>
                <w:sz w:val="24"/>
                <w:szCs w:val="24"/>
              </w:rPr>
            </w:pPr>
            <w:r>
              <w:rPr>
                <w:rFonts w:ascii="宋体" w:hAnsi="宋体" w:hint="eastAsia"/>
                <w:bCs/>
                <w:iCs/>
                <w:color w:val="000000"/>
                <w:sz w:val="24"/>
                <w:szCs w:val="24"/>
              </w:rPr>
              <w:t>无</w:t>
            </w:r>
          </w:p>
        </w:tc>
      </w:tr>
      <w:tr w:rsidR="00FD4025" w14:paraId="556E757D" w14:textId="77777777">
        <w:trPr>
          <w:jc w:val="center"/>
        </w:trPr>
        <w:tc>
          <w:tcPr>
            <w:tcW w:w="805" w:type="pct"/>
            <w:tcBorders>
              <w:top w:val="single" w:sz="4" w:space="0" w:color="auto"/>
              <w:left w:val="single" w:sz="4" w:space="0" w:color="auto"/>
              <w:bottom w:val="single" w:sz="4" w:space="0" w:color="auto"/>
              <w:right w:val="single" w:sz="4" w:space="0" w:color="auto"/>
            </w:tcBorders>
            <w:vAlign w:val="center"/>
          </w:tcPr>
          <w:p w14:paraId="3C20580B" w14:textId="77777777" w:rsidR="00FD4025" w:rsidRDefault="00506D5A">
            <w:pPr>
              <w:spacing w:line="560" w:lineRule="exact"/>
              <w:jc w:val="center"/>
              <w:rPr>
                <w:rFonts w:ascii="宋体" w:hAnsi="宋体"/>
                <w:bCs/>
                <w:iCs/>
                <w:color w:val="000000"/>
                <w:sz w:val="24"/>
                <w:szCs w:val="24"/>
              </w:rPr>
            </w:pPr>
            <w:r>
              <w:rPr>
                <w:rFonts w:ascii="宋体" w:hAnsi="宋体" w:hint="eastAsia"/>
                <w:bCs/>
                <w:iCs/>
                <w:color w:val="000000"/>
                <w:sz w:val="24"/>
                <w:szCs w:val="24"/>
              </w:rPr>
              <w:t>时间</w:t>
            </w:r>
          </w:p>
        </w:tc>
        <w:tc>
          <w:tcPr>
            <w:tcW w:w="4195" w:type="pct"/>
            <w:gridSpan w:val="4"/>
            <w:tcBorders>
              <w:top w:val="single" w:sz="4" w:space="0" w:color="auto"/>
              <w:left w:val="single" w:sz="4" w:space="0" w:color="auto"/>
              <w:bottom w:val="single" w:sz="4" w:space="0" w:color="auto"/>
              <w:right w:val="single" w:sz="4" w:space="0" w:color="auto"/>
            </w:tcBorders>
            <w:vAlign w:val="center"/>
          </w:tcPr>
          <w:p w14:paraId="3FDE7D01" w14:textId="77777777" w:rsidR="00FD4025" w:rsidRDefault="00506D5A">
            <w:pPr>
              <w:spacing w:line="560" w:lineRule="exact"/>
              <w:jc w:val="left"/>
              <w:rPr>
                <w:rFonts w:ascii="宋体" w:hAnsi="宋体"/>
                <w:bCs/>
                <w:iCs/>
                <w:color w:val="000000"/>
                <w:sz w:val="24"/>
                <w:szCs w:val="24"/>
              </w:rPr>
            </w:pPr>
            <w:r>
              <w:rPr>
                <w:rFonts w:ascii="宋体" w:hAnsi="宋体" w:hint="eastAsia"/>
                <w:bCs/>
                <w:iCs/>
                <w:color w:val="000000"/>
                <w:sz w:val="24"/>
                <w:szCs w:val="24"/>
              </w:rPr>
              <w:t>2026年</w:t>
            </w:r>
            <w:r>
              <w:rPr>
                <w:rFonts w:ascii="宋体" w:hAnsi="宋体"/>
                <w:bCs/>
                <w:iCs/>
                <w:color w:val="000000"/>
                <w:sz w:val="24"/>
                <w:szCs w:val="24"/>
              </w:rPr>
              <w:t>8</w:t>
            </w:r>
            <w:r>
              <w:rPr>
                <w:rFonts w:ascii="宋体" w:hAnsi="宋体" w:hint="eastAsia"/>
                <w:bCs/>
                <w:iCs/>
                <w:color w:val="000000"/>
                <w:sz w:val="24"/>
                <w:szCs w:val="24"/>
              </w:rPr>
              <w:t>月</w:t>
            </w:r>
            <w:r>
              <w:rPr>
                <w:rFonts w:ascii="宋体" w:hAnsi="宋体"/>
                <w:bCs/>
                <w:iCs/>
                <w:color w:val="000000"/>
                <w:sz w:val="24"/>
                <w:szCs w:val="24"/>
              </w:rPr>
              <w:t>28</w:t>
            </w:r>
            <w:r>
              <w:rPr>
                <w:rFonts w:ascii="宋体" w:hAnsi="宋体" w:hint="eastAsia"/>
                <w:bCs/>
                <w:iCs/>
                <w:color w:val="000000"/>
                <w:sz w:val="24"/>
                <w:szCs w:val="24"/>
              </w:rPr>
              <w:t>日</w:t>
            </w:r>
          </w:p>
        </w:tc>
      </w:tr>
    </w:tbl>
    <w:p w14:paraId="3CC01EE2" w14:textId="77777777" w:rsidR="00FD4025" w:rsidRDefault="00FD4025">
      <w:pPr>
        <w:spacing w:beforeLines="50" w:before="156" w:line="360" w:lineRule="auto"/>
        <w:ind w:firstLineChars="200" w:firstLine="440"/>
        <w:rPr>
          <w:sz w:val="22"/>
          <w:szCs w:val="28"/>
        </w:rPr>
      </w:pPr>
    </w:p>
    <w:sectPr w:rsidR="00FD402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C545D3E"/>
    <w:multiLevelType w:val="singleLevel"/>
    <w:tmpl w:val="CC545D3E"/>
    <w:lvl w:ilvl="0">
      <w:start w:val="1"/>
      <w:numFmt w:val="decimal"/>
      <w:suff w:val="nothing"/>
      <w:lvlText w:val="%1、"/>
      <w:lvlJc w:val="left"/>
    </w:lvl>
  </w:abstractNum>
  <w:abstractNum w:abstractNumId="1" w15:restartNumberingAfterBreak="0">
    <w:nsid w:val="74384E9A"/>
    <w:multiLevelType w:val="multilevel"/>
    <w:tmpl w:val="74384E9A"/>
    <w:lvl w:ilvl="0">
      <w:start w:val="6"/>
      <w:numFmt w:val="decimal"/>
      <w:pStyle w:val="a"/>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Dg1MThiYzc4ZjkxNWQ3ZDZkZTdjZjYyMTM0ZGFjODMifQ=="/>
  </w:docVars>
  <w:rsids>
    <w:rsidRoot w:val="00172A27"/>
    <w:rsid w:val="000009B4"/>
    <w:rsid w:val="00000DDB"/>
    <w:rsid w:val="00002164"/>
    <w:rsid w:val="00004DBC"/>
    <w:rsid w:val="0001101E"/>
    <w:rsid w:val="00014B70"/>
    <w:rsid w:val="0002192F"/>
    <w:rsid w:val="00030402"/>
    <w:rsid w:val="00031DAF"/>
    <w:rsid w:val="00034C10"/>
    <w:rsid w:val="0004177C"/>
    <w:rsid w:val="00043A46"/>
    <w:rsid w:val="00047DAC"/>
    <w:rsid w:val="00051516"/>
    <w:rsid w:val="000537F7"/>
    <w:rsid w:val="00054004"/>
    <w:rsid w:val="00055397"/>
    <w:rsid w:val="000661A4"/>
    <w:rsid w:val="00066580"/>
    <w:rsid w:val="000678B8"/>
    <w:rsid w:val="00071768"/>
    <w:rsid w:val="00074853"/>
    <w:rsid w:val="00076E94"/>
    <w:rsid w:val="00077558"/>
    <w:rsid w:val="00077898"/>
    <w:rsid w:val="00080283"/>
    <w:rsid w:val="00080BE8"/>
    <w:rsid w:val="000827E0"/>
    <w:rsid w:val="0008723C"/>
    <w:rsid w:val="0009156B"/>
    <w:rsid w:val="00093703"/>
    <w:rsid w:val="000A4713"/>
    <w:rsid w:val="000A51AB"/>
    <w:rsid w:val="000A6344"/>
    <w:rsid w:val="000A6638"/>
    <w:rsid w:val="000B2786"/>
    <w:rsid w:val="000B5782"/>
    <w:rsid w:val="000B7B88"/>
    <w:rsid w:val="000C3E87"/>
    <w:rsid w:val="000C6873"/>
    <w:rsid w:val="000C7CD5"/>
    <w:rsid w:val="000D3389"/>
    <w:rsid w:val="000D627B"/>
    <w:rsid w:val="000D67FA"/>
    <w:rsid w:val="000D7488"/>
    <w:rsid w:val="000E1E3B"/>
    <w:rsid w:val="000E67A1"/>
    <w:rsid w:val="000E683E"/>
    <w:rsid w:val="000F46FA"/>
    <w:rsid w:val="000F5227"/>
    <w:rsid w:val="000F562B"/>
    <w:rsid w:val="000F71B4"/>
    <w:rsid w:val="000F7B33"/>
    <w:rsid w:val="00100C69"/>
    <w:rsid w:val="0010400C"/>
    <w:rsid w:val="001066F0"/>
    <w:rsid w:val="00110FC5"/>
    <w:rsid w:val="00112311"/>
    <w:rsid w:val="00113A86"/>
    <w:rsid w:val="00114B34"/>
    <w:rsid w:val="00124664"/>
    <w:rsid w:val="00124CBA"/>
    <w:rsid w:val="00130570"/>
    <w:rsid w:val="00131BFC"/>
    <w:rsid w:val="001329DD"/>
    <w:rsid w:val="001356FE"/>
    <w:rsid w:val="001357F1"/>
    <w:rsid w:val="001367E0"/>
    <w:rsid w:val="001501F8"/>
    <w:rsid w:val="001538E2"/>
    <w:rsid w:val="001573F4"/>
    <w:rsid w:val="00157433"/>
    <w:rsid w:val="00157908"/>
    <w:rsid w:val="00164599"/>
    <w:rsid w:val="001653D9"/>
    <w:rsid w:val="001709E9"/>
    <w:rsid w:val="0017126A"/>
    <w:rsid w:val="00172A27"/>
    <w:rsid w:val="001738B8"/>
    <w:rsid w:val="00173D41"/>
    <w:rsid w:val="0017414F"/>
    <w:rsid w:val="00181787"/>
    <w:rsid w:val="00182BFA"/>
    <w:rsid w:val="00196514"/>
    <w:rsid w:val="001A11DD"/>
    <w:rsid w:val="001A2820"/>
    <w:rsid w:val="001A6560"/>
    <w:rsid w:val="001B1259"/>
    <w:rsid w:val="001B175A"/>
    <w:rsid w:val="001B2DCD"/>
    <w:rsid w:val="001B6A0C"/>
    <w:rsid w:val="001C477A"/>
    <w:rsid w:val="001C4A69"/>
    <w:rsid w:val="001D188B"/>
    <w:rsid w:val="001D58AA"/>
    <w:rsid w:val="001E0755"/>
    <w:rsid w:val="001E654B"/>
    <w:rsid w:val="001E7CB2"/>
    <w:rsid w:val="001F1E72"/>
    <w:rsid w:val="002008F6"/>
    <w:rsid w:val="00201EAC"/>
    <w:rsid w:val="002051C7"/>
    <w:rsid w:val="002076B0"/>
    <w:rsid w:val="002124EE"/>
    <w:rsid w:val="00212A15"/>
    <w:rsid w:val="0021672A"/>
    <w:rsid w:val="002168E4"/>
    <w:rsid w:val="00216D07"/>
    <w:rsid w:val="0022094A"/>
    <w:rsid w:val="002221DB"/>
    <w:rsid w:val="0023138A"/>
    <w:rsid w:val="002315E5"/>
    <w:rsid w:val="00231D7D"/>
    <w:rsid w:val="002334E6"/>
    <w:rsid w:val="00233F63"/>
    <w:rsid w:val="00235D31"/>
    <w:rsid w:val="00237485"/>
    <w:rsid w:val="00241012"/>
    <w:rsid w:val="002410FD"/>
    <w:rsid w:val="00242D28"/>
    <w:rsid w:val="002433FB"/>
    <w:rsid w:val="00243FD0"/>
    <w:rsid w:val="002525C2"/>
    <w:rsid w:val="0025322F"/>
    <w:rsid w:val="00253CBC"/>
    <w:rsid w:val="00255934"/>
    <w:rsid w:val="00260C7D"/>
    <w:rsid w:val="00265EC3"/>
    <w:rsid w:val="0026623B"/>
    <w:rsid w:val="00272561"/>
    <w:rsid w:val="002725FF"/>
    <w:rsid w:val="0027297E"/>
    <w:rsid w:val="002731DE"/>
    <w:rsid w:val="00274364"/>
    <w:rsid w:val="0027545A"/>
    <w:rsid w:val="00275C7C"/>
    <w:rsid w:val="002769D5"/>
    <w:rsid w:val="00276F8E"/>
    <w:rsid w:val="00277461"/>
    <w:rsid w:val="00282BB9"/>
    <w:rsid w:val="002852FF"/>
    <w:rsid w:val="0028673A"/>
    <w:rsid w:val="002879B3"/>
    <w:rsid w:val="00292223"/>
    <w:rsid w:val="00292A07"/>
    <w:rsid w:val="00295974"/>
    <w:rsid w:val="002A6D46"/>
    <w:rsid w:val="002A6FA5"/>
    <w:rsid w:val="002B100F"/>
    <w:rsid w:val="002B2A68"/>
    <w:rsid w:val="002B2CD7"/>
    <w:rsid w:val="002C29E6"/>
    <w:rsid w:val="002C6489"/>
    <w:rsid w:val="002C7E32"/>
    <w:rsid w:val="002D21E3"/>
    <w:rsid w:val="002E07E8"/>
    <w:rsid w:val="002E16A1"/>
    <w:rsid w:val="002E1F2D"/>
    <w:rsid w:val="002E2862"/>
    <w:rsid w:val="002E632D"/>
    <w:rsid w:val="002F1379"/>
    <w:rsid w:val="002F3734"/>
    <w:rsid w:val="002F538A"/>
    <w:rsid w:val="00300B27"/>
    <w:rsid w:val="0030476C"/>
    <w:rsid w:val="00312574"/>
    <w:rsid w:val="00313769"/>
    <w:rsid w:val="0031705E"/>
    <w:rsid w:val="003170E8"/>
    <w:rsid w:val="00317F1E"/>
    <w:rsid w:val="00321386"/>
    <w:rsid w:val="0033010E"/>
    <w:rsid w:val="0033047E"/>
    <w:rsid w:val="0033441C"/>
    <w:rsid w:val="00334FF5"/>
    <w:rsid w:val="003461A9"/>
    <w:rsid w:val="0035019F"/>
    <w:rsid w:val="003506EC"/>
    <w:rsid w:val="00351724"/>
    <w:rsid w:val="00360171"/>
    <w:rsid w:val="00360753"/>
    <w:rsid w:val="00360BA1"/>
    <w:rsid w:val="00361EC6"/>
    <w:rsid w:val="00364D60"/>
    <w:rsid w:val="00364FB2"/>
    <w:rsid w:val="00370FBE"/>
    <w:rsid w:val="003750B0"/>
    <w:rsid w:val="003762B2"/>
    <w:rsid w:val="003817B9"/>
    <w:rsid w:val="003869ED"/>
    <w:rsid w:val="00386F8D"/>
    <w:rsid w:val="00387DEE"/>
    <w:rsid w:val="00390845"/>
    <w:rsid w:val="00390A57"/>
    <w:rsid w:val="00390BBA"/>
    <w:rsid w:val="00391532"/>
    <w:rsid w:val="00392244"/>
    <w:rsid w:val="003975A4"/>
    <w:rsid w:val="003A2230"/>
    <w:rsid w:val="003A4410"/>
    <w:rsid w:val="003A4F3E"/>
    <w:rsid w:val="003B0CCD"/>
    <w:rsid w:val="003B0E3B"/>
    <w:rsid w:val="003B15ED"/>
    <w:rsid w:val="003B475C"/>
    <w:rsid w:val="003B6A2E"/>
    <w:rsid w:val="003C0BCB"/>
    <w:rsid w:val="003C0F63"/>
    <w:rsid w:val="003C436C"/>
    <w:rsid w:val="003C45D4"/>
    <w:rsid w:val="003D109C"/>
    <w:rsid w:val="003D1C45"/>
    <w:rsid w:val="003D3A88"/>
    <w:rsid w:val="003E30E4"/>
    <w:rsid w:val="003E428C"/>
    <w:rsid w:val="003E5075"/>
    <w:rsid w:val="003E76E6"/>
    <w:rsid w:val="003F3853"/>
    <w:rsid w:val="003F3ACB"/>
    <w:rsid w:val="003F624F"/>
    <w:rsid w:val="003F649C"/>
    <w:rsid w:val="004034AA"/>
    <w:rsid w:val="00403D87"/>
    <w:rsid w:val="00404345"/>
    <w:rsid w:val="004100F6"/>
    <w:rsid w:val="004102D6"/>
    <w:rsid w:val="00410514"/>
    <w:rsid w:val="0041370C"/>
    <w:rsid w:val="00415AD2"/>
    <w:rsid w:val="004176C4"/>
    <w:rsid w:val="00421532"/>
    <w:rsid w:val="00422AA8"/>
    <w:rsid w:val="00424410"/>
    <w:rsid w:val="00424DDD"/>
    <w:rsid w:val="0042569E"/>
    <w:rsid w:val="004261D1"/>
    <w:rsid w:val="004275B9"/>
    <w:rsid w:val="00432678"/>
    <w:rsid w:val="004329C0"/>
    <w:rsid w:val="00433955"/>
    <w:rsid w:val="00437976"/>
    <w:rsid w:val="00440C64"/>
    <w:rsid w:val="0044310A"/>
    <w:rsid w:val="00453754"/>
    <w:rsid w:val="0045612E"/>
    <w:rsid w:val="00461594"/>
    <w:rsid w:val="00465B1D"/>
    <w:rsid w:val="0046782B"/>
    <w:rsid w:val="00472EA3"/>
    <w:rsid w:val="00477CFB"/>
    <w:rsid w:val="004801CE"/>
    <w:rsid w:val="0048216F"/>
    <w:rsid w:val="0048609A"/>
    <w:rsid w:val="0049142F"/>
    <w:rsid w:val="0049170C"/>
    <w:rsid w:val="00496CE7"/>
    <w:rsid w:val="004A0365"/>
    <w:rsid w:val="004A1871"/>
    <w:rsid w:val="004A45CB"/>
    <w:rsid w:val="004B276B"/>
    <w:rsid w:val="004B3357"/>
    <w:rsid w:val="004B6E7C"/>
    <w:rsid w:val="004B7331"/>
    <w:rsid w:val="004C3A0D"/>
    <w:rsid w:val="004C45BF"/>
    <w:rsid w:val="004D4716"/>
    <w:rsid w:val="004D4743"/>
    <w:rsid w:val="004E0710"/>
    <w:rsid w:val="004E243F"/>
    <w:rsid w:val="004E47FF"/>
    <w:rsid w:val="004E4A25"/>
    <w:rsid w:val="004E556F"/>
    <w:rsid w:val="004E5A0E"/>
    <w:rsid w:val="004F1EBC"/>
    <w:rsid w:val="004F252F"/>
    <w:rsid w:val="004F2952"/>
    <w:rsid w:val="004F542F"/>
    <w:rsid w:val="004F6292"/>
    <w:rsid w:val="004F6B5A"/>
    <w:rsid w:val="004F7D88"/>
    <w:rsid w:val="0050109D"/>
    <w:rsid w:val="005035AD"/>
    <w:rsid w:val="00504376"/>
    <w:rsid w:val="00505A9D"/>
    <w:rsid w:val="00506D5A"/>
    <w:rsid w:val="00506E5B"/>
    <w:rsid w:val="00510316"/>
    <w:rsid w:val="0051137D"/>
    <w:rsid w:val="005162D0"/>
    <w:rsid w:val="0052029F"/>
    <w:rsid w:val="00520D58"/>
    <w:rsid w:val="00521DF6"/>
    <w:rsid w:val="00522DD5"/>
    <w:rsid w:val="0052316A"/>
    <w:rsid w:val="00523A2F"/>
    <w:rsid w:val="005244FE"/>
    <w:rsid w:val="005248FA"/>
    <w:rsid w:val="00526282"/>
    <w:rsid w:val="00540AC7"/>
    <w:rsid w:val="005413BD"/>
    <w:rsid w:val="005413D1"/>
    <w:rsid w:val="00543AC6"/>
    <w:rsid w:val="00546BFC"/>
    <w:rsid w:val="00552271"/>
    <w:rsid w:val="00555502"/>
    <w:rsid w:val="0056053B"/>
    <w:rsid w:val="005605BE"/>
    <w:rsid w:val="00564530"/>
    <w:rsid w:val="00564EE0"/>
    <w:rsid w:val="0057696B"/>
    <w:rsid w:val="00577048"/>
    <w:rsid w:val="005824EF"/>
    <w:rsid w:val="00582627"/>
    <w:rsid w:val="0059029C"/>
    <w:rsid w:val="0059414F"/>
    <w:rsid w:val="005959D1"/>
    <w:rsid w:val="00595F1F"/>
    <w:rsid w:val="005A5DA9"/>
    <w:rsid w:val="005B0504"/>
    <w:rsid w:val="005B2A9C"/>
    <w:rsid w:val="005B3C14"/>
    <w:rsid w:val="005B58CD"/>
    <w:rsid w:val="005B70B8"/>
    <w:rsid w:val="005B7823"/>
    <w:rsid w:val="005C1C2D"/>
    <w:rsid w:val="005D0246"/>
    <w:rsid w:val="005D035B"/>
    <w:rsid w:val="005D1B3C"/>
    <w:rsid w:val="005E3F18"/>
    <w:rsid w:val="005E63FF"/>
    <w:rsid w:val="005E70CA"/>
    <w:rsid w:val="005F07AE"/>
    <w:rsid w:val="005F4946"/>
    <w:rsid w:val="005F4DFC"/>
    <w:rsid w:val="005F5C28"/>
    <w:rsid w:val="005F7C75"/>
    <w:rsid w:val="0060562F"/>
    <w:rsid w:val="00612B4A"/>
    <w:rsid w:val="006140D7"/>
    <w:rsid w:val="00615903"/>
    <w:rsid w:val="00615BEE"/>
    <w:rsid w:val="00616CB8"/>
    <w:rsid w:val="00621C29"/>
    <w:rsid w:val="00622A91"/>
    <w:rsid w:val="00623B1D"/>
    <w:rsid w:val="00625F1F"/>
    <w:rsid w:val="00627AA9"/>
    <w:rsid w:val="00627B0D"/>
    <w:rsid w:val="00627BEE"/>
    <w:rsid w:val="006310FF"/>
    <w:rsid w:val="00633D8F"/>
    <w:rsid w:val="006372CE"/>
    <w:rsid w:val="00637F2C"/>
    <w:rsid w:val="00641A95"/>
    <w:rsid w:val="00643067"/>
    <w:rsid w:val="00644FB1"/>
    <w:rsid w:val="00645010"/>
    <w:rsid w:val="00645E14"/>
    <w:rsid w:val="006464FE"/>
    <w:rsid w:val="00647A14"/>
    <w:rsid w:val="00650326"/>
    <w:rsid w:val="00650B84"/>
    <w:rsid w:val="00653460"/>
    <w:rsid w:val="006545CD"/>
    <w:rsid w:val="006555F5"/>
    <w:rsid w:val="00660948"/>
    <w:rsid w:val="00660F4C"/>
    <w:rsid w:val="00663A2B"/>
    <w:rsid w:val="00664910"/>
    <w:rsid w:val="006657EF"/>
    <w:rsid w:val="006664E6"/>
    <w:rsid w:val="00666EEB"/>
    <w:rsid w:val="006670DC"/>
    <w:rsid w:val="0067570B"/>
    <w:rsid w:val="006805FD"/>
    <w:rsid w:val="00687555"/>
    <w:rsid w:val="0069230B"/>
    <w:rsid w:val="006965EF"/>
    <w:rsid w:val="006A3836"/>
    <w:rsid w:val="006A443B"/>
    <w:rsid w:val="006A7034"/>
    <w:rsid w:val="006B0E12"/>
    <w:rsid w:val="006B356D"/>
    <w:rsid w:val="006B5239"/>
    <w:rsid w:val="006C138E"/>
    <w:rsid w:val="006C357D"/>
    <w:rsid w:val="006E0BB9"/>
    <w:rsid w:val="006E4E15"/>
    <w:rsid w:val="006F3651"/>
    <w:rsid w:val="006F4CBC"/>
    <w:rsid w:val="006F4EF8"/>
    <w:rsid w:val="006F51DD"/>
    <w:rsid w:val="006F7739"/>
    <w:rsid w:val="00700BA6"/>
    <w:rsid w:val="00703412"/>
    <w:rsid w:val="007047E3"/>
    <w:rsid w:val="00711728"/>
    <w:rsid w:val="00714062"/>
    <w:rsid w:val="00715779"/>
    <w:rsid w:val="0071670F"/>
    <w:rsid w:val="007204C0"/>
    <w:rsid w:val="0072101A"/>
    <w:rsid w:val="00722929"/>
    <w:rsid w:val="007230F3"/>
    <w:rsid w:val="007232EA"/>
    <w:rsid w:val="00730BA3"/>
    <w:rsid w:val="00730D38"/>
    <w:rsid w:val="0074028A"/>
    <w:rsid w:val="007419A4"/>
    <w:rsid w:val="007420BE"/>
    <w:rsid w:val="00742EBF"/>
    <w:rsid w:val="00744F05"/>
    <w:rsid w:val="00747DB4"/>
    <w:rsid w:val="007504CD"/>
    <w:rsid w:val="00751DB3"/>
    <w:rsid w:val="00752F75"/>
    <w:rsid w:val="00755FA2"/>
    <w:rsid w:val="00761C17"/>
    <w:rsid w:val="00762814"/>
    <w:rsid w:val="00765DE7"/>
    <w:rsid w:val="007711A5"/>
    <w:rsid w:val="00772060"/>
    <w:rsid w:val="00772918"/>
    <w:rsid w:val="00774EC1"/>
    <w:rsid w:val="00775CFC"/>
    <w:rsid w:val="00780C68"/>
    <w:rsid w:val="00783868"/>
    <w:rsid w:val="0078395B"/>
    <w:rsid w:val="00784193"/>
    <w:rsid w:val="00790521"/>
    <w:rsid w:val="007907BA"/>
    <w:rsid w:val="00790A5E"/>
    <w:rsid w:val="00790D0F"/>
    <w:rsid w:val="00792238"/>
    <w:rsid w:val="0079233D"/>
    <w:rsid w:val="00792AC3"/>
    <w:rsid w:val="00793AA6"/>
    <w:rsid w:val="00794D24"/>
    <w:rsid w:val="007965C7"/>
    <w:rsid w:val="00797CF4"/>
    <w:rsid w:val="007A0C5B"/>
    <w:rsid w:val="007A4BAB"/>
    <w:rsid w:val="007A6600"/>
    <w:rsid w:val="007B07C7"/>
    <w:rsid w:val="007B2567"/>
    <w:rsid w:val="007B4A25"/>
    <w:rsid w:val="007C2635"/>
    <w:rsid w:val="007C73B3"/>
    <w:rsid w:val="007C744C"/>
    <w:rsid w:val="007D334C"/>
    <w:rsid w:val="007D3823"/>
    <w:rsid w:val="007D4EDA"/>
    <w:rsid w:val="007E179A"/>
    <w:rsid w:val="007E21E5"/>
    <w:rsid w:val="007E5149"/>
    <w:rsid w:val="007E53FC"/>
    <w:rsid w:val="007F588F"/>
    <w:rsid w:val="007F5ABE"/>
    <w:rsid w:val="00800B1F"/>
    <w:rsid w:val="00801369"/>
    <w:rsid w:val="008021AE"/>
    <w:rsid w:val="008048FC"/>
    <w:rsid w:val="00804EA2"/>
    <w:rsid w:val="00807D19"/>
    <w:rsid w:val="00807E11"/>
    <w:rsid w:val="008207FE"/>
    <w:rsid w:val="008255D0"/>
    <w:rsid w:val="00825FC0"/>
    <w:rsid w:val="00827ECF"/>
    <w:rsid w:val="00833957"/>
    <w:rsid w:val="0083595C"/>
    <w:rsid w:val="008400DF"/>
    <w:rsid w:val="00842540"/>
    <w:rsid w:val="00844854"/>
    <w:rsid w:val="0084558D"/>
    <w:rsid w:val="00850D0F"/>
    <w:rsid w:val="008515D0"/>
    <w:rsid w:val="0085268F"/>
    <w:rsid w:val="00853E04"/>
    <w:rsid w:val="00853E30"/>
    <w:rsid w:val="008552A2"/>
    <w:rsid w:val="008577A1"/>
    <w:rsid w:val="008604C6"/>
    <w:rsid w:val="00860DBC"/>
    <w:rsid w:val="0087049D"/>
    <w:rsid w:val="00873313"/>
    <w:rsid w:val="00876D0C"/>
    <w:rsid w:val="008828A5"/>
    <w:rsid w:val="00884AF6"/>
    <w:rsid w:val="00884BB7"/>
    <w:rsid w:val="00884ED6"/>
    <w:rsid w:val="0088501C"/>
    <w:rsid w:val="008918B7"/>
    <w:rsid w:val="00892816"/>
    <w:rsid w:val="0089432B"/>
    <w:rsid w:val="008A44AA"/>
    <w:rsid w:val="008A545F"/>
    <w:rsid w:val="008A595C"/>
    <w:rsid w:val="008A6E8A"/>
    <w:rsid w:val="008A7295"/>
    <w:rsid w:val="008B20EB"/>
    <w:rsid w:val="008B6410"/>
    <w:rsid w:val="008B68F3"/>
    <w:rsid w:val="008C01D9"/>
    <w:rsid w:val="008C277F"/>
    <w:rsid w:val="008C4FF9"/>
    <w:rsid w:val="008C642A"/>
    <w:rsid w:val="008D2E2D"/>
    <w:rsid w:val="008D30FB"/>
    <w:rsid w:val="008D3494"/>
    <w:rsid w:val="008D760F"/>
    <w:rsid w:val="008E1E3E"/>
    <w:rsid w:val="008E5029"/>
    <w:rsid w:val="008F16C2"/>
    <w:rsid w:val="008F4368"/>
    <w:rsid w:val="008F7F9D"/>
    <w:rsid w:val="0090038D"/>
    <w:rsid w:val="00902592"/>
    <w:rsid w:val="00904027"/>
    <w:rsid w:val="00906197"/>
    <w:rsid w:val="00907FCC"/>
    <w:rsid w:val="00910570"/>
    <w:rsid w:val="00912BB1"/>
    <w:rsid w:val="00912E24"/>
    <w:rsid w:val="009258A8"/>
    <w:rsid w:val="00926952"/>
    <w:rsid w:val="00926C0D"/>
    <w:rsid w:val="009328BF"/>
    <w:rsid w:val="00933947"/>
    <w:rsid w:val="00934F5A"/>
    <w:rsid w:val="00940C1D"/>
    <w:rsid w:val="00964B42"/>
    <w:rsid w:val="00965650"/>
    <w:rsid w:val="00972788"/>
    <w:rsid w:val="00973717"/>
    <w:rsid w:val="00975188"/>
    <w:rsid w:val="00980E33"/>
    <w:rsid w:val="009812BC"/>
    <w:rsid w:val="00984670"/>
    <w:rsid w:val="009856FF"/>
    <w:rsid w:val="009870EF"/>
    <w:rsid w:val="009958C2"/>
    <w:rsid w:val="00995D77"/>
    <w:rsid w:val="00996D8F"/>
    <w:rsid w:val="00997122"/>
    <w:rsid w:val="009A1A14"/>
    <w:rsid w:val="009A7322"/>
    <w:rsid w:val="009B01A2"/>
    <w:rsid w:val="009B4B04"/>
    <w:rsid w:val="009B604F"/>
    <w:rsid w:val="009B6ECB"/>
    <w:rsid w:val="009B7973"/>
    <w:rsid w:val="009C3AA1"/>
    <w:rsid w:val="009C4C55"/>
    <w:rsid w:val="009C66F0"/>
    <w:rsid w:val="009D09FF"/>
    <w:rsid w:val="009D281F"/>
    <w:rsid w:val="009D2843"/>
    <w:rsid w:val="009E3240"/>
    <w:rsid w:val="009E4391"/>
    <w:rsid w:val="009E5AF1"/>
    <w:rsid w:val="009F0C30"/>
    <w:rsid w:val="009F347E"/>
    <w:rsid w:val="009F7FA8"/>
    <w:rsid w:val="00A016B1"/>
    <w:rsid w:val="00A11206"/>
    <w:rsid w:val="00A12204"/>
    <w:rsid w:val="00A127BE"/>
    <w:rsid w:val="00A158CF"/>
    <w:rsid w:val="00A3126E"/>
    <w:rsid w:val="00A33842"/>
    <w:rsid w:val="00A33B9C"/>
    <w:rsid w:val="00A37A5A"/>
    <w:rsid w:val="00A37F53"/>
    <w:rsid w:val="00A43631"/>
    <w:rsid w:val="00A44A9F"/>
    <w:rsid w:val="00A44CB3"/>
    <w:rsid w:val="00A46163"/>
    <w:rsid w:val="00A4616D"/>
    <w:rsid w:val="00A466B8"/>
    <w:rsid w:val="00A47115"/>
    <w:rsid w:val="00A53E60"/>
    <w:rsid w:val="00A553CC"/>
    <w:rsid w:val="00A57E85"/>
    <w:rsid w:val="00A6111A"/>
    <w:rsid w:val="00A67054"/>
    <w:rsid w:val="00A71B3F"/>
    <w:rsid w:val="00A8769A"/>
    <w:rsid w:val="00A8777D"/>
    <w:rsid w:val="00A90A0E"/>
    <w:rsid w:val="00A90BCA"/>
    <w:rsid w:val="00A9115A"/>
    <w:rsid w:val="00A9450D"/>
    <w:rsid w:val="00A95876"/>
    <w:rsid w:val="00A96165"/>
    <w:rsid w:val="00AB018A"/>
    <w:rsid w:val="00AB058A"/>
    <w:rsid w:val="00AB4407"/>
    <w:rsid w:val="00AC09D8"/>
    <w:rsid w:val="00AC5050"/>
    <w:rsid w:val="00AC6ADB"/>
    <w:rsid w:val="00AC7307"/>
    <w:rsid w:val="00AC754F"/>
    <w:rsid w:val="00AC764D"/>
    <w:rsid w:val="00AD12AF"/>
    <w:rsid w:val="00AD3AAD"/>
    <w:rsid w:val="00AE23C8"/>
    <w:rsid w:val="00AE4967"/>
    <w:rsid w:val="00AE65B1"/>
    <w:rsid w:val="00AF060B"/>
    <w:rsid w:val="00AF10A7"/>
    <w:rsid w:val="00AF1271"/>
    <w:rsid w:val="00AF140E"/>
    <w:rsid w:val="00AF2071"/>
    <w:rsid w:val="00AF6A22"/>
    <w:rsid w:val="00B01B35"/>
    <w:rsid w:val="00B025BB"/>
    <w:rsid w:val="00B10022"/>
    <w:rsid w:val="00B10F12"/>
    <w:rsid w:val="00B119F9"/>
    <w:rsid w:val="00B13B01"/>
    <w:rsid w:val="00B17E07"/>
    <w:rsid w:val="00B207D2"/>
    <w:rsid w:val="00B23AB1"/>
    <w:rsid w:val="00B240C1"/>
    <w:rsid w:val="00B242FE"/>
    <w:rsid w:val="00B24550"/>
    <w:rsid w:val="00B2672C"/>
    <w:rsid w:val="00B27053"/>
    <w:rsid w:val="00B33197"/>
    <w:rsid w:val="00B33985"/>
    <w:rsid w:val="00B36345"/>
    <w:rsid w:val="00B36FA6"/>
    <w:rsid w:val="00B42DEA"/>
    <w:rsid w:val="00B51034"/>
    <w:rsid w:val="00B510B0"/>
    <w:rsid w:val="00B52A33"/>
    <w:rsid w:val="00B54D4C"/>
    <w:rsid w:val="00B5518B"/>
    <w:rsid w:val="00B7020D"/>
    <w:rsid w:val="00B73045"/>
    <w:rsid w:val="00B73D83"/>
    <w:rsid w:val="00B76B51"/>
    <w:rsid w:val="00B77B38"/>
    <w:rsid w:val="00B8420F"/>
    <w:rsid w:val="00B84FAA"/>
    <w:rsid w:val="00B85103"/>
    <w:rsid w:val="00B863A2"/>
    <w:rsid w:val="00B91144"/>
    <w:rsid w:val="00BA398E"/>
    <w:rsid w:val="00BB1219"/>
    <w:rsid w:val="00BB339D"/>
    <w:rsid w:val="00BB3771"/>
    <w:rsid w:val="00BB4AA6"/>
    <w:rsid w:val="00BC2B4D"/>
    <w:rsid w:val="00BC6E8E"/>
    <w:rsid w:val="00BC79E4"/>
    <w:rsid w:val="00BC7C32"/>
    <w:rsid w:val="00BD258C"/>
    <w:rsid w:val="00BD3928"/>
    <w:rsid w:val="00BD3FDF"/>
    <w:rsid w:val="00BE3239"/>
    <w:rsid w:val="00BE4350"/>
    <w:rsid w:val="00BE4988"/>
    <w:rsid w:val="00BF6085"/>
    <w:rsid w:val="00BF710F"/>
    <w:rsid w:val="00C077E5"/>
    <w:rsid w:val="00C07A6C"/>
    <w:rsid w:val="00C140F2"/>
    <w:rsid w:val="00C173FC"/>
    <w:rsid w:val="00C24142"/>
    <w:rsid w:val="00C35E0D"/>
    <w:rsid w:val="00C366FF"/>
    <w:rsid w:val="00C40331"/>
    <w:rsid w:val="00C4311D"/>
    <w:rsid w:val="00C438E0"/>
    <w:rsid w:val="00C509EF"/>
    <w:rsid w:val="00C515A0"/>
    <w:rsid w:val="00C52699"/>
    <w:rsid w:val="00C52E08"/>
    <w:rsid w:val="00C53135"/>
    <w:rsid w:val="00C53BAA"/>
    <w:rsid w:val="00C57202"/>
    <w:rsid w:val="00C70A4B"/>
    <w:rsid w:val="00C7143C"/>
    <w:rsid w:val="00C73B96"/>
    <w:rsid w:val="00C74BCF"/>
    <w:rsid w:val="00C75EBA"/>
    <w:rsid w:val="00C80397"/>
    <w:rsid w:val="00C81A52"/>
    <w:rsid w:val="00C831CF"/>
    <w:rsid w:val="00C848D2"/>
    <w:rsid w:val="00C863E8"/>
    <w:rsid w:val="00C86731"/>
    <w:rsid w:val="00C905D3"/>
    <w:rsid w:val="00C91A50"/>
    <w:rsid w:val="00C92B3B"/>
    <w:rsid w:val="00C92DCC"/>
    <w:rsid w:val="00CA1B83"/>
    <w:rsid w:val="00CA2324"/>
    <w:rsid w:val="00CA5C44"/>
    <w:rsid w:val="00CA7351"/>
    <w:rsid w:val="00CB13D6"/>
    <w:rsid w:val="00CB2179"/>
    <w:rsid w:val="00CB2AD1"/>
    <w:rsid w:val="00CB351E"/>
    <w:rsid w:val="00CB35AC"/>
    <w:rsid w:val="00CB7EEA"/>
    <w:rsid w:val="00CC1B70"/>
    <w:rsid w:val="00CC38B6"/>
    <w:rsid w:val="00CC5473"/>
    <w:rsid w:val="00CC5ACE"/>
    <w:rsid w:val="00CC7F11"/>
    <w:rsid w:val="00CD2480"/>
    <w:rsid w:val="00CE2EC7"/>
    <w:rsid w:val="00CE4953"/>
    <w:rsid w:val="00CF3116"/>
    <w:rsid w:val="00CF4255"/>
    <w:rsid w:val="00CF4B6A"/>
    <w:rsid w:val="00CF7B5B"/>
    <w:rsid w:val="00D00AFE"/>
    <w:rsid w:val="00D00FB5"/>
    <w:rsid w:val="00D04879"/>
    <w:rsid w:val="00D04BBF"/>
    <w:rsid w:val="00D06C71"/>
    <w:rsid w:val="00D06E89"/>
    <w:rsid w:val="00D0709F"/>
    <w:rsid w:val="00D07F32"/>
    <w:rsid w:val="00D128E7"/>
    <w:rsid w:val="00D12DD3"/>
    <w:rsid w:val="00D15786"/>
    <w:rsid w:val="00D167D0"/>
    <w:rsid w:val="00D20A7C"/>
    <w:rsid w:val="00D210CE"/>
    <w:rsid w:val="00D22FCE"/>
    <w:rsid w:val="00D23341"/>
    <w:rsid w:val="00D23ED4"/>
    <w:rsid w:val="00D266A5"/>
    <w:rsid w:val="00D26735"/>
    <w:rsid w:val="00D30D66"/>
    <w:rsid w:val="00D325E6"/>
    <w:rsid w:val="00D350C8"/>
    <w:rsid w:val="00D37555"/>
    <w:rsid w:val="00D408D6"/>
    <w:rsid w:val="00D41556"/>
    <w:rsid w:val="00D43913"/>
    <w:rsid w:val="00D45D4B"/>
    <w:rsid w:val="00D46D88"/>
    <w:rsid w:val="00D4713B"/>
    <w:rsid w:val="00D56339"/>
    <w:rsid w:val="00D61959"/>
    <w:rsid w:val="00D653BC"/>
    <w:rsid w:val="00D6658E"/>
    <w:rsid w:val="00D70B41"/>
    <w:rsid w:val="00D71190"/>
    <w:rsid w:val="00D72678"/>
    <w:rsid w:val="00D779F8"/>
    <w:rsid w:val="00D81BFA"/>
    <w:rsid w:val="00D83D0B"/>
    <w:rsid w:val="00D85695"/>
    <w:rsid w:val="00D872C1"/>
    <w:rsid w:val="00D87F80"/>
    <w:rsid w:val="00D95282"/>
    <w:rsid w:val="00D95910"/>
    <w:rsid w:val="00D963F3"/>
    <w:rsid w:val="00DA1EE6"/>
    <w:rsid w:val="00DA5308"/>
    <w:rsid w:val="00DA7CF0"/>
    <w:rsid w:val="00DA7E44"/>
    <w:rsid w:val="00DB3242"/>
    <w:rsid w:val="00DB41F0"/>
    <w:rsid w:val="00DC1651"/>
    <w:rsid w:val="00DC2D03"/>
    <w:rsid w:val="00DC5246"/>
    <w:rsid w:val="00DC61B8"/>
    <w:rsid w:val="00DC6859"/>
    <w:rsid w:val="00DD2ABB"/>
    <w:rsid w:val="00DD7A78"/>
    <w:rsid w:val="00DE3063"/>
    <w:rsid w:val="00DE38C2"/>
    <w:rsid w:val="00DF12CB"/>
    <w:rsid w:val="00DF25D8"/>
    <w:rsid w:val="00DF2F2D"/>
    <w:rsid w:val="00DF68AE"/>
    <w:rsid w:val="00E02EAF"/>
    <w:rsid w:val="00E054D9"/>
    <w:rsid w:val="00E0629B"/>
    <w:rsid w:val="00E11DC7"/>
    <w:rsid w:val="00E11E08"/>
    <w:rsid w:val="00E12E9E"/>
    <w:rsid w:val="00E135FC"/>
    <w:rsid w:val="00E14AE2"/>
    <w:rsid w:val="00E151E7"/>
    <w:rsid w:val="00E30553"/>
    <w:rsid w:val="00E316DA"/>
    <w:rsid w:val="00E341B2"/>
    <w:rsid w:val="00E3721B"/>
    <w:rsid w:val="00E4217B"/>
    <w:rsid w:val="00E4497A"/>
    <w:rsid w:val="00E450AA"/>
    <w:rsid w:val="00E457CD"/>
    <w:rsid w:val="00E536E4"/>
    <w:rsid w:val="00E54775"/>
    <w:rsid w:val="00E55281"/>
    <w:rsid w:val="00E61587"/>
    <w:rsid w:val="00E63BFA"/>
    <w:rsid w:val="00E651B6"/>
    <w:rsid w:val="00E675E2"/>
    <w:rsid w:val="00E718B3"/>
    <w:rsid w:val="00E758C4"/>
    <w:rsid w:val="00E77B17"/>
    <w:rsid w:val="00E8247C"/>
    <w:rsid w:val="00E83A75"/>
    <w:rsid w:val="00E86BD8"/>
    <w:rsid w:val="00E92508"/>
    <w:rsid w:val="00EA26BD"/>
    <w:rsid w:val="00EA39D4"/>
    <w:rsid w:val="00EA45B2"/>
    <w:rsid w:val="00EB395E"/>
    <w:rsid w:val="00EB69C6"/>
    <w:rsid w:val="00EC035F"/>
    <w:rsid w:val="00EC4F17"/>
    <w:rsid w:val="00EC53F8"/>
    <w:rsid w:val="00EC5E11"/>
    <w:rsid w:val="00EC66E9"/>
    <w:rsid w:val="00EC6D64"/>
    <w:rsid w:val="00ED0DDE"/>
    <w:rsid w:val="00ED1BA3"/>
    <w:rsid w:val="00ED3531"/>
    <w:rsid w:val="00ED5AC7"/>
    <w:rsid w:val="00ED63C5"/>
    <w:rsid w:val="00EE7323"/>
    <w:rsid w:val="00EF29D6"/>
    <w:rsid w:val="00EF4198"/>
    <w:rsid w:val="00EF50D6"/>
    <w:rsid w:val="00EF7FE4"/>
    <w:rsid w:val="00F00E49"/>
    <w:rsid w:val="00F01351"/>
    <w:rsid w:val="00F0377D"/>
    <w:rsid w:val="00F03FF8"/>
    <w:rsid w:val="00F06CEF"/>
    <w:rsid w:val="00F103BD"/>
    <w:rsid w:val="00F1114E"/>
    <w:rsid w:val="00F22A8C"/>
    <w:rsid w:val="00F23291"/>
    <w:rsid w:val="00F24AE7"/>
    <w:rsid w:val="00F31C69"/>
    <w:rsid w:val="00F3202D"/>
    <w:rsid w:val="00F33A63"/>
    <w:rsid w:val="00F34280"/>
    <w:rsid w:val="00F44D98"/>
    <w:rsid w:val="00F470B5"/>
    <w:rsid w:val="00F47440"/>
    <w:rsid w:val="00F5053B"/>
    <w:rsid w:val="00F60185"/>
    <w:rsid w:val="00F63882"/>
    <w:rsid w:val="00F6479B"/>
    <w:rsid w:val="00F72221"/>
    <w:rsid w:val="00F74113"/>
    <w:rsid w:val="00F778AB"/>
    <w:rsid w:val="00F81206"/>
    <w:rsid w:val="00F902B6"/>
    <w:rsid w:val="00F93CD1"/>
    <w:rsid w:val="00F9566A"/>
    <w:rsid w:val="00FA0AE4"/>
    <w:rsid w:val="00FA27C3"/>
    <w:rsid w:val="00FA4437"/>
    <w:rsid w:val="00FA71CC"/>
    <w:rsid w:val="00FB1DB9"/>
    <w:rsid w:val="00FB4039"/>
    <w:rsid w:val="00FB6E6D"/>
    <w:rsid w:val="00FB7C3F"/>
    <w:rsid w:val="00FC3CB9"/>
    <w:rsid w:val="00FC3ED4"/>
    <w:rsid w:val="00FC471A"/>
    <w:rsid w:val="00FD3E63"/>
    <w:rsid w:val="00FD4025"/>
    <w:rsid w:val="00FE014B"/>
    <w:rsid w:val="00FE0CC6"/>
    <w:rsid w:val="00FE1642"/>
    <w:rsid w:val="00FE2070"/>
    <w:rsid w:val="00FE3600"/>
    <w:rsid w:val="00FE4062"/>
    <w:rsid w:val="00FE4E5F"/>
    <w:rsid w:val="015C7009"/>
    <w:rsid w:val="01A2611B"/>
    <w:rsid w:val="02251150"/>
    <w:rsid w:val="02511F45"/>
    <w:rsid w:val="02B5233B"/>
    <w:rsid w:val="031C2553"/>
    <w:rsid w:val="0345286E"/>
    <w:rsid w:val="034C0D5A"/>
    <w:rsid w:val="04001E75"/>
    <w:rsid w:val="04473600"/>
    <w:rsid w:val="05353DA0"/>
    <w:rsid w:val="059E3AE0"/>
    <w:rsid w:val="06252A6E"/>
    <w:rsid w:val="066044F4"/>
    <w:rsid w:val="06B156A8"/>
    <w:rsid w:val="08077D9A"/>
    <w:rsid w:val="08A454C4"/>
    <w:rsid w:val="08BA69F7"/>
    <w:rsid w:val="0914398A"/>
    <w:rsid w:val="09426EE0"/>
    <w:rsid w:val="0A0F696E"/>
    <w:rsid w:val="0A770BB5"/>
    <w:rsid w:val="0AD40116"/>
    <w:rsid w:val="0BF978D5"/>
    <w:rsid w:val="0C17413F"/>
    <w:rsid w:val="0C3721AC"/>
    <w:rsid w:val="0C3F00AE"/>
    <w:rsid w:val="0CB65903"/>
    <w:rsid w:val="0CB9159D"/>
    <w:rsid w:val="0D0C53E6"/>
    <w:rsid w:val="0EDF13E9"/>
    <w:rsid w:val="0FA579EC"/>
    <w:rsid w:val="0FE4089C"/>
    <w:rsid w:val="10755A24"/>
    <w:rsid w:val="107C576B"/>
    <w:rsid w:val="108D4A90"/>
    <w:rsid w:val="109A0F5B"/>
    <w:rsid w:val="11076A5B"/>
    <w:rsid w:val="1142587A"/>
    <w:rsid w:val="11AB1672"/>
    <w:rsid w:val="12907B19"/>
    <w:rsid w:val="13135720"/>
    <w:rsid w:val="14101C60"/>
    <w:rsid w:val="144F06C0"/>
    <w:rsid w:val="14AA1ABA"/>
    <w:rsid w:val="14E770CC"/>
    <w:rsid w:val="150317C5"/>
    <w:rsid w:val="15455939"/>
    <w:rsid w:val="15743E00"/>
    <w:rsid w:val="16526560"/>
    <w:rsid w:val="16704C38"/>
    <w:rsid w:val="186D58D3"/>
    <w:rsid w:val="18B01392"/>
    <w:rsid w:val="190B0C48"/>
    <w:rsid w:val="19E576EB"/>
    <w:rsid w:val="1A4C1518"/>
    <w:rsid w:val="1A50725A"/>
    <w:rsid w:val="1ACA2ABE"/>
    <w:rsid w:val="1AED4E80"/>
    <w:rsid w:val="1AF44089"/>
    <w:rsid w:val="1BE55780"/>
    <w:rsid w:val="1CBF1059"/>
    <w:rsid w:val="1CBF4223"/>
    <w:rsid w:val="1D126A49"/>
    <w:rsid w:val="1D37025D"/>
    <w:rsid w:val="1E1B192D"/>
    <w:rsid w:val="1F3A1801"/>
    <w:rsid w:val="201B5C14"/>
    <w:rsid w:val="20B83463"/>
    <w:rsid w:val="20F10F57"/>
    <w:rsid w:val="210202B6"/>
    <w:rsid w:val="218B0B78"/>
    <w:rsid w:val="21A34546"/>
    <w:rsid w:val="21ED3A4F"/>
    <w:rsid w:val="21FC002A"/>
    <w:rsid w:val="22050073"/>
    <w:rsid w:val="22B365D8"/>
    <w:rsid w:val="22CA56D0"/>
    <w:rsid w:val="237A3CFD"/>
    <w:rsid w:val="23E822B1"/>
    <w:rsid w:val="23FF584D"/>
    <w:rsid w:val="248024EA"/>
    <w:rsid w:val="24831FDA"/>
    <w:rsid w:val="26656248"/>
    <w:rsid w:val="26885C79"/>
    <w:rsid w:val="27090EBD"/>
    <w:rsid w:val="271E5FEA"/>
    <w:rsid w:val="27873FEC"/>
    <w:rsid w:val="27D17500"/>
    <w:rsid w:val="28500425"/>
    <w:rsid w:val="291B6C85"/>
    <w:rsid w:val="29D335AD"/>
    <w:rsid w:val="2A9C0162"/>
    <w:rsid w:val="2BA946BE"/>
    <w:rsid w:val="2BB4007F"/>
    <w:rsid w:val="2C701096"/>
    <w:rsid w:val="2D6329A9"/>
    <w:rsid w:val="2DD438A6"/>
    <w:rsid w:val="2EA4771D"/>
    <w:rsid w:val="2EB067DF"/>
    <w:rsid w:val="2EC21BE6"/>
    <w:rsid w:val="2F1C7E9A"/>
    <w:rsid w:val="2F837332"/>
    <w:rsid w:val="2FEE3006"/>
    <w:rsid w:val="306739E5"/>
    <w:rsid w:val="30A752A2"/>
    <w:rsid w:val="30AE3919"/>
    <w:rsid w:val="31140B8A"/>
    <w:rsid w:val="31A0241D"/>
    <w:rsid w:val="31B97611"/>
    <w:rsid w:val="323E39E4"/>
    <w:rsid w:val="32412817"/>
    <w:rsid w:val="32B75C71"/>
    <w:rsid w:val="335A1288"/>
    <w:rsid w:val="34314633"/>
    <w:rsid w:val="347D2E82"/>
    <w:rsid w:val="35BC359E"/>
    <w:rsid w:val="35CB558F"/>
    <w:rsid w:val="362B08D8"/>
    <w:rsid w:val="36A22794"/>
    <w:rsid w:val="375673DE"/>
    <w:rsid w:val="38163439"/>
    <w:rsid w:val="39096AFA"/>
    <w:rsid w:val="394971B4"/>
    <w:rsid w:val="3AAB14A0"/>
    <w:rsid w:val="3AD06507"/>
    <w:rsid w:val="3B862684"/>
    <w:rsid w:val="3BAE3989"/>
    <w:rsid w:val="3BF33A92"/>
    <w:rsid w:val="3C77021F"/>
    <w:rsid w:val="3D0733C4"/>
    <w:rsid w:val="3DA42DCB"/>
    <w:rsid w:val="3ED10EB7"/>
    <w:rsid w:val="3EEC7674"/>
    <w:rsid w:val="40491ED2"/>
    <w:rsid w:val="40692574"/>
    <w:rsid w:val="407D712F"/>
    <w:rsid w:val="412C5A7C"/>
    <w:rsid w:val="41432DC5"/>
    <w:rsid w:val="419B675D"/>
    <w:rsid w:val="41C95079"/>
    <w:rsid w:val="42C41CE4"/>
    <w:rsid w:val="43575E99"/>
    <w:rsid w:val="43D321DE"/>
    <w:rsid w:val="43FA502B"/>
    <w:rsid w:val="443416F4"/>
    <w:rsid w:val="447C2876"/>
    <w:rsid w:val="4484797D"/>
    <w:rsid w:val="46284338"/>
    <w:rsid w:val="46C92DA7"/>
    <w:rsid w:val="46D86895"/>
    <w:rsid w:val="47076C6D"/>
    <w:rsid w:val="48276F9D"/>
    <w:rsid w:val="48B87BF5"/>
    <w:rsid w:val="495D4A4D"/>
    <w:rsid w:val="499B614F"/>
    <w:rsid w:val="49C10D2B"/>
    <w:rsid w:val="4A7D1CCB"/>
    <w:rsid w:val="4AAF6DD6"/>
    <w:rsid w:val="4B6A7155"/>
    <w:rsid w:val="4BA97CC9"/>
    <w:rsid w:val="4BDD2F4F"/>
    <w:rsid w:val="4C474817"/>
    <w:rsid w:val="4C884D42"/>
    <w:rsid w:val="4D77007F"/>
    <w:rsid w:val="4DB210B7"/>
    <w:rsid w:val="4EEC684A"/>
    <w:rsid w:val="4F732AC8"/>
    <w:rsid w:val="4FFB7B14"/>
    <w:rsid w:val="500D1A9A"/>
    <w:rsid w:val="50A65A6D"/>
    <w:rsid w:val="51597A9B"/>
    <w:rsid w:val="520E4D2A"/>
    <w:rsid w:val="52552958"/>
    <w:rsid w:val="52F932E4"/>
    <w:rsid w:val="532C7F34"/>
    <w:rsid w:val="53733096"/>
    <w:rsid w:val="54F14BBA"/>
    <w:rsid w:val="564F4D48"/>
    <w:rsid w:val="56C43A70"/>
    <w:rsid w:val="57931F59"/>
    <w:rsid w:val="587E1439"/>
    <w:rsid w:val="58DE7204"/>
    <w:rsid w:val="596040BD"/>
    <w:rsid w:val="5A0709DC"/>
    <w:rsid w:val="5A61633E"/>
    <w:rsid w:val="5A9C7376"/>
    <w:rsid w:val="5AA77AC9"/>
    <w:rsid w:val="5B7E082A"/>
    <w:rsid w:val="5DE3467B"/>
    <w:rsid w:val="5E062D59"/>
    <w:rsid w:val="5E0B0E29"/>
    <w:rsid w:val="5E130209"/>
    <w:rsid w:val="5EEB4428"/>
    <w:rsid w:val="5EF57055"/>
    <w:rsid w:val="5EF7101F"/>
    <w:rsid w:val="5F465B03"/>
    <w:rsid w:val="5F8959EF"/>
    <w:rsid w:val="5FC036BA"/>
    <w:rsid w:val="60206352"/>
    <w:rsid w:val="6031230F"/>
    <w:rsid w:val="60C56EFB"/>
    <w:rsid w:val="60C74214"/>
    <w:rsid w:val="60E83048"/>
    <w:rsid w:val="60E94F09"/>
    <w:rsid w:val="617B530A"/>
    <w:rsid w:val="617F3A95"/>
    <w:rsid w:val="62250B56"/>
    <w:rsid w:val="624E7B5D"/>
    <w:rsid w:val="625642AF"/>
    <w:rsid w:val="635A1B7D"/>
    <w:rsid w:val="639572B8"/>
    <w:rsid w:val="64267CB1"/>
    <w:rsid w:val="64A57817"/>
    <w:rsid w:val="64F102BF"/>
    <w:rsid w:val="65EA4BC1"/>
    <w:rsid w:val="65F8567D"/>
    <w:rsid w:val="660A599C"/>
    <w:rsid w:val="66A7157D"/>
    <w:rsid w:val="671309C0"/>
    <w:rsid w:val="684F4465"/>
    <w:rsid w:val="68E36170"/>
    <w:rsid w:val="693E3CEF"/>
    <w:rsid w:val="69676DA1"/>
    <w:rsid w:val="6A0E64AD"/>
    <w:rsid w:val="6A3D1DC1"/>
    <w:rsid w:val="6A486BD3"/>
    <w:rsid w:val="6B9F679B"/>
    <w:rsid w:val="6BA51E03"/>
    <w:rsid w:val="6BC75F65"/>
    <w:rsid w:val="6BD83F86"/>
    <w:rsid w:val="6C411B2C"/>
    <w:rsid w:val="6DE9247B"/>
    <w:rsid w:val="6E511DCE"/>
    <w:rsid w:val="6F033EAA"/>
    <w:rsid w:val="6F7076E4"/>
    <w:rsid w:val="6F8561D3"/>
    <w:rsid w:val="70875F7B"/>
    <w:rsid w:val="70CB40BA"/>
    <w:rsid w:val="71593E5C"/>
    <w:rsid w:val="719374FA"/>
    <w:rsid w:val="71EE5DC9"/>
    <w:rsid w:val="72A162F1"/>
    <w:rsid w:val="73072EE4"/>
    <w:rsid w:val="73506AF8"/>
    <w:rsid w:val="73D414D7"/>
    <w:rsid w:val="743326A2"/>
    <w:rsid w:val="74943AA6"/>
    <w:rsid w:val="74950D3A"/>
    <w:rsid w:val="7535244A"/>
    <w:rsid w:val="755C3532"/>
    <w:rsid w:val="75761AAE"/>
    <w:rsid w:val="75D04E21"/>
    <w:rsid w:val="76950BB7"/>
    <w:rsid w:val="76EE202B"/>
    <w:rsid w:val="77514BED"/>
    <w:rsid w:val="77D9075A"/>
    <w:rsid w:val="77ED5A40"/>
    <w:rsid w:val="77ED700C"/>
    <w:rsid w:val="78203570"/>
    <w:rsid w:val="786F17CF"/>
    <w:rsid w:val="795D3D1D"/>
    <w:rsid w:val="796926C2"/>
    <w:rsid w:val="79FC3536"/>
    <w:rsid w:val="7A7C2861"/>
    <w:rsid w:val="7A9279F6"/>
    <w:rsid w:val="7A981FCD"/>
    <w:rsid w:val="7BB120FE"/>
    <w:rsid w:val="7C3674AE"/>
    <w:rsid w:val="7C3A6597"/>
    <w:rsid w:val="7C8E2521"/>
    <w:rsid w:val="7C9D6654"/>
    <w:rsid w:val="7D2C7C8E"/>
    <w:rsid w:val="7D5176F5"/>
    <w:rsid w:val="7D951CD7"/>
    <w:rsid w:val="7DEB18F7"/>
    <w:rsid w:val="7E0916E2"/>
    <w:rsid w:val="7E6B66E1"/>
    <w:rsid w:val="7EDE76AE"/>
    <w:rsid w:val="7FBA58F0"/>
    <w:rsid w:val="7FD518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A8BF"/>
  <w15:docId w15:val="{11D771C8-E172-4221-BF74-CEC3CE163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widowControl w:val="0"/>
      <w:jc w:val="both"/>
    </w:pPr>
    <w:rPr>
      <w:kern w:val="2"/>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uiPriority w:val="99"/>
    <w:semiHidden/>
    <w:unhideWhenUsed/>
    <w:qFormat/>
    <w:pPr>
      <w:jc w:val="left"/>
    </w:pPr>
  </w:style>
  <w:style w:type="paragraph" w:styleId="a5">
    <w:name w:val="footer"/>
    <w:basedOn w:val="a0"/>
    <w:link w:val="a6"/>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0"/>
    <w:link w:val="a8"/>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table" w:styleId="a9">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1"/>
    <w:uiPriority w:val="22"/>
    <w:qFormat/>
    <w:rPr>
      <w:b/>
      <w:bCs/>
    </w:rPr>
  </w:style>
  <w:style w:type="character" w:styleId="ab">
    <w:name w:val="annotation reference"/>
    <w:basedOn w:val="a1"/>
    <w:uiPriority w:val="99"/>
    <w:semiHidden/>
    <w:unhideWhenUsed/>
    <w:qFormat/>
    <w:rPr>
      <w:sz w:val="21"/>
      <w:szCs w:val="21"/>
    </w:rPr>
  </w:style>
  <w:style w:type="character" w:customStyle="1" w:styleId="a8">
    <w:name w:val="页眉 字符"/>
    <w:basedOn w:val="a1"/>
    <w:link w:val="a7"/>
    <w:uiPriority w:val="99"/>
    <w:qFormat/>
    <w:rPr>
      <w:sz w:val="18"/>
      <w:szCs w:val="18"/>
    </w:rPr>
  </w:style>
  <w:style w:type="character" w:customStyle="1" w:styleId="a6">
    <w:name w:val="页脚 字符"/>
    <w:basedOn w:val="a1"/>
    <w:link w:val="a5"/>
    <w:autoRedefine/>
    <w:uiPriority w:val="99"/>
    <w:qFormat/>
    <w:rPr>
      <w:sz w:val="18"/>
      <w:szCs w:val="18"/>
    </w:rPr>
  </w:style>
  <w:style w:type="paragraph" w:styleId="a">
    <w:name w:val="List Paragraph"/>
    <w:basedOn w:val="a0"/>
    <w:autoRedefine/>
    <w:uiPriority w:val="99"/>
    <w:qFormat/>
    <w:pPr>
      <w:numPr>
        <w:numId w:val="1"/>
      </w:numPr>
      <w:adjustRightInd w:val="0"/>
      <w:snapToGrid w:val="0"/>
      <w:spacing w:line="360" w:lineRule="auto"/>
      <w:ind w:left="0" w:firstLineChars="200" w:firstLine="480"/>
    </w:pPr>
    <w:rPr>
      <w:rFonts w:ascii="等线" w:eastAsia="等线" w:hAnsi="等线"/>
      <w:szCs w:val="22"/>
    </w:rPr>
  </w:style>
  <w:style w:type="paragraph" w:customStyle="1" w:styleId="1">
    <w:name w:val="修订1"/>
    <w:hidden/>
    <w:uiPriority w:val="99"/>
    <w:semiHidden/>
    <w:qFormat/>
    <w:rPr>
      <w:kern w:val="2"/>
      <w:sz w:val="21"/>
    </w:rPr>
  </w:style>
  <w:style w:type="paragraph" w:customStyle="1" w:styleId="2">
    <w:name w:val="修订2"/>
    <w:hidden/>
    <w:uiPriority w:val="99"/>
    <w:semiHidden/>
    <w:qFormat/>
    <w:rPr>
      <w:kern w:val="2"/>
      <w:sz w:val="21"/>
    </w:rPr>
  </w:style>
  <w:style w:type="paragraph" w:customStyle="1" w:styleId="3">
    <w:name w:val="修订3"/>
    <w:hidden/>
    <w:uiPriority w:val="99"/>
    <w:semiHidden/>
    <w:qFormat/>
    <w:rPr>
      <w:kern w:val="2"/>
      <w:sz w:val="21"/>
    </w:rPr>
  </w:style>
  <w:style w:type="paragraph" w:customStyle="1" w:styleId="4">
    <w:name w:val="修订4"/>
    <w:hidden/>
    <w:uiPriority w:val="99"/>
    <w:semiHidden/>
    <w:qFormat/>
    <w:rPr>
      <w:kern w:val="2"/>
      <w:sz w:val="21"/>
    </w:rPr>
  </w:style>
  <w:style w:type="paragraph" w:customStyle="1" w:styleId="5">
    <w:name w:val="修订5"/>
    <w:hidden/>
    <w:uiPriority w:val="99"/>
    <w:semiHidden/>
    <w:qFormat/>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faff12a1-7b6e-4fbf-8451-98b2fa5c93c9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5F0EAF5B</paraID>
      <start>0</start>
      <end>2</end>
      <status>unmodified</status>
      <modifiedWord/>
      <trackRevisions>false</trackRevisions>
    </reviewItem>
    <reviewItem>
      <errorID>374fb0e8-a094-4bf9-9d10-6ba13a78f3bc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E034EA</paraID>
      <start>0</start>
      <end>2</end>
      <status>unmodified</status>
      <modifiedWord/>
      <trackRevisions>false</trackRevisions>
    </reviewItem>
    <reviewItem>
      <errorID>66d1a930-d2b8-4b97-b753-805f7c72b214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2AEB702A</paraID>
      <start>0</start>
      <end>2</end>
      <status>unmodified</status>
      <modifiedWord/>
      <trackRevisions>false</trackRevisions>
    </reviewItem>
    <reviewItem>
      <errorID>3a01306b-a4bb-4ceb-8b81-6f488b412405</errorID>
      <errorWord>法院提请诉讼</errorWord>
      <group>L1_Word</group>
      <groupName>字词问题</groupName>
      <ability>L2_Typo</ability>
      <abilityName>字词错误</abilityName>
      <candidateList>
        <item>法院提起诉讼</item>
      </candidateList>
      <explain/>
      <paraID>58FEA487</paraID>
      <start>85</start>
      <end>91</end>
      <status>unmodified</status>
      <modifiedWord/>
      <trackRevisions>false</trackRevisions>
    </reviewItem>
    <reviewItem>
      <errorID>d1bff036-47b9-42df-81ee-d44757269c86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1DB16F4C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88317EF8-D54E-4FD3-AC11-168D6A47C727}">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Template>
  <TotalTime>1235</TotalTime>
  <Pages>3</Pages>
  <Words>282</Words>
  <Characters>1609</Characters>
  <Application>Microsoft Office Word</Application>
  <DocSecurity>0</DocSecurity>
  <Lines>13</Lines>
  <Paragraphs>3</Paragraphs>
  <ScaleCrop>false</ScaleCrop>
  <Company/>
  <LinksUpToDate>false</LinksUpToDate>
  <CharactersWithSpaces>1888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杨凤</dc:creator>
  <cp:lastModifiedBy>华通</cp:lastModifiedBy>
  <cp:revision>1233</cp:revision>
  <cp:lastPrinted>2022-03-09T05:04:00Z</cp:lastPrinted>
  <dcterms:created xsi:type="dcterms:W3CDTF">2020-06-19T09:42:00Z</dcterms:created>
  <dcterms:modified xsi:type="dcterms:W3CDTF">2026-08-28T07:47:00Z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F0EC61BB9DA749D5AE2678425E714821_13</vt:lpwstr>
  </property>
  <property fmtid="{D5CDD505-2E9C-101B-9397-08002B2CF9AE}" pid="4" name="KSOTemplateDocerSaveRecord">
    <vt:lpwstr>eyJoZGlkIjoiY2ZhM2FhN2Y5NGNhN2UwMDMyZTFiYTEwODMxZWE1ZTMiLCJ1c2VySWQiOiI3MDc0NjE4NDgifQ==</vt:lpwstr>
  </property>
</Properties>
</file>