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6DE77">
      <w:pPr>
        <w:pStyle w:val="2"/>
        <w:rPr>
          <w:rFonts w:hint="default" w:ascii="宋体" w:hAnsi="宋体" w:eastAsia="宋体" w:cs="宋体"/>
          <w:sz w:val="20"/>
          <w:szCs w:val="20"/>
          <w:lang w:val="en-US" w:eastAsia="zh-CN"/>
        </w:rPr>
      </w:pPr>
      <w:r>
        <w:rPr>
          <w:rFonts w:hint="eastAsia" w:ascii="宋体" w:hAnsi="宋体" w:eastAsia="宋体" w:cs="宋体"/>
          <w:sz w:val="20"/>
          <w:szCs w:val="20"/>
          <w:lang w:val="en-US"/>
        </w:rPr>
        <w:t>证券代码：</w:t>
      </w:r>
      <w:r>
        <w:rPr>
          <w:rFonts w:hint="eastAsia" w:ascii="宋体" w:hAnsi="宋体" w:eastAsia="宋体" w:cs="宋体"/>
          <w:sz w:val="20"/>
          <w:szCs w:val="20"/>
          <w:lang w:val="en-US" w:eastAsia="zh-CN"/>
        </w:rPr>
        <w:t>600458</w:t>
      </w:r>
      <w:r>
        <w:rPr>
          <w:rFonts w:hint="eastAsia" w:ascii="宋体" w:hAnsi="宋体" w:eastAsia="宋体" w:cs="宋体"/>
          <w:sz w:val="20"/>
          <w:szCs w:val="20"/>
          <w:lang w:val="en-US"/>
        </w:rPr>
        <w:t xml:space="preserve">   </w:t>
      </w:r>
      <w:r>
        <w:rPr>
          <w:rFonts w:hint="eastAsia" w:ascii="宋体" w:hAnsi="宋体" w:eastAsia="宋体" w:cs="宋体"/>
          <w:sz w:val="21"/>
          <w:szCs w:val="21"/>
          <w:lang w:val="en-US"/>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0"/>
          <w:szCs w:val="20"/>
          <w:lang w:val="en-US"/>
        </w:rPr>
        <w:t>证券简称：</w:t>
      </w:r>
      <w:r>
        <w:rPr>
          <w:rFonts w:hint="eastAsia" w:ascii="宋体" w:hAnsi="宋体" w:eastAsia="宋体" w:cs="宋体"/>
          <w:sz w:val="20"/>
          <w:szCs w:val="20"/>
          <w:lang w:val="en-US" w:eastAsia="zh-CN"/>
        </w:rPr>
        <w:t>时代新材</w:t>
      </w:r>
    </w:p>
    <w:p w14:paraId="2D02FFE5">
      <w:pPr>
        <w:spacing w:line="360" w:lineRule="auto"/>
        <w:jc w:val="center"/>
        <w:rPr>
          <w:rFonts w:ascii="宋体" w:hAnsi="宋体" w:eastAsia="宋体" w:cs="宋体"/>
          <w:b/>
          <w:bCs/>
          <w:sz w:val="44"/>
          <w:szCs w:val="44"/>
        </w:rPr>
      </w:pPr>
    </w:p>
    <w:p w14:paraId="022FD394">
      <w:pPr>
        <w:spacing w:line="360" w:lineRule="auto"/>
        <w:jc w:val="center"/>
        <w:rPr>
          <w:rFonts w:ascii="宋体" w:hAnsi="宋体" w:eastAsia="宋体" w:cs="宋体"/>
          <w:b/>
          <w:bCs/>
          <w:sz w:val="44"/>
          <w:szCs w:val="44"/>
        </w:rPr>
      </w:pPr>
      <w:r>
        <w:rPr>
          <w:rFonts w:hint="eastAsia" w:ascii="宋体" w:hAnsi="宋体" w:eastAsia="宋体" w:cs="宋体"/>
          <w:b/>
          <w:bCs/>
          <w:sz w:val="44"/>
          <w:szCs w:val="44"/>
        </w:rPr>
        <w:t>株洲时代新材料科技股份有限公司</w:t>
      </w:r>
    </w:p>
    <w:p w14:paraId="27108F85">
      <w:pPr>
        <w:spacing w:line="360" w:lineRule="auto"/>
        <w:jc w:val="center"/>
        <w:rPr>
          <w:rFonts w:ascii="宋体" w:hAnsi="宋体" w:eastAsia="宋体" w:cs="宋体"/>
          <w:sz w:val="44"/>
          <w:szCs w:val="44"/>
        </w:rPr>
      </w:pPr>
      <w:r>
        <w:rPr>
          <w:rFonts w:hint="eastAsia" w:ascii="宋体" w:hAnsi="宋体" w:eastAsia="宋体" w:cs="宋体"/>
          <w:b/>
          <w:bCs/>
          <w:sz w:val="44"/>
          <w:szCs w:val="44"/>
        </w:rPr>
        <w:t>投资者关系活动记录表</w:t>
      </w:r>
    </w:p>
    <w:p w14:paraId="03310FD3">
      <w:pPr>
        <w:spacing w:before="51" w:after="32"/>
        <w:ind w:right="619"/>
        <w:jc w:val="right"/>
        <w:rPr>
          <w:rFonts w:hint="eastAsia" w:ascii="宋体" w:hAnsi="宋体" w:eastAsia="宋体" w:cs="宋体"/>
          <w:sz w:val="20"/>
          <w:szCs w:val="20"/>
          <w:lang w:val="en-US" w:eastAsia="zh-CN"/>
        </w:rPr>
      </w:pPr>
      <w:r>
        <w:rPr>
          <w:rFonts w:hint="eastAsia" w:ascii="宋体" w:hAnsi="宋体" w:eastAsia="宋体" w:cs="宋体"/>
          <w:sz w:val="20"/>
          <w:szCs w:val="20"/>
        </w:rPr>
        <w:t>编号：</w:t>
      </w:r>
      <w:r>
        <w:rPr>
          <w:rFonts w:hint="eastAsia" w:ascii="宋体" w:hAnsi="宋体" w:eastAsia="宋体" w:cs="宋体"/>
          <w:sz w:val="20"/>
          <w:szCs w:val="20"/>
          <w:lang w:val="en-US"/>
        </w:rPr>
        <w:t>2026</w:t>
      </w:r>
      <w:r>
        <w:rPr>
          <w:rFonts w:hint="eastAsia" w:ascii="宋体" w:hAnsi="宋体" w:eastAsia="宋体" w:cs="宋体"/>
          <w:sz w:val="20"/>
          <w:szCs w:val="20"/>
        </w:rPr>
        <w:t xml:space="preserve"> -</w:t>
      </w:r>
      <w:r>
        <w:rPr>
          <w:rFonts w:hint="eastAsia" w:ascii="宋体" w:hAnsi="宋体" w:eastAsia="宋体" w:cs="宋体"/>
          <w:sz w:val="20"/>
          <w:szCs w:val="20"/>
          <w:lang w:val="en-US" w:eastAsia="zh-CN"/>
        </w:rPr>
        <w:t xml:space="preserve"> 2</w:t>
      </w:r>
    </w:p>
    <w:tbl>
      <w:tblPr>
        <w:tblStyle w:val="9"/>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2105"/>
        <w:gridCol w:w="6420"/>
      </w:tblGrid>
      <w:tr w14:paraId="2CEA7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1" w:hRule="atLeast"/>
          <w:jc w:val="center"/>
        </w:trPr>
        <w:tc>
          <w:tcPr>
            <w:tcW w:w="2105" w:type="dxa"/>
          </w:tcPr>
          <w:p w14:paraId="18C339D9">
            <w:pPr>
              <w:pStyle w:val="12"/>
              <w:spacing w:before="7"/>
              <w:rPr>
                <w:rFonts w:ascii="宋体" w:hAnsi="宋体" w:eastAsia="宋体" w:cs="宋体"/>
                <w:b/>
                <w:bCs/>
                <w:sz w:val="20"/>
                <w:szCs w:val="20"/>
              </w:rPr>
            </w:pPr>
          </w:p>
          <w:p w14:paraId="69B36EA9">
            <w:pPr>
              <w:pStyle w:val="12"/>
              <w:spacing w:before="1"/>
              <w:ind w:left="107"/>
              <w:rPr>
                <w:rFonts w:ascii="宋体" w:hAnsi="宋体" w:eastAsia="宋体" w:cs="宋体"/>
                <w:b/>
                <w:bCs/>
                <w:sz w:val="20"/>
                <w:szCs w:val="20"/>
              </w:rPr>
            </w:pPr>
            <w:r>
              <w:rPr>
                <w:rFonts w:hint="eastAsia" w:ascii="宋体" w:hAnsi="宋体" w:eastAsia="宋体" w:cs="宋体"/>
                <w:b/>
                <w:bCs/>
                <w:sz w:val="20"/>
                <w:szCs w:val="20"/>
              </w:rPr>
              <w:t>投资者关系活动类别</w:t>
            </w:r>
          </w:p>
        </w:tc>
        <w:tc>
          <w:tcPr>
            <w:tcW w:w="6420" w:type="dxa"/>
          </w:tcPr>
          <w:p w14:paraId="090EC672">
            <w:pPr>
              <w:pStyle w:val="12"/>
              <w:spacing w:before="7"/>
              <w:rPr>
                <w:rFonts w:ascii="宋体" w:hAnsi="宋体" w:eastAsia="宋体" w:cs="宋体"/>
                <w:sz w:val="20"/>
                <w:szCs w:val="20"/>
              </w:rPr>
            </w:pPr>
          </w:p>
          <w:p w14:paraId="29E5BA10">
            <w:pPr>
              <w:pStyle w:val="12"/>
              <w:tabs>
                <w:tab w:val="left" w:pos="2418"/>
              </w:tabs>
              <w:spacing w:before="1"/>
              <w:ind w:left="107"/>
              <w:rPr>
                <w:rFonts w:ascii="宋体" w:hAnsi="宋体" w:eastAsia="宋体" w:cs="宋体"/>
                <w:sz w:val="20"/>
                <w:szCs w:val="20"/>
              </w:rPr>
            </w:pPr>
            <w:sdt>
              <w:sdtPr>
                <w:rPr>
                  <w:rFonts w:hint="eastAsia" w:ascii="宋体" w:hAnsi="宋体" w:eastAsia="宋体" w:cs="宋体"/>
                  <w:sz w:val="20"/>
                  <w:szCs w:val="20"/>
                </w:rPr>
                <w:id w:val="249780449"/>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特</w:t>
            </w:r>
            <w:r>
              <w:rPr>
                <w:rFonts w:hint="eastAsia" w:ascii="宋体" w:hAnsi="宋体" w:eastAsia="宋体" w:cs="宋体"/>
                <w:spacing w:val="-3"/>
                <w:sz w:val="20"/>
                <w:szCs w:val="20"/>
              </w:rPr>
              <w:t>定</w:t>
            </w:r>
            <w:r>
              <w:rPr>
                <w:rFonts w:hint="eastAsia" w:ascii="宋体" w:hAnsi="宋体" w:eastAsia="宋体" w:cs="宋体"/>
                <w:sz w:val="20"/>
                <w:szCs w:val="20"/>
              </w:rPr>
              <w:t>对</w:t>
            </w:r>
            <w:r>
              <w:rPr>
                <w:rFonts w:hint="eastAsia" w:ascii="宋体" w:hAnsi="宋体" w:eastAsia="宋体" w:cs="宋体"/>
                <w:spacing w:val="-3"/>
                <w:sz w:val="20"/>
                <w:szCs w:val="20"/>
              </w:rPr>
              <w:t>象</w:t>
            </w:r>
            <w:r>
              <w:rPr>
                <w:rFonts w:hint="eastAsia" w:ascii="宋体" w:hAnsi="宋体" w:eastAsia="宋体" w:cs="宋体"/>
                <w:sz w:val="20"/>
                <w:szCs w:val="20"/>
              </w:rPr>
              <w:t>调研</w:t>
            </w:r>
            <w:r>
              <w:rPr>
                <w:rFonts w:hint="eastAsia" w:ascii="宋体" w:hAnsi="宋体" w:eastAsia="宋体" w:cs="宋体"/>
                <w:sz w:val="20"/>
                <w:szCs w:val="20"/>
              </w:rPr>
              <w:tab/>
            </w:r>
            <w:sdt>
              <w:sdtPr>
                <w:rPr>
                  <w:rFonts w:hint="eastAsia" w:ascii="宋体" w:hAnsi="宋体" w:eastAsia="宋体" w:cs="宋体"/>
                  <w:sz w:val="20"/>
                  <w:szCs w:val="20"/>
                </w:rPr>
                <w:id w:val="-416875725"/>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分</w:t>
            </w:r>
            <w:r>
              <w:rPr>
                <w:rFonts w:hint="eastAsia" w:ascii="宋体" w:hAnsi="宋体" w:eastAsia="宋体" w:cs="宋体"/>
                <w:spacing w:val="-3"/>
                <w:sz w:val="20"/>
                <w:szCs w:val="20"/>
              </w:rPr>
              <w:t>析</w:t>
            </w:r>
            <w:r>
              <w:rPr>
                <w:rFonts w:hint="eastAsia" w:ascii="宋体" w:hAnsi="宋体" w:eastAsia="宋体" w:cs="宋体"/>
                <w:sz w:val="20"/>
                <w:szCs w:val="20"/>
              </w:rPr>
              <w:t>师</w:t>
            </w:r>
            <w:r>
              <w:rPr>
                <w:rFonts w:hint="eastAsia" w:ascii="宋体" w:hAnsi="宋体" w:eastAsia="宋体" w:cs="宋体"/>
                <w:spacing w:val="-3"/>
                <w:sz w:val="20"/>
                <w:szCs w:val="20"/>
              </w:rPr>
              <w:t>会</w:t>
            </w:r>
            <w:r>
              <w:rPr>
                <w:rFonts w:hint="eastAsia" w:ascii="宋体" w:hAnsi="宋体" w:eastAsia="宋体" w:cs="宋体"/>
                <w:sz w:val="20"/>
                <w:szCs w:val="20"/>
              </w:rPr>
              <w:t>议</w:t>
            </w:r>
          </w:p>
          <w:p w14:paraId="0E110FB8">
            <w:pPr>
              <w:pStyle w:val="12"/>
              <w:spacing w:before="11"/>
              <w:rPr>
                <w:rFonts w:ascii="宋体" w:hAnsi="宋体" w:eastAsia="宋体" w:cs="宋体"/>
                <w:sz w:val="20"/>
                <w:szCs w:val="20"/>
              </w:rPr>
            </w:pPr>
          </w:p>
          <w:p w14:paraId="41566B62">
            <w:pPr>
              <w:pStyle w:val="12"/>
              <w:tabs>
                <w:tab w:val="left" w:pos="2418"/>
              </w:tabs>
              <w:ind w:left="107"/>
              <w:rPr>
                <w:rFonts w:ascii="宋体" w:hAnsi="宋体" w:eastAsia="宋体" w:cs="宋体"/>
                <w:sz w:val="20"/>
                <w:szCs w:val="20"/>
              </w:rPr>
            </w:pPr>
            <w:sdt>
              <w:sdtPr>
                <w:rPr>
                  <w:rFonts w:hint="eastAsia" w:ascii="宋体" w:hAnsi="宋体" w:eastAsia="宋体" w:cs="宋体"/>
                  <w:sz w:val="20"/>
                  <w:szCs w:val="20"/>
                </w:rPr>
                <w:id w:val="120690601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媒</w:t>
            </w:r>
            <w:r>
              <w:rPr>
                <w:rFonts w:hint="eastAsia" w:ascii="宋体" w:hAnsi="宋体" w:eastAsia="宋体" w:cs="宋体"/>
                <w:spacing w:val="-3"/>
                <w:sz w:val="20"/>
                <w:szCs w:val="20"/>
              </w:rPr>
              <w:t>体</w:t>
            </w:r>
            <w:r>
              <w:rPr>
                <w:rFonts w:hint="eastAsia" w:ascii="宋体" w:hAnsi="宋体" w:eastAsia="宋体" w:cs="宋体"/>
                <w:sz w:val="20"/>
                <w:szCs w:val="20"/>
              </w:rPr>
              <w:t>采访</w:t>
            </w:r>
            <w:r>
              <w:rPr>
                <w:rFonts w:hint="eastAsia" w:ascii="宋体" w:hAnsi="宋体" w:eastAsia="宋体" w:cs="宋体"/>
                <w:sz w:val="20"/>
                <w:szCs w:val="20"/>
              </w:rPr>
              <w:tab/>
            </w:r>
            <w:sdt>
              <w:sdtPr>
                <w:rPr>
                  <w:rFonts w:hint="eastAsia" w:ascii="宋体" w:hAnsi="宋体" w:eastAsia="宋体" w:cs="宋体"/>
                  <w:sz w:val="20"/>
                  <w:szCs w:val="20"/>
                </w:rPr>
                <w:id w:val="-66658901"/>
                <w14:checkbox>
                  <w14:checked w14:val="1"/>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Wingdings 2" w:hAnsi="Wingdings 2" w:eastAsia="MS Gothic" w:cs="宋体"/>
                    <w:sz w:val="20"/>
                    <w:szCs w:val="20"/>
                    <w:lang w:val="zh-CN" w:eastAsia="zh-CN" w:bidi="zh-CN"/>
                  </w:rPr>
                  <w:t>R</w:t>
                </w:r>
              </w:sdtContent>
            </w:sdt>
            <w:r>
              <w:rPr>
                <w:rFonts w:hint="eastAsia" w:ascii="宋体" w:hAnsi="宋体" w:eastAsia="宋体" w:cs="宋体"/>
                <w:sz w:val="20"/>
                <w:szCs w:val="20"/>
              </w:rPr>
              <w:t>业</w:t>
            </w:r>
            <w:r>
              <w:rPr>
                <w:rFonts w:hint="eastAsia" w:ascii="宋体" w:hAnsi="宋体" w:eastAsia="宋体" w:cs="宋体"/>
                <w:spacing w:val="-3"/>
                <w:sz w:val="20"/>
                <w:szCs w:val="20"/>
              </w:rPr>
              <w:t>绩</w:t>
            </w:r>
            <w:r>
              <w:rPr>
                <w:rFonts w:hint="eastAsia" w:ascii="宋体" w:hAnsi="宋体" w:eastAsia="宋体" w:cs="宋体"/>
                <w:sz w:val="20"/>
                <w:szCs w:val="20"/>
              </w:rPr>
              <w:t>说</w:t>
            </w:r>
            <w:r>
              <w:rPr>
                <w:rFonts w:hint="eastAsia" w:ascii="宋体" w:hAnsi="宋体" w:eastAsia="宋体" w:cs="宋体"/>
                <w:spacing w:val="-3"/>
                <w:sz w:val="20"/>
                <w:szCs w:val="20"/>
              </w:rPr>
              <w:t>明</w:t>
            </w:r>
            <w:r>
              <w:rPr>
                <w:rFonts w:hint="eastAsia" w:ascii="宋体" w:hAnsi="宋体" w:eastAsia="宋体" w:cs="宋体"/>
                <w:sz w:val="20"/>
                <w:szCs w:val="20"/>
              </w:rPr>
              <w:t>会</w:t>
            </w:r>
          </w:p>
          <w:p w14:paraId="605779A8">
            <w:pPr>
              <w:pStyle w:val="12"/>
              <w:spacing w:before="8"/>
              <w:rPr>
                <w:rFonts w:ascii="宋体" w:hAnsi="宋体" w:eastAsia="宋体" w:cs="宋体"/>
                <w:sz w:val="20"/>
                <w:szCs w:val="20"/>
              </w:rPr>
            </w:pPr>
          </w:p>
          <w:p w14:paraId="247E185B">
            <w:pPr>
              <w:pStyle w:val="12"/>
              <w:tabs>
                <w:tab w:val="left" w:pos="2418"/>
              </w:tabs>
              <w:ind w:left="107"/>
              <w:rPr>
                <w:rFonts w:ascii="宋体" w:hAnsi="宋体" w:eastAsia="宋体" w:cs="宋体"/>
                <w:sz w:val="20"/>
                <w:szCs w:val="20"/>
              </w:rPr>
            </w:pPr>
            <w:sdt>
              <w:sdtPr>
                <w:rPr>
                  <w:rFonts w:hint="eastAsia" w:ascii="宋体" w:hAnsi="宋体" w:eastAsia="宋体" w:cs="宋体"/>
                  <w:sz w:val="20"/>
                  <w:szCs w:val="20"/>
                </w:rPr>
                <w:id w:val="-184816743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新</w:t>
            </w:r>
            <w:r>
              <w:rPr>
                <w:rFonts w:hint="eastAsia" w:ascii="宋体" w:hAnsi="宋体" w:eastAsia="宋体" w:cs="宋体"/>
                <w:spacing w:val="-3"/>
                <w:sz w:val="20"/>
                <w:szCs w:val="20"/>
              </w:rPr>
              <w:t>闻</w:t>
            </w:r>
            <w:r>
              <w:rPr>
                <w:rFonts w:hint="eastAsia" w:ascii="宋体" w:hAnsi="宋体" w:eastAsia="宋体" w:cs="宋体"/>
                <w:sz w:val="20"/>
                <w:szCs w:val="20"/>
              </w:rPr>
              <w:t>发</w:t>
            </w:r>
            <w:r>
              <w:rPr>
                <w:rFonts w:hint="eastAsia" w:ascii="宋体" w:hAnsi="宋体" w:eastAsia="宋体" w:cs="宋体"/>
                <w:spacing w:val="-3"/>
                <w:sz w:val="20"/>
                <w:szCs w:val="20"/>
              </w:rPr>
              <w:t>布</w:t>
            </w:r>
            <w:r>
              <w:rPr>
                <w:rFonts w:hint="eastAsia" w:ascii="宋体" w:hAnsi="宋体" w:eastAsia="宋体" w:cs="宋体"/>
                <w:sz w:val="20"/>
                <w:szCs w:val="20"/>
              </w:rPr>
              <w:t>会</w:t>
            </w:r>
            <w:r>
              <w:rPr>
                <w:rFonts w:hint="eastAsia" w:ascii="宋体" w:hAnsi="宋体" w:eastAsia="宋体" w:cs="宋体"/>
                <w:sz w:val="20"/>
                <w:szCs w:val="20"/>
              </w:rPr>
              <w:tab/>
            </w:r>
            <w:sdt>
              <w:sdtPr>
                <w:rPr>
                  <w:rFonts w:hint="eastAsia" w:ascii="宋体" w:hAnsi="宋体" w:eastAsia="宋体" w:cs="宋体"/>
                  <w:sz w:val="20"/>
                  <w:szCs w:val="20"/>
                </w:rPr>
                <w:id w:val="41204969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路</w:t>
            </w:r>
            <w:r>
              <w:rPr>
                <w:rFonts w:hint="eastAsia" w:ascii="宋体" w:hAnsi="宋体" w:eastAsia="宋体" w:cs="宋体"/>
                <w:spacing w:val="-3"/>
                <w:sz w:val="20"/>
                <w:szCs w:val="20"/>
              </w:rPr>
              <w:t>演</w:t>
            </w:r>
            <w:r>
              <w:rPr>
                <w:rFonts w:hint="eastAsia" w:ascii="宋体" w:hAnsi="宋体" w:eastAsia="宋体" w:cs="宋体"/>
                <w:sz w:val="20"/>
                <w:szCs w:val="20"/>
              </w:rPr>
              <w:t>活动</w:t>
            </w:r>
          </w:p>
          <w:p w14:paraId="1A90C6CD">
            <w:pPr>
              <w:pStyle w:val="12"/>
              <w:spacing w:before="8"/>
              <w:rPr>
                <w:rFonts w:ascii="宋体" w:hAnsi="宋体" w:eastAsia="宋体" w:cs="宋体"/>
                <w:sz w:val="20"/>
                <w:szCs w:val="20"/>
              </w:rPr>
            </w:pPr>
          </w:p>
          <w:p w14:paraId="35139FC2">
            <w:pPr>
              <w:pStyle w:val="12"/>
              <w:ind w:left="107"/>
              <w:rPr>
                <w:rFonts w:ascii="宋体" w:hAnsi="宋体" w:eastAsia="宋体" w:cs="宋体"/>
                <w:sz w:val="20"/>
                <w:szCs w:val="20"/>
              </w:rPr>
            </w:pPr>
            <w:sdt>
              <w:sdtPr>
                <w:rPr>
                  <w:rFonts w:hint="eastAsia" w:ascii="宋体" w:hAnsi="宋体" w:eastAsia="宋体" w:cs="宋体"/>
                  <w:sz w:val="20"/>
                  <w:szCs w:val="20"/>
                </w:rPr>
                <w:id w:val="-133336691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现场参观</w:t>
            </w:r>
          </w:p>
          <w:p w14:paraId="15FF8873">
            <w:pPr>
              <w:pStyle w:val="12"/>
              <w:spacing w:before="11"/>
              <w:rPr>
                <w:rFonts w:ascii="宋体" w:hAnsi="宋体" w:eastAsia="宋体" w:cs="宋体"/>
                <w:sz w:val="20"/>
                <w:szCs w:val="20"/>
              </w:rPr>
            </w:pPr>
          </w:p>
          <w:p w14:paraId="68C6A5B6">
            <w:pPr>
              <w:pStyle w:val="12"/>
              <w:ind w:left="107"/>
              <w:rPr>
                <w:rFonts w:ascii="宋体" w:hAnsi="宋体" w:eastAsia="宋体" w:cs="宋体"/>
                <w:sz w:val="20"/>
                <w:szCs w:val="20"/>
              </w:rPr>
            </w:pPr>
            <w:sdt>
              <w:sdtPr>
                <w:rPr>
                  <w:rFonts w:hint="eastAsia" w:ascii="宋体" w:hAnsi="宋体" w:eastAsia="宋体" w:cs="宋体"/>
                  <w:sz w:val="20"/>
                  <w:szCs w:val="20"/>
                </w:rPr>
                <w:id w:val="400885218"/>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其他（</w:t>
            </w:r>
            <w:r>
              <w:rPr>
                <w:rFonts w:hint="eastAsia" w:ascii="宋体" w:hAnsi="宋体" w:eastAsia="宋体" w:cs="宋体"/>
                <w:sz w:val="20"/>
                <w:szCs w:val="20"/>
                <w:u w:val="single"/>
              </w:rPr>
              <w:t>请文字说明其他活动内容）</w:t>
            </w:r>
          </w:p>
        </w:tc>
      </w:tr>
      <w:tr w14:paraId="700C1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1120" w:hRule="atLeast"/>
          <w:jc w:val="center"/>
        </w:trPr>
        <w:tc>
          <w:tcPr>
            <w:tcW w:w="2105" w:type="dxa"/>
            <w:vAlign w:val="center"/>
          </w:tcPr>
          <w:p w14:paraId="7AD1B450">
            <w:pPr>
              <w:pStyle w:val="12"/>
              <w:spacing w:line="560" w:lineRule="exact"/>
              <w:ind w:left="107" w:right="96"/>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参与单位名称及人员姓名</w:t>
            </w:r>
          </w:p>
        </w:tc>
        <w:tc>
          <w:tcPr>
            <w:tcW w:w="6420" w:type="dxa"/>
            <w:vAlign w:val="center"/>
          </w:tcPr>
          <w:p w14:paraId="38C687DC">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hint="default" w:cs="宋体" w:asciiTheme="minorEastAsia" w:hAnsiTheme="minorEastAsia" w:eastAsiaTheme="minorEastAsia"/>
                <w:sz w:val="20"/>
                <w:szCs w:val="20"/>
                <w:lang w:val="en-US" w:eastAsia="zh-CN"/>
              </w:rPr>
            </w:pPr>
            <w:r>
              <w:rPr>
                <w:rFonts w:hint="eastAsia" w:cs="宋体" w:asciiTheme="minorEastAsia" w:hAnsiTheme="minorEastAsia" w:eastAsiaTheme="minorEastAsia"/>
                <w:sz w:val="20"/>
                <w:szCs w:val="20"/>
                <w:lang w:val="en-US" w:eastAsia="zh-CN"/>
              </w:rPr>
              <w:t>线上参与时代新材（600458）2026年半年度业绩说明会的全体投资者</w:t>
            </w:r>
          </w:p>
        </w:tc>
      </w:tr>
      <w:tr w14:paraId="32D4A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105" w:type="dxa"/>
            <w:vAlign w:val="center"/>
          </w:tcPr>
          <w:p w14:paraId="06C12F68">
            <w:pPr>
              <w:pStyle w:val="12"/>
              <w:ind w:left="107"/>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时间</w:t>
            </w:r>
          </w:p>
        </w:tc>
        <w:tc>
          <w:tcPr>
            <w:tcW w:w="6420" w:type="dxa"/>
            <w:vAlign w:val="center"/>
          </w:tcPr>
          <w:p w14:paraId="6F59D099">
            <w:pPr>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sz w:val="20"/>
                <w:szCs w:val="20"/>
              </w:rPr>
            </w:pPr>
            <w:r>
              <w:rPr>
                <w:rFonts w:hint="eastAsia" w:asciiTheme="minorEastAsia" w:hAnsiTheme="minorEastAsia" w:eastAsiaTheme="minorEastAsia" w:cstheme="minorEastAsia"/>
                <w:sz w:val="20"/>
                <w:szCs w:val="20"/>
              </w:rPr>
              <w:t>2026年08月28日 15:00-16:00</w:t>
            </w:r>
          </w:p>
        </w:tc>
      </w:tr>
      <w:tr w14:paraId="1617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2105" w:type="dxa"/>
            <w:vAlign w:val="center"/>
          </w:tcPr>
          <w:p w14:paraId="2322559B">
            <w:pPr>
              <w:pStyle w:val="12"/>
              <w:ind w:left="107"/>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地点</w:t>
            </w:r>
          </w:p>
        </w:tc>
        <w:tc>
          <w:tcPr>
            <w:tcW w:w="6420" w:type="dxa"/>
            <w:vAlign w:val="center"/>
          </w:tcPr>
          <w:p w14:paraId="65A30C33">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cs="宋体" w:asciiTheme="minorEastAsia" w:hAnsiTheme="minorEastAsia" w:eastAsiaTheme="minorEastAsia"/>
                <w:sz w:val="20"/>
                <w:szCs w:val="20"/>
              </w:rPr>
            </w:pPr>
            <w:r>
              <w:rPr>
                <w:rFonts w:cs="宋体" w:asciiTheme="minorEastAsia" w:hAnsiTheme="minorEastAsia" w:eastAsiaTheme="minorEastAsia"/>
                <w:sz w:val="20"/>
                <w:szCs w:val="20"/>
              </w:rPr>
              <w:t>价值在线（https://www.ir-online.cn/）网络互动</w:t>
            </w:r>
          </w:p>
        </w:tc>
      </w:tr>
      <w:tr w14:paraId="4198B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105" w:type="dxa"/>
            <w:vAlign w:val="center"/>
          </w:tcPr>
          <w:p w14:paraId="42863E13">
            <w:pPr>
              <w:pStyle w:val="12"/>
              <w:spacing w:before="1"/>
              <w:ind w:left="107"/>
              <w:rPr>
                <w:rFonts w:ascii="宋体" w:hAnsi="宋体" w:eastAsia="宋体" w:cs="宋体"/>
                <w:b/>
                <w:bCs/>
                <w:sz w:val="20"/>
                <w:szCs w:val="20"/>
              </w:rPr>
            </w:pPr>
            <w:r>
              <w:rPr>
                <w:rFonts w:hint="eastAsia" w:ascii="宋体" w:hAnsi="宋体" w:eastAsia="宋体" w:cs="宋体"/>
                <w:b/>
                <w:bCs/>
                <w:sz w:val="20"/>
                <w:szCs w:val="20"/>
              </w:rPr>
              <w:t>上市公司接待人员姓名</w:t>
            </w:r>
          </w:p>
        </w:tc>
        <w:tc>
          <w:tcPr>
            <w:tcW w:w="6420" w:type="dxa"/>
            <w:vAlign w:val="center"/>
          </w:tcPr>
          <w:p w14:paraId="2ECFA9FF">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ascii="宋体" w:hAnsi="宋体" w:eastAsia="宋体" w:cs="宋体"/>
                <w:sz w:val="20"/>
                <w:szCs w:val="20"/>
              </w:rPr>
            </w:pPr>
            <w:r>
              <w:rPr>
                <w:rFonts w:ascii="宋体" w:hAnsi="宋体" w:eastAsia="宋体" w:cs="宋体"/>
                <w:sz w:val="20"/>
                <w:szCs w:val="20"/>
              </w:rPr>
              <w:t>董事、总经理 杨治国</w:t>
            </w:r>
            <w:r>
              <w:rPr>
                <w:rFonts w:ascii="宋体" w:hAnsi="宋体" w:eastAsia="宋体" w:cs="宋体"/>
                <w:sz w:val="20"/>
                <w:szCs w:val="20"/>
              </w:rPr>
              <w:br w:type="textWrapping"/>
            </w:r>
            <w:r>
              <w:rPr>
                <w:rFonts w:ascii="宋体" w:hAnsi="宋体" w:eastAsia="宋体" w:cs="宋体"/>
                <w:sz w:val="20"/>
                <w:szCs w:val="20"/>
              </w:rPr>
              <w:t>独立董事 周志方</w:t>
            </w:r>
            <w:r>
              <w:rPr>
                <w:rFonts w:ascii="宋体" w:hAnsi="宋体" w:eastAsia="宋体" w:cs="宋体"/>
                <w:sz w:val="20"/>
                <w:szCs w:val="20"/>
              </w:rPr>
              <w:br w:type="textWrapping"/>
            </w:r>
            <w:r>
              <w:rPr>
                <w:rFonts w:ascii="宋体" w:hAnsi="宋体" w:eastAsia="宋体" w:cs="宋体"/>
                <w:sz w:val="20"/>
                <w:szCs w:val="20"/>
              </w:rPr>
              <w:t>副总经理、财务总监 卢雄文</w:t>
            </w:r>
            <w:r>
              <w:rPr>
                <w:rFonts w:ascii="宋体" w:hAnsi="宋体" w:eastAsia="宋体" w:cs="宋体"/>
                <w:sz w:val="20"/>
                <w:szCs w:val="20"/>
              </w:rPr>
              <w:br w:type="textWrapping"/>
            </w:r>
            <w:r>
              <w:rPr>
                <w:rFonts w:ascii="宋体" w:hAnsi="宋体" w:eastAsia="宋体" w:cs="宋体"/>
                <w:sz w:val="20"/>
                <w:szCs w:val="20"/>
              </w:rPr>
              <w:t>副总经理 侯彬彬</w:t>
            </w:r>
            <w:r>
              <w:rPr>
                <w:rFonts w:ascii="宋体" w:hAnsi="宋体" w:eastAsia="宋体" w:cs="宋体"/>
                <w:sz w:val="20"/>
                <w:szCs w:val="20"/>
              </w:rPr>
              <w:br w:type="textWrapping"/>
            </w:r>
            <w:r>
              <w:rPr>
                <w:rFonts w:ascii="宋体" w:hAnsi="宋体" w:eastAsia="宋体" w:cs="宋体"/>
                <w:sz w:val="20"/>
                <w:szCs w:val="20"/>
              </w:rPr>
              <w:t>董事会秘书 夏智</w:t>
            </w:r>
          </w:p>
        </w:tc>
      </w:tr>
      <w:tr w14:paraId="5B594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0" w:hRule="atLeast"/>
          <w:jc w:val="center"/>
        </w:trPr>
        <w:tc>
          <w:tcPr>
            <w:tcW w:w="2105" w:type="dxa"/>
          </w:tcPr>
          <w:p w14:paraId="71410D1F">
            <w:pPr>
              <w:pStyle w:val="12"/>
              <w:rPr>
                <w:rFonts w:ascii="宋体" w:hAnsi="宋体" w:eastAsia="宋体" w:cs="宋体"/>
                <w:b/>
                <w:bCs/>
                <w:sz w:val="20"/>
                <w:szCs w:val="20"/>
              </w:rPr>
            </w:pPr>
          </w:p>
          <w:p w14:paraId="467E15ED">
            <w:pPr>
              <w:pStyle w:val="12"/>
              <w:rPr>
                <w:rFonts w:ascii="宋体" w:hAnsi="宋体" w:eastAsia="宋体" w:cs="宋体"/>
                <w:b/>
                <w:bCs/>
                <w:sz w:val="20"/>
                <w:szCs w:val="20"/>
              </w:rPr>
            </w:pPr>
          </w:p>
          <w:p w14:paraId="3FBAF440">
            <w:pPr>
              <w:pStyle w:val="12"/>
              <w:spacing w:before="5"/>
              <w:rPr>
                <w:rFonts w:ascii="宋体" w:hAnsi="宋体" w:eastAsia="宋体" w:cs="宋体"/>
                <w:b/>
                <w:bCs/>
                <w:sz w:val="20"/>
                <w:szCs w:val="20"/>
              </w:rPr>
            </w:pPr>
          </w:p>
          <w:p w14:paraId="5DD8A05C">
            <w:pPr>
              <w:pStyle w:val="12"/>
              <w:spacing w:before="1" w:line="499" w:lineRule="auto"/>
              <w:ind w:left="107" w:right="96"/>
              <w:rPr>
                <w:rFonts w:ascii="宋体" w:hAnsi="宋体" w:eastAsia="宋体" w:cs="宋体"/>
                <w:b/>
                <w:bCs/>
                <w:sz w:val="20"/>
                <w:szCs w:val="20"/>
              </w:rPr>
            </w:pPr>
            <w:r>
              <w:rPr>
                <w:rFonts w:hint="eastAsia" w:ascii="宋体" w:hAnsi="宋体" w:eastAsia="宋体" w:cs="宋体"/>
                <w:b/>
                <w:bCs/>
                <w:sz w:val="20"/>
                <w:szCs w:val="20"/>
              </w:rPr>
              <w:t>投资者关系活动主要内容介绍</w:t>
            </w:r>
          </w:p>
        </w:tc>
        <w:tc>
          <w:tcPr>
            <w:tcW w:w="6420" w:type="dxa"/>
          </w:tcPr>
          <w:p w14:paraId="1A111228">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ascii="宋体" w:hAnsi="宋体" w:eastAsia="宋体" w:cs="宋体"/>
                <w:b w:val="0"/>
                <w:sz w:val="20"/>
              </w:rPr>
            </w:pPr>
            <w:r>
              <w:rPr>
                <w:rFonts w:ascii="宋体" w:hAnsi="宋体" w:eastAsia="宋体" w:cs="宋体"/>
                <w:b/>
                <w:sz w:val="20"/>
              </w:rPr>
              <w:t xml:space="preserve">    1.公司上半年业绩表现亮眼。但我们也关注到财报中两个比较突出的问题：
第一，经营活动现金流由去年同期的+7.44亿元转为-10.88亿元，同比下降246.21%；
第二，应收账款期末余额高达72.45亿元，较期初大增63.63%，
请问：1. 经营性现金流大幅转负的具体原因是什么？2. 应收账款增速远超营收增速，72.45亿应收款中，账龄结构如何、是否存在集中违约风险？公司采取了哪些对策?</w:t>
            </w:r>
            <w:r>
              <w:rPr>
                <w:rFonts w:ascii="宋体" w:hAnsi="宋体" w:eastAsia="宋体" w:cs="宋体"/>
                <w:b/>
                <w:sz w:val="20"/>
              </w:rPr>
              <w:br w:type="textWrapping"/>
            </w:r>
            <w:r>
              <w:rPr>
                <w:rFonts w:ascii="宋体" w:hAnsi="宋体" w:eastAsia="宋体" w:cs="宋体"/>
                <w:b w:val="0"/>
                <w:sz w:val="20"/>
              </w:rPr>
              <w:t xml:space="preserve">    答:尊敬的投资者，您好！
（一）公司上半年经营性净现金流同比有较大幅度的减少，主要有以下几个方面的原因：一是随着公司营业收入规模的增长，相应成本费用支出增加，同时受国家政策调整以及风电板块原材料价格上涨影响，公司调整了部分供应商的付款节奏和付款方式，现金付款比例增加；二是公司回款存在季节性特征，回款主要集中在第四季度，大部分应收账款尚未收回；三是上年末公司持有在手的商业票据存在收付逆差，公司经营性净现金流出现了暂时性为负的情况。
（二）公司应收账款中超过95%为一年以内的应收账款，相关应收账款账龄分部及分板块情况详见公司发布的半年度报告附注七、5应收账款部分。公司存在少数因客户违约形成的逾期应收账款，公司已结合实际情况计提相应的减值，不存在集中违约情况。
公司建立了客户信用评级和资信评审机制，定期评估客户资信及风险情况；对于应收账账款按账龄建立分级催收机制，并按客户落实回款目标和责任，针对逾期款项建立“一户一策”清收行动计划，专项督导，按月追踪闭环。
公司将持续关注经营性现金流的情况，加大对客户应收账款的回收管理，同时优化营运资金管理，持续提升经营性现金流入。
感谢您的关注！</w:t>
            </w:r>
          </w:p>
          <w:p w14:paraId="26C61B66">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ascii="宋体" w:hAnsi="宋体" w:eastAsia="宋体" w:cs="宋体"/>
                <w:b/>
                <w:sz w:val="20"/>
              </w:rPr>
            </w:pPr>
            <w:r>
              <w:rPr>
                <w:rFonts w:ascii="宋体" w:hAnsi="宋体" w:eastAsia="宋体" w:cs="宋体"/>
                <w:b w:val="0"/>
                <w:sz w:val="20"/>
              </w:rPr>
              <w:br w:type="textWrapping"/>
            </w:r>
            <w:r>
              <w:rPr>
                <w:rFonts w:ascii="宋体" w:hAnsi="宋体" w:eastAsia="宋体" w:cs="宋体"/>
                <w:b/>
                <w:sz w:val="20"/>
              </w:rPr>
              <w:t xml:space="preserve">    2.半年报显示，子公司时代华先电容隔膜产品已首次应用于AIDC领域，产品性能国内领先，并获得了国内头部电容客户批量订单。同时，光电信息产业已建成首条聚酰亚胺浆料中试产线，与国内头部显示面板公司、功率半导体公司开展产品验证测试，部分产品已通过验证。请问：
· AIDC电容隔膜从“小批量订单”到“批量订单”的验证周期大概是多久？目前产能能否满足头部客户的批量交付需求？
· 聚酰亚胺浆料等半导体材料，预计下半年开始批量供货的具体时间表和首批客户是哪些？</w:t>
            </w:r>
            <w:r>
              <w:rPr>
                <w:rFonts w:ascii="宋体" w:hAnsi="宋体" w:eastAsia="宋体" w:cs="宋体"/>
                <w:b/>
                <w:sz w:val="20"/>
              </w:rPr>
              <w:br w:type="textWrapping"/>
            </w:r>
            <w:r>
              <w:rPr>
                <w:rFonts w:ascii="宋体" w:hAnsi="宋体" w:eastAsia="宋体" w:cs="宋体"/>
                <w:b w:val="0"/>
                <w:sz w:val="20"/>
              </w:rPr>
              <w:t xml:space="preserve">    答:尊敬的投资者，您好！
AIDC领域中不同客户会根据小批量交付的情况逐步放大用量，预计最快四季度实现稳定批量订单，当前生产线产能可根据订单灵活调配，可保证各战略客户的交付需求。FPI浆料预计四季度将在半导体客户小批量启动交付，YPI、CPI浆料当前正在主要头部客户积极推动送样验证流程。
感谢您的关注！</w:t>
            </w:r>
            <w:r>
              <w:rPr>
                <w:rFonts w:ascii="宋体" w:hAnsi="宋体" w:eastAsia="宋体" w:cs="宋体"/>
                <w:b w:val="0"/>
                <w:sz w:val="20"/>
              </w:rPr>
              <w:br w:type="textWrapping"/>
            </w:r>
            <w:r>
              <w:rPr>
                <w:rFonts w:ascii="宋体" w:hAnsi="宋体" w:eastAsia="宋体" w:cs="宋体"/>
                <w:b/>
                <w:sz w:val="20"/>
              </w:rPr>
              <w:t xml:space="preserve">   </w:t>
            </w:r>
          </w:p>
          <w:p w14:paraId="32A98CB5">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 xml:space="preserve"> 3.关于订单与营收转化。
新材料业务上半年营收3.05亿元，同比增长22%；但新签订单高达12.95亿元，同比增长102.34%。在手订单是上半年营收的4倍以上。请问：
· 订单转化营收严重不足，核心瓶颈是产能不足（如株洲基地10条PACK产线已满负荷运行），还是客户验证/产品导入周期本身较长？
· 这些在手订单预计何时能大规模转化为收入？</w:t>
            </w:r>
            <w:r>
              <w:rPr>
                <w:rFonts w:ascii="宋体" w:hAnsi="宋体" w:eastAsia="宋体" w:cs="宋体"/>
                <w:b/>
                <w:sz w:val="20"/>
              </w:rPr>
              <w:br w:type="textWrapping"/>
            </w:r>
            <w:r>
              <w:rPr>
                <w:rFonts w:ascii="宋体" w:hAnsi="宋体" w:eastAsia="宋体" w:cs="宋体"/>
                <w:b w:val="0"/>
                <w:sz w:val="20"/>
              </w:rPr>
              <w:t xml:space="preserve">    答:尊敬的投资者，您好！
公司的新能源电池PACK产品订单，从定点到量产转批的开发和验证周期长，通常需要6至10个月时间，预计订单大批量转换为收入在今年四季度和明年一季度。
感谢您的关注！</w:t>
            </w:r>
            <w:r>
              <w:rPr>
                <w:rFonts w:ascii="宋体" w:hAnsi="宋体" w:eastAsia="宋体" w:cs="宋体"/>
                <w:b w:val="0"/>
                <w:sz w:val="20"/>
              </w:rPr>
              <w:br w:type="textWrapping"/>
            </w:r>
            <w:r>
              <w:rPr>
                <w:rFonts w:ascii="宋体" w:hAnsi="宋体" w:eastAsia="宋体" w:cs="宋体"/>
                <w:b/>
                <w:sz w:val="20"/>
              </w:rPr>
              <w:t xml:space="preserve">   </w:t>
            </w:r>
          </w:p>
          <w:p w14:paraId="18EAAA3E">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 xml:space="preserve"> 4.公司此前在SNEC展会上透露，光伏边框产品已实现批量交付，GW级复材边框产线预计6月底正式投产。目前已是8月底，请问该产线是否已按计划投产？量产爬坡进度如何？下半年批量供货的目标推进是否顺利?请问公司对今年光伏边框业务的收入预期大概是什么量级？目前已有多少订单落地？</w:t>
            </w:r>
            <w:r>
              <w:rPr>
                <w:rFonts w:ascii="宋体" w:hAnsi="宋体" w:eastAsia="宋体" w:cs="宋体"/>
                <w:b/>
                <w:sz w:val="20"/>
              </w:rPr>
              <w:br w:type="textWrapping"/>
            </w:r>
            <w:r>
              <w:rPr>
                <w:rFonts w:ascii="宋体" w:hAnsi="宋体" w:eastAsia="宋体" w:cs="宋体"/>
                <w:b w:val="0"/>
                <w:sz w:val="20"/>
              </w:rPr>
              <w:t xml:space="preserve">    答:尊敬的投资者，您好！
公司复材边框产线已初步达产，正在进行部分订单的生产交付中。目前已有多个项目在持续跟进，边框的合同与交付取决于项目的开工建设周期，全年的收入预计在两千万左右。目前跟进的潜在项目订单超过GW级别，产业有望在明年迎来显著增长。
感谢您的关注！</w:t>
            </w:r>
            <w:r>
              <w:rPr>
                <w:rFonts w:ascii="宋体" w:hAnsi="宋体" w:eastAsia="宋体" w:cs="宋体"/>
                <w:b w:val="0"/>
                <w:sz w:val="20"/>
              </w:rPr>
              <w:br w:type="textWrapping"/>
            </w:r>
            <w:r>
              <w:rPr>
                <w:rFonts w:ascii="宋体" w:hAnsi="宋体" w:eastAsia="宋体" w:cs="宋体"/>
                <w:b/>
                <w:sz w:val="20"/>
              </w:rPr>
              <w:t xml:space="preserve">    </w:t>
            </w:r>
          </w:p>
          <w:p w14:paraId="4DC8DAC3">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5.上半年公司新材料板块订单大幅增长，想请问PACK封装类产品的贡献如何？</w:t>
            </w:r>
            <w:r>
              <w:rPr>
                <w:rFonts w:ascii="宋体" w:hAnsi="宋体" w:eastAsia="宋体" w:cs="宋体"/>
                <w:b/>
                <w:sz w:val="20"/>
              </w:rPr>
              <w:br w:type="textWrapping"/>
            </w:r>
            <w:r>
              <w:rPr>
                <w:rFonts w:ascii="宋体" w:hAnsi="宋体" w:eastAsia="宋体" w:cs="宋体"/>
                <w:b w:val="0"/>
                <w:sz w:val="20"/>
              </w:rPr>
              <w:t xml:space="preserve">    答:尊敬的投资者，您好！
上半年公司新材料市场新签订单超10亿元，其中八成订单为PACK封装类产品周期性定点项目订单，将为客户配套项目全生命周期的产品需求交付，相关产品现已在储能及动力电池领域广泛应用。
PACK封装类产品是公司新材料产业营收增长与规模扩张的核心支撑，公司一方面正持续加强产品的研发创新，完善结构封装与功能封装产品体系，优化产品集成配套能力；另一方面加快推进新基地产能爬坡，提升产线自动化水平与产品良率，强化规模化稳定供应能力。
感谢您的关注！</w:t>
            </w:r>
            <w:r>
              <w:rPr>
                <w:rFonts w:ascii="宋体" w:hAnsi="宋体" w:eastAsia="宋体" w:cs="宋体"/>
                <w:b w:val="0"/>
                <w:sz w:val="20"/>
              </w:rPr>
              <w:br w:type="textWrapping"/>
            </w:r>
            <w:r>
              <w:rPr>
                <w:rFonts w:ascii="宋体" w:hAnsi="宋体" w:eastAsia="宋体" w:cs="宋体"/>
                <w:b/>
                <w:sz w:val="20"/>
              </w:rPr>
              <w:t xml:space="preserve">    </w:t>
            </w:r>
          </w:p>
          <w:p w14:paraId="62191E75">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6.董秘好，半年报中提到风电海外订单同比翻番，想了解公司风电出海业务的客户拓展情况？</w:t>
            </w:r>
            <w:r>
              <w:rPr>
                <w:rFonts w:ascii="宋体" w:hAnsi="宋体" w:eastAsia="宋体" w:cs="宋体"/>
                <w:b/>
                <w:sz w:val="20"/>
              </w:rPr>
              <w:br w:type="textWrapping"/>
            </w:r>
            <w:r>
              <w:rPr>
                <w:rFonts w:ascii="宋体" w:hAnsi="宋体" w:eastAsia="宋体" w:cs="宋体"/>
                <w:b w:val="0"/>
                <w:sz w:val="20"/>
              </w:rPr>
              <w:t xml:space="preserve">    答:尊敬的投资者，您好！
公司上半年风电海外订单实现同比翻倍，来自于核心海外客户的持续深化合作，并完成新签框架合作协议，对应订单总额超20亿元，目前正在射阳工厂增设专属模具工位，为后续增量交付做好产能配套。此外，公司一方面紧密联动国内主流风电主机厂协同出海，另一方面与Vestas等国际头部整机厂商保持常态化对接，稳步拓展海外市场。
感谢您的关注！</w:t>
            </w:r>
            <w:r>
              <w:rPr>
                <w:rFonts w:ascii="宋体" w:hAnsi="宋体" w:eastAsia="宋体" w:cs="宋体"/>
                <w:b w:val="0"/>
                <w:sz w:val="20"/>
              </w:rPr>
              <w:br w:type="textWrapping"/>
            </w:r>
            <w:r>
              <w:rPr>
                <w:rFonts w:ascii="宋体" w:hAnsi="宋体" w:eastAsia="宋体" w:cs="宋体"/>
                <w:b/>
                <w:sz w:val="20"/>
              </w:rPr>
              <w:t xml:space="preserve">    </w:t>
            </w:r>
          </w:p>
          <w:p w14:paraId="40E3A700">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7.了解到公司聚酰亚胺浆料预计在下半年开始分阶段供货，想问这类产品的盈利水平怎么样？</w:t>
            </w:r>
            <w:r>
              <w:rPr>
                <w:rFonts w:ascii="宋体" w:hAnsi="宋体" w:eastAsia="宋体" w:cs="宋体"/>
                <w:b/>
                <w:sz w:val="20"/>
              </w:rPr>
              <w:br w:type="textWrapping"/>
            </w:r>
            <w:r>
              <w:rPr>
                <w:rFonts w:ascii="宋体" w:hAnsi="宋体" w:eastAsia="宋体" w:cs="宋体"/>
                <w:b w:val="0"/>
                <w:sz w:val="20"/>
              </w:rPr>
              <w:t xml:space="preserve">    答:尊敬的投资者，您好！
公司聚酰亚胺浆料产品以高端国产替代为核心发展方向，所属赛道技术壁垒较高，盈利能力相对较强。目前公司CPI、YPI产品处于客户验证和市场推广阶段，FPI产品已通过客户验证审核。
感谢您的关注！</w:t>
            </w:r>
            <w:r>
              <w:rPr>
                <w:rFonts w:ascii="宋体" w:hAnsi="宋体" w:eastAsia="宋体" w:cs="宋体"/>
                <w:b w:val="0"/>
                <w:sz w:val="20"/>
              </w:rPr>
              <w:br w:type="textWrapping"/>
            </w:r>
            <w:r>
              <w:rPr>
                <w:rFonts w:ascii="宋体" w:hAnsi="宋体" w:eastAsia="宋体" w:cs="宋体"/>
                <w:b/>
                <w:sz w:val="20"/>
              </w:rPr>
              <w:t xml:space="preserve">    </w:t>
            </w:r>
          </w:p>
          <w:p w14:paraId="49EB71BA">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8.请问公司汽车零部件板块2026年半年度盈利情况怎么样？</w:t>
            </w:r>
            <w:r>
              <w:rPr>
                <w:rFonts w:ascii="宋体" w:hAnsi="宋体" w:eastAsia="宋体" w:cs="宋体"/>
                <w:b/>
                <w:sz w:val="20"/>
              </w:rPr>
              <w:br w:type="textWrapping"/>
            </w:r>
            <w:r>
              <w:rPr>
                <w:rFonts w:ascii="宋体" w:hAnsi="宋体" w:eastAsia="宋体" w:cs="宋体"/>
                <w:b w:val="0"/>
                <w:sz w:val="20"/>
              </w:rPr>
              <w:t xml:space="preserve">    答:尊敬的投资者，您好！
当前汽车终端消费市场整体偏弱，全球燃油车市场持续萎缩，公司海外传统核心客户需求有所下滑，叠加海外新产能爬坡、国内基地转产过渡期成本偏高等因素，公司汽车零部件板块上半年虽略微盈利，但业务经营仍面临一定压力。
对此，公司一方面紧跟核心客户电动化转型战略，推进新平台、新业务的合作。另一方面加快全球产能优化重组，引导产能向成本更具优势的区域转移，强化应对外部市场环境变化的能力。
感谢您的关注！</w:t>
            </w:r>
            <w:r>
              <w:rPr>
                <w:rFonts w:ascii="宋体" w:hAnsi="宋体" w:eastAsia="宋体" w:cs="宋体"/>
                <w:b w:val="0"/>
                <w:sz w:val="20"/>
              </w:rPr>
              <w:br w:type="textWrapping"/>
            </w:r>
            <w:r>
              <w:rPr>
                <w:rFonts w:ascii="宋体" w:hAnsi="宋体" w:eastAsia="宋体" w:cs="宋体"/>
                <w:b/>
                <w:sz w:val="20"/>
              </w:rPr>
              <w:t xml:space="preserve">    </w:t>
            </w:r>
          </w:p>
          <w:p w14:paraId="25552625">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9.请问时代华先电容隔膜在AIDC领域产品应用的怎么样了？</w:t>
            </w:r>
            <w:r>
              <w:rPr>
                <w:rFonts w:ascii="宋体" w:hAnsi="宋体" w:eastAsia="宋体" w:cs="宋体"/>
                <w:b/>
                <w:sz w:val="20"/>
              </w:rPr>
              <w:br w:type="textWrapping"/>
            </w:r>
            <w:r>
              <w:rPr>
                <w:rFonts w:ascii="宋体" w:hAnsi="宋体" w:eastAsia="宋体" w:cs="宋体"/>
                <w:b w:val="0"/>
                <w:sz w:val="20"/>
              </w:rPr>
              <w:t xml:space="preserve">    答:尊敬的投资者，您好！
2026年上半年，时代华先电容隔膜产品在AIDC领域取得实质性进展，已完成国内头部电容厂商的批量订单交付，客户反馈良好。与此同时，公司在该领域与国内其他主流电容厂商的相关产品验证工作推进顺利，已获得一定规模的订单并有增长趋势。为保障后续产品订单的规模化交付，下半年公司将优化现有产能配置、提升交付效率，并加快推进新产线建设进度。
未来随着更多客户的验证落地、订单量提升以及新产能的逐步释放，相关业务有望为公司盈利提升形成积极贡献。
感谢您的关注！</w:t>
            </w:r>
            <w:r>
              <w:rPr>
                <w:rFonts w:ascii="宋体" w:hAnsi="宋体" w:eastAsia="宋体" w:cs="宋体"/>
                <w:b w:val="0"/>
                <w:sz w:val="20"/>
              </w:rPr>
              <w:br w:type="textWrapping"/>
            </w:r>
            <w:r>
              <w:rPr>
                <w:rFonts w:ascii="宋体" w:hAnsi="宋体" w:eastAsia="宋体" w:cs="宋体"/>
                <w:b/>
                <w:sz w:val="20"/>
              </w:rPr>
              <w:t xml:space="preserve">    </w:t>
            </w:r>
          </w:p>
          <w:p w14:paraId="71572087">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10.中材科技半年报风电叶片毛利率下降4%，时代新材上半年风电叶片业务毛利率是多少</w:t>
            </w:r>
            <w:r>
              <w:rPr>
                <w:rFonts w:ascii="宋体" w:hAnsi="宋体" w:eastAsia="宋体" w:cs="宋体"/>
                <w:b/>
                <w:sz w:val="20"/>
              </w:rPr>
              <w:br w:type="textWrapping"/>
            </w:r>
            <w:r>
              <w:rPr>
                <w:rFonts w:ascii="宋体" w:hAnsi="宋体" w:eastAsia="宋体" w:cs="宋体"/>
                <w:b w:val="0"/>
                <w:sz w:val="20"/>
              </w:rPr>
              <w:t xml:space="preserve">    答:尊敬的投资者，您好！
公司上半年风电叶片业务毛利率约为10%，同比基本持平。
感谢您的关注！</w:t>
            </w:r>
            <w:r>
              <w:rPr>
                <w:rFonts w:ascii="宋体" w:hAnsi="宋体" w:eastAsia="宋体" w:cs="宋体"/>
                <w:b w:val="0"/>
                <w:sz w:val="20"/>
              </w:rPr>
              <w:br w:type="textWrapping"/>
            </w:r>
            <w:r>
              <w:rPr>
                <w:rFonts w:ascii="宋体" w:hAnsi="宋体" w:eastAsia="宋体" w:cs="宋体"/>
                <w:b/>
                <w:sz w:val="20"/>
              </w:rPr>
              <w:t xml:space="preserve">   </w:t>
            </w:r>
          </w:p>
          <w:p w14:paraId="6C58A66F">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 xml:space="preserve"> 11.董秘您好！上半年综合毛利率同比略有下降，请问下半年是否有改善预期？</w:t>
            </w:r>
            <w:r>
              <w:rPr>
                <w:rFonts w:ascii="宋体" w:hAnsi="宋体" w:eastAsia="宋体" w:cs="宋体"/>
                <w:b/>
                <w:sz w:val="20"/>
              </w:rPr>
              <w:br w:type="textWrapping"/>
            </w:r>
            <w:r>
              <w:rPr>
                <w:rFonts w:ascii="宋体" w:hAnsi="宋体" w:eastAsia="宋体" w:cs="宋体"/>
                <w:b w:val="0"/>
                <w:sz w:val="20"/>
              </w:rPr>
              <w:t xml:space="preserve">    答:尊敬的投资者，您好！
公司上半年毛利率同比小幅下降，主要受风电行业原材料价格波动、汽车零部件部分产品价格承压等因素影响。对此公司已开展多项改进措施：一是加快关键工序自动化改造，提升人均产出效能；二是深化与核心供应商战略合作，推进原材料规模化采购降本；三是推广碳玻混编、拉挤成型等先进工艺，优化叶片结构设计，降低原材料及制造成本；四是加快高毛利的新材料产品批量交付，优化产品结构。预计下半年毛利率有望企稳回升。
感谢您的关注！</w:t>
            </w:r>
            <w:r>
              <w:rPr>
                <w:rFonts w:ascii="宋体" w:hAnsi="宋体" w:eastAsia="宋体" w:cs="宋体"/>
                <w:b w:val="0"/>
                <w:sz w:val="20"/>
              </w:rPr>
              <w:br w:type="textWrapping"/>
            </w:r>
            <w:r>
              <w:rPr>
                <w:rFonts w:ascii="宋体" w:hAnsi="宋体" w:eastAsia="宋体" w:cs="宋体"/>
                <w:b/>
                <w:sz w:val="20"/>
              </w:rPr>
              <w:t xml:space="preserve">    </w:t>
            </w:r>
          </w:p>
          <w:p w14:paraId="000DC62F">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b/>
                <w:sz w:val="20"/>
              </w:rPr>
            </w:pPr>
            <w:r>
              <w:rPr>
                <w:rFonts w:ascii="宋体" w:hAnsi="宋体" w:eastAsia="宋体" w:cs="宋体"/>
                <w:b/>
                <w:sz w:val="20"/>
              </w:rPr>
              <w:t>12.据传芳纶纸可以运用于覆铜板，贵司是否有向该类方向调研</w:t>
            </w:r>
            <w:r>
              <w:rPr>
                <w:rFonts w:ascii="宋体" w:hAnsi="宋体" w:eastAsia="宋体" w:cs="宋体"/>
                <w:b/>
                <w:sz w:val="20"/>
              </w:rPr>
              <w:br w:type="textWrapping"/>
            </w:r>
            <w:r>
              <w:rPr>
                <w:rFonts w:ascii="宋体" w:hAnsi="宋体" w:eastAsia="宋体" w:cs="宋体"/>
                <w:b w:val="0"/>
                <w:sz w:val="20"/>
              </w:rPr>
              <w:t xml:space="preserve">    答:尊敬的投资者，您好！
公司已开展过相关产品应用的调研，后续将根据行业技术的变化而采取对策。
感谢您的关注！</w:t>
            </w:r>
            <w:r>
              <w:rPr>
                <w:rFonts w:ascii="宋体" w:hAnsi="宋体" w:eastAsia="宋体" w:cs="宋体"/>
                <w:b w:val="0"/>
                <w:sz w:val="20"/>
              </w:rPr>
              <w:br w:type="textWrapping"/>
            </w:r>
            <w:r>
              <w:rPr>
                <w:rFonts w:ascii="宋体" w:hAnsi="宋体" w:eastAsia="宋体" w:cs="宋体"/>
                <w:b/>
                <w:sz w:val="20"/>
              </w:rPr>
              <w:t xml:space="preserve">    </w:t>
            </w:r>
          </w:p>
          <w:p w14:paraId="04B0A1D8">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ind w:firstLine="402" w:firstLineChars="200"/>
              <w:textAlignment w:val="auto"/>
              <w:rPr>
                <w:rFonts w:ascii="宋体" w:hAnsi="宋体" w:eastAsia="宋体" w:cs="宋体"/>
                <w:sz w:val="20"/>
                <w:szCs w:val="20"/>
              </w:rPr>
            </w:pPr>
            <w:r>
              <w:rPr>
                <w:rFonts w:ascii="宋体" w:hAnsi="宋体" w:eastAsia="宋体" w:cs="宋体"/>
                <w:b/>
                <w:sz w:val="20"/>
              </w:rPr>
              <w:t>13.半年报后多家机构对今年利润评估较为保守。从提质增效重回报行动方案评估报告看，今年上半年相比去年投资者信息交流频率有所下降，下半年是否会开展路演等深化市场认知</w:t>
            </w:r>
            <w:bookmarkStart w:id="0" w:name="_GoBack"/>
            <w:bookmarkEnd w:id="0"/>
            <w:r>
              <w:rPr>
                <w:rFonts w:ascii="宋体" w:hAnsi="宋体" w:eastAsia="宋体" w:cs="宋体"/>
                <w:b/>
                <w:sz w:val="20"/>
              </w:rPr>
              <w:br w:type="textWrapping"/>
            </w:r>
            <w:r>
              <w:rPr>
                <w:rFonts w:ascii="宋体" w:hAnsi="宋体" w:eastAsia="宋体" w:cs="宋体"/>
                <w:b w:val="0"/>
                <w:sz w:val="20"/>
              </w:rPr>
              <w:t xml:space="preserve">    答:尊敬的投资者，您好！
公司高度重视投资者的互动交流，去年上半年考虑到再融资项目的落地，因此再融资专项路演的频次较高。今年下半年公司将就新材料业务的发展以及其他核心业务的变化，充分及时地与资本市场进行沟通交流。
感谢您的关注！</w:t>
            </w:r>
          </w:p>
        </w:tc>
      </w:tr>
      <w:tr w14:paraId="7EC91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99" w:hRule="atLeast"/>
          <w:jc w:val="center"/>
        </w:trPr>
        <w:tc>
          <w:tcPr>
            <w:tcW w:w="2105" w:type="dxa"/>
            <w:vAlign w:val="center"/>
          </w:tcPr>
          <w:p w14:paraId="4D27553E">
            <w:pPr>
              <w:pStyle w:val="12"/>
              <w:spacing w:before="1"/>
              <w:ind w:left="107"/>
              <w:rPr>
                <w:rFonts w:hint="eastAsia"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关于本次活动是否涉及应</w:t>
            </w:r>
          </w:p>
          <w:p w14:paraId="2DA79767">
            <w:pPr>
              <w:pStyle w:val="12"/>
              <w:spacing w:before="1"/>
              <w:ind w:left="107"/>
              <w:rPr>
                <w:rFonts w:ascii="宋体" w:hAnsi="宋体" w:eastAsia="宋体" w:cs="宋体"/>
                <w:b/>
                <w:bCs/>
                <w:sz w:val="20"/>
                <w:szCs w:val="20"/>
              </w:rPr>
            </w:pPr>
            <w:r>
              <w:rPr>
                <w:rFonts w:hint="eastAsia" w:cs="宋体" w:asciiTheme="minorEastAsia" w:hAnsiTheme="minorEastAsia" w:eastAsiaTheme="minorEastAsia"/>
                <w:b/>
                <w:bCs/>
                <w:sz w:val="20"/>
                <w:szCs w:val="20"/>
              </w:rPr>
              <w:t>披露重大信息的说明</w:t>
            </w:r>
          </w:p>
        </w:tc>
        <w:tc>
          <w:tcPr>
            <w:tcW w:w="6420" w:type="dxa"/>
            <w:vAlign w:val="center"/>
          </w:tcPr>
          <w:p w14:paraId="026504DF">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ascii="宋体" w:hAnsi="宋体" w:eastAsia="宋体" w:cs="宋体"/>
                <w:sz w:val="20"/>
                <w:szCs w:val="20"/>
              </w:rPr>
            </w:pPr>
            <w:r>
              <w:rPr>
                <w:rFonts w:hint="eastAsia" w:cs="宋体" w:asciiTheme="minorEastAsia" w:hAnsiTheme="minorEastAsia" w:eastAsiaTheme="minorEastAsia"/>
                <w:sz w:val="20"/>
                <w:szCs w:val="20"/>
              </w:rPr>
              <w:t>本次活动不涉及未公开披露的重大信息。</w:t>
            </w:r>
          </w:p>
        </w:tc>
      </w:tr>
      <w:tr w14:paraId="52A25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105" w:type="dxa"/>
            <w:vAlign w:val="center"/>
          </w:tcPr>
          <w:p w14:paraId="4A47A27B">
            <w:pPr>
              <w:pStyle w:val="12"/>
              <w:spacing w:before="1"/>
              <w:ind w:left="107" w:leftChars="0"/>
              <w:rPr>
                <w:rFonts w:ascii="宋体" w:hAnsi="宋体" w:eastAsia="宋体" w:cs="宋体"/>
                <w:b/>
                <w:bCs/>
                <w:sz w:val="20"/>
                <w:szCs w:val="20"/>
                <w:lang w:val="zh-CN" w:eastAsia="zh-CN" w:bidi="zh-CN"/>
              </w:rPr>
            </w:pPr>
            <w:r>
              <w:rPr>
                <w:rFonts w:hint="eastAsia" w:ascii="宋体" w:hAnsi="宋体" w:eastAsia="宋体" w:cs="宋体"/>
                <w:b/>
                <w:bCs/>
                <w:sz w:val="20"/>
                <w:szCs w:val="20"/>
              </w:rPr>
              <w:t>附件清单（如有）</w:t>
            </w:r>
          </w:p>
        </w:tc>
        <w:tc>
          <w:tcPr>
            <w:tcW w:w="6420" w:type="dxa"/>
            <w:vAlign w:val="center"/>
          </w:tcPr>
          <w:p w14:paraId="16D190E1">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ascii="宋体" w:hAnsi="宋体" w:eastAsia="宋体" w:cs="宋体"/>
                <w:sz w:val="20"/>
                <w:szCs w:val="20"/>
                <w:lang w:val="zh-CN" w:eastAsia="zh-CN" w:bidi="zh-CN"/>
              </w:rPr>
            </w:pPr>
          </w:p>
        </w:tc>
      </w:tr>
      <w:tr w14:paraId="4207E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105" w:type="dxa"/>
            <w:vAlign w:val="center"/>
          </w:tcPr>
          <w:p w14:paraId="1B56FF21">
            <w:pPr>
              <w:pStyle w:val="12"/>
              <w:spacing w:before="1"/>
              <w:ind w:left="107" w:leftChars="0"/>
              <w:rPr>
                <w:rFonts w:hint="eastAsia" w:ascii="宋体" w:hAnsi="宋体" w:eastAsia="宋体" w:cs="宋体"/>
                <w:b/>
                <w:bCs/>
                <w:sz w:val="20"/>
                <w:szCs w:val="20"/>
                <w:lang w:val="zh-CN" w:eastAsia="zh-CN" w:bidi="zh-CN"/>
              </w:rPr>
            </w:pPr>
            <w:r>
              <w:rPr>
                <w:rFonts w:hint="eastAsia" w:ascii="宋体" w:hAnsi="宋体" w:eastAsia="宋体" w:cs="宋体"/>
                <w:b/>
                <w:bCs/>
                <w:sz w:val="20"/>
                <w:szCs w:val="20"/>
              </w:rPr>
              <w:t>日期</w:t>
            </w:r>
          </w:p>
        </w:tc>
        <w:tc>
          <w:tcPr>
            <w:tcW w:w="6420" w:type="dxa"/>
            <w:vAlign w:val="center"/>
          </w:tcPr>
          <w:p w14:paraId="4EB4667F">
            <w:pPr>
              <w:pStyle w:val="12"/>
              <w:keepNext w:val="0"/>
              <w:keepLines w:val="0"/>
              <w:pageBreakBefore w:val="0"/>
              <w:widowControl w:val="0"/>
              <w:kinsoku/>
              <w:wordWrap/>
              <w:overflowPunct/>
              <w:topLinePunct w:val="0"/>
              <w:autoSpaceDE w:val="0"/>
              <w:autoSpaceDN w:val="0"/>
              <w:bidi w:val="0"/>
              <w:adjustRightInd/>
              <w:snapToGrid/>
              <w:spacing w:before="100" w:beforeAutospacing="1"/>
              <w:textAlignment w:val="auto"/>
              <w:rPr>
                <w:rFonts w:ascii="宋体" w:hAnsi="宋体" w:eastAsia="宋体" w:cs="宋体"/>
                <w:sz w:val="20"/>
                <w:szCs w:val="20"/>
                <w:lang w:val="zh-CN" w:eastAsia="zh-CN" w:bidi="zh-CN"/>
              </w:rPr>
            </w:pPr>
            <w:r>
              <w:rPr>
                <w:rFonts w:ascii="宋体" w:hAnsi="宋体" w:eastAsia="宋体" w:cs="宋体"/>
                <w:sz w:val="20"/>
                <w:szCs w:val="20"/>
              </w:rPr>
              <w:t>2026年08月28日</w:t>
            </w:r>
          </w:p>
        </w:tc>
      </w:tr>
    </w:tbl>
    <w:p w14:paraId="21307ED2">
      <w:pPr>
        <w:rPr>
          <w:rFonts w:ascii="宋体" w:hAnsi="宋体" w:eastAsia="宋体" w:cs="宋体"/>
          <w:sz w:val="28"/>
          <w:szCs w:val="36"/>
        </w:rPr>
      </w:pPr>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S Gothic">
    <w:panose1 w:val="020B0609070205080204"/>
    <w:charset w:val="80"/>
    <w:family w:val="modern"/>
    <w:pitch w:val="default"/>
    <w:sig w:usb0="E00002FF" w:usb1="6AC7FDFB" w:usb2="08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Wingdings 2">
    <w:altName w:val="Wingdings"/>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301D32"/>
    <w:rsid w:val="00026CC3"/>
    <w:rsid w:val="00036089"/>
    <w:rsid w:val="00053CFA"/>
    <w:rsid w:val="000633EC"/>
    <w:rsid w:val="00063804"/>
    <w:rsid w:val="000665A2"/>
    <w:rsid w:val="000877AB"/>
    <w:rsid w:val="000B7C08"/>
    <w:rsid w:val="000D12CF"/>
    <w:rsid w:val="000D2D88"/>
    <w:rsid w:val="000E4B20"/>
    <w:rsid w:val="0011418F"/>
    <w:rsid w:val="00172C24"/>
    <w:rsid w:val="001E59D1"/>
    <w:rsid w:val="001E5EA4"/>
    <w:rsid w:val="002042A7"/>
    <w:rsid w:val="00205911"/>
    <w:rsid w:val="002146AD"/>
    <w:rsid w:val="00275CB6"/>
    <w:rsid w:val="002800B5"/>
    <w:rsid w:val="00295B29"/>
    <w:rsid w:val="002D4073"/>
    <w:rsid w:val="002E7098"/>
    <w:rsid w:val="00301D32"/>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F6FF3"/>
    <w:rsid w:val="00571B49"/>
    <w:rsid w:val="005743AE"/>
    <w:rsid w:val="005D64CA"/>
    <w:rsid w:val="005E5717"/>
    <w:rsid w:val="005E6DB2"/>
    <w:rsid w:val="0061433E"/>
    <w:rsid w:val="0062751D"/>
    <w:rsid w:val="006354AA"/>
    <w:rsid w:val="00661AFA"/>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A527AA"/>
    <w:rsid w:val="00A5684D"/>
    <w:rsid w:val="00A75C61"/>
    <w:rsid w:val="00A9601B"/>
    <w:rsid w:val="00AD100E"/>
    <w:rsid w:val="00AE1E36"/>
    <w:rsid w:val="00AF74AA"/>
    <w:rsid w:val="00B03C2F"/>
    <w:rsid w:val="00B15064"/>
    <w:rsid w:val="00B340A3"/>
    <w:rsid w:val="00B410F5"/>
    <w:rsid w:val="00B6280C"/>
    <w:rsid w:val="00B671A4"/>
    <w:rsid w:val="00B72CD4"/>
    <w:rsid w:val="00B85B00"/>
    <w:rsid w:val="00BF132F"/>
    <w:rsid w:val="00C13878"/>
    <w:rsid w:val="00CA1705"/>
    <w:rsid w:val="00CE1A54"/>
    <w:rsid w:val="00CF5FB6"/>
    <w:rsid w:val="00D02518"/>
    <w:rsid w:val="00D17454"/>
    <w:rsid w:val="00D33FBC"/>
    <w:rsid w:val="00D7535C"/>
    <w:rsid w:val="00D76302"/>
    <w:rsid w:val="00DA5CE2"/>
    <w:rsid w:val="00DE10E8"/>
    <w:rsid w:val="00E16FDA"/>
    <w:rsid w:val="00E35F58"/>
    <w:rsid w:val="00E45BD9"/>
    <w:rsid w:val="00E66FFC"/>
    <w:rsid w:val="00E759D6"/>
    <w:rsid w:val="00E84A8C"/>
    <w:rsid w:val="00E976DE"/>
    <w:rsid w:val="00EC0F83"/>
    <w:rsid w:val="00EE3187"/>
    <w:rsid w:val="00EF499B"/>
    <w:rsid w:val="00F14977"/>
    <w:rsid w:val="00FB4A08"/>
    <w:rsid w:val="00FC0C2A"/>
    <w:rsid w:val="00FD7F8E"/>
    <w:rsid w:val="00FF11E4"/>
    <w:rsid w:val="04B072D4"/>
    <w:rsid w:val="05F575D4"/>
    <w:rsid w:val="064249C6"/>
    <w:rsid w:val="08641132"/>
    <w:rsid w:val="09186774"/>
    <w:rsid w:val="0945438F"/>
    <w:rsid w:val="0A71587A"/>
    <w:rsid w:val="0B792C38"/>
    <w:rsid w:val="0C28640C"/>
    <w:rsid w:val="0E90599A"/>
    <w:rsid w:val="0ED720CD"/>
    <w:rsid w:val="12070CAE"/>
    <w:rsid w:val="13292B05"/>
    <w:rsid w:val="145F688C"/>
    <w:rsid w:val="14D47131"/>
    <w:rsid w:val="15680001"/>
    <w:rsid w:val="15DD2205"/>
    <w:rsid w:val="17072842"/>
    <w:rsid w:val="17A67110"/>
    <w:rsid w:val="1864189B"/>
    <w:rsid w:val="18D73A7D"/>
    <w:rsid w:val="19557370"/>
    <w:rsid w:val="1BD06B6A"/>
    <w:rsid w:val="1F782BDE"/>
    <w:rsid w:val="204A6A53"/>
    <w:rsid w:val="23317869"/>
    <w:rsid w:val="25650CAE"/>
    <w:rsid w:val="26406598"/>
    <w:rsid w:val="28080056"/>
    <w:rsid w:val="28734C1A"/>
    <w:rsid w:val="28C72DDD"/>
    <w:rsid w:val="29EE0E64"/>
    <w:rsid w:val="2BC4020A"/>
    <w:rsid w:val="2EF90F16"/>
    <w:rsid w:val="2F125C63"/>
    <w:rsid w:val="302C3D0A"/>
    <w:rsid w:val="3104598F"/>
    <w:rsid w:val="33DE31BB"/>
    <w:rsid w:val="389C49C0"/>
    <w:rsid w:val="39BC78F4"/>
    <w:rsid w:val="3B35486F"/>
    <w:rsid w:val="3EF1250A"/>
    <w:rsid w:val="40567DB0"/>
    <w:rsid w:val="40FF5CD2"/>
    <w:rsid w:val="42DB40B0"/>
    <w:rsid w:val="43B71B0A"/>
    <w:rsid w:val="44FA0589"/>
    <w:rsid w:val="45A663E3"/>
    <w:rsid w:val="469F09AF"/>
    <w:rsid w:val="4B756271"/>
    <w:rsid w:val="4C8E1CA8"/>
    <w:rsid w:val="4CF21361"/>
    <w:rsid w:val="4D6D36A4"/>
    <w:rsid w:val="510903EF"/>
    <w:rsid w:val="53F137F4"/>
    <w:rsid w:val="543A6906"/>
    <w:rsid w:val="56850CBB"/>
    <w:rsid w:val="59D8738A"/>
    <w:rsid w:val="5A666D76"/>
    <w:rsid w:val="5B2253C2"/>
    <w:rsid w:val="5CF02E0F"/>
    <w:rsid w:val="603269D2"/>
    <w:rsid w:val="61A52BCA"/>
    <w:rsid w:val="67095496"/>
    <w:rsid w:val="67ED7463"/>
    <w:rsid w:val="681A546A"/>
    <w:rsid w:val="68507D37"/>
    <w:rsid w:val="69CB37D4"/>
    <w:rsid w:val="6A0D5B9B"/>
    <w:rsid w:val="6A3B23B1"/>
    <w:rsid w:val="6AEA32DC"/>
    <w:rsid w:val="6CC24AB5"/>
    <w:rsid w:val="6D9271B2"/>
    <w:rsid w:val="6F134790"/>
    <w:rsid w:val="6FE81F5F"/>
    <w:rsid w:val="72446028"/>
    <w:rsid w:val="73076EC0"/>
    <w:rsid w:val="74210CA6"/>
    <w:rsid w:val="746F4E76"/>
    <w:rsid w:val="76430096"/>
    <w:rsid w:val="788C25F5"/>
    <w:rsid w:val="79F72AA9"/>
    <w:rsid w:val="7A144529"/>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qFormat/>
    <w:uiPriority w:val="0"/>
  </w:style>
  <w:style w:type="paragraph" w:styleId="4">
    <w:name w:val="Body Text"/>
    <w:basedOn w:val="1"/>
    <w:qFormat/>
    <w:uiPriority w:val="1"/>
    <w:pPr>
      <w:ind w:left="220"/>
    </w:pPr>
    <w:rPr>
      <w:sz w:val="32"/>
      <w:szCs w:val="32"/>
    </w:rPr>
  </w:style>
  <w:style w:type="paragraph" w:styleId="5">
    <w:name w:val="Balloon Text"/>
    <w:basedOn w:val="1"/>
    <w:link w:val="17"/>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qFormat/>
    <w:uiPriority w:val="0"/>
    <w:rPr>
      <w:b/>
      <w:bCs/>
    </w:rPr>
  </w:style>
  <w:style w:type="character" w:styleId="11">
    <w:name w:val="annotation reference"/>
    <w:basedOn w:val="10"/>
    <w:qFormat/>
    <w:uiPriority w:val="0"/>
    <w:rPr>
      <w:sz w:val="21"/>
      <w:szCs w:val="21"/>
    </w:rPr>
  </w:style>
  <w:style w:type="paragraph" w:customStyle="1" w:styleId="12">
    <w:name w:val="Table Paragraph"/>
    <w:basedOn w:val="1"/>
    <w:qFormat/>
    <w:uiPriority w:val="1"/>
  </w:style>
  <w:style w:type="character" w:customStyle="1" w:styleId="13">
    <w:name w:val="页眉 字符"/>
    <w:basedOn w:val="10"/>
    <w:link w:val="7"/>
    <w:qFormat/>
    <w:uiPriority w:val="0"/>
    <w:rPr>
      <w:rFonts w:ascii="仿宋" w:hAnsi="仿宋" w:eastAsia="仿宋" w:cs="仿宋"/>
      <w:sz w:val="18"/>
      <w:szCs w:val="18"/>
      <w:lang w:val="zh-CN" w:bidi="zh-CN"/>
    </w:rPr>
  </w:style>
  <w:style w:type="character" w:customStyle="1" w:styleId="14">
    <w:name w:val="页脚 字符"/>
    <w:basedOn w:val="10"/>
    <w:link w:val="6"/>
    <w:qFormat/>
    <w:uiPriority w:val="0"/>
    <w:rPr>
      <w:rFonts w:ascii="仿宋" w:hAnsi="仿宋" w:eastAsia="仿宋" w:cs="仿宋"/>
      <w:sz w:val="18"/>
      <w:szCs w:val="18"/>
      <w:lang w:val="zh-CN" w:bidi="zh-CN"/>
    </w:rPr>
  </w:style>
  <w:style w:type="character" w:customStyle="1" w:styleId="15">
    <w:name w:val="批注文字 字符"/>
    <w:basedOn w:val="10"/>
    <w:link w:val="3"/>
    <w:qFormat/>
    <w:uiPriority w:val="0"/>
    <w:rPr>
      <w:rFonts w:ascii="仿宋" w:hAnsi="仿宋" w:eastAsia="仿宋" w:cs="仿宋"/>
      <w:sz w:val="22"/>
      <w:szCs w:val="22"/>
      <w:lang w:val="zh-CN" w:bidi="zh-CN"/>
    </w:rPr>
  </w:style>
  <w:style w:type="character" w:customStyle="1" w:styleId="16">
    <w:name w:val="批注主题 字符"/>
    <w:basedOn w:val="15"/>
    <w:link w:val="8"/>
    <w:qFormat/>
    <w:uiPriority w:val="0"/>
    <w:rPr>
      <w:rFonts w:ascii="仿宋" w:hAnsi="仿宋" w:eastAsia="仿宋" w:cs="仿宋"/>
      <w:b/>
      <w:bCs/>
      <w:sz w:val="22"/>
      <w:szCs w:val="22"/>
      <w:lang w:val="zh-CN" w:bidi="zh-CN"/>
    </w:rPr>
  </w:style>
  <w:style w:type="character" w:customStyle="1" w:styleId="17">
    <w:name w:val="批注框文本 字符"/>
    <w:basedOn w:val="10"/>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6454-D52C-4974-A468-5D02FFFCA6D4}">
  <ds:schemaRefs/>
</ds:datastoreItem>
</file>

<file path=docProps/app.xml><?xml version="1.0" encoding="utf-8"?>
<Properties xmlns="http://schemas.openxmlformats.org/officeDocument/2006/extended-properties" xmlns:vt="http://schemas.openxmlformats.org/officeDocument/2006/docPropsVTypes">
  <Template>Normal.dotm</Template>
  <Pages>5</Pages>
  <Words>3502</Words>
  <Characters>3694</Characters>
  <Lines>2</Lines>
  <Paragraphs>1</Paragraphs>
  <TotalTime>3</TotalTime>
  <ScaleCrop>false</ScaleCrop>
  <LinksUpToDate>false</LinksUpToDate>
  <CharactersWithSpaces>3861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2022-04-12T06:10:00Z</dcterms:created>
  <dc:creator>jie.huang</dc:creator>
  <cp:lastModifiedBy>郭佳勋1号</cp:lastModifiedBy>
  <dcterms:modified xsi:type="dcterms:W3CDTF">2026-08-28T08:25:20Z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57D148DF2F764966BF4E1C38A6255FA2</vt:lpwstr>
  </property>
  <property fmtid="{D5CDD505-2E9C-101B-9397-08002B2CF9AE}" pid="4" name="KSOTemplateDocerSaveRecord">
    <vt:lpwstr>eyJoZGlkIjoiYTVmZTIwZmI4NzQ4ODlmYzRlZjg2MTMzNTA3ZmFkYWMiLCJ1c2VySWQiOiI0Mzg5NDY4NTEifQ==</vt:lpwstr>
  </property>
</Properties>
</file>