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2E8DD">
      <w:pPr>
        <w:kinsoku/>
        <w:autoSpaceDE/>
        <w:autoSpaceDN/>
        <w:spacing w:before="156" w:beforeLines="50" w:after="156" w:afterLines="50" w:line="360" w:lineRule="auto"/>
        <w:rPr>
          <w:rFonts w:hint="eastAsia" w:ascii="Times New Roman" w:hAnsi="Times New Roman" w:eastAsia="宋体" w:cs="Times New Roman"/>
          <w:sz w:val="24"/>
          <w:szCs w:val="24"/>
          <w:lang w:val="en-US" w:eastAsia="zh-CN"/>
        </w:rPr>
      </w:pPr>
      <w:r>
        <w:rPr>
          <w:rFonts w:ascii="Times New Roman" w:hAnsi="Times New Roman" w:eastAsia="宋体" w:cs="Times New Roman"/>
          <w:sz w:val="24"/>
          <w:szCs w:val="24"/>
        </w:rPr>
        <w:t>证券代码：603661</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rPr>
        <w:t>证券简称：恒林股份</w:t>
      </w:r>
      <w:r>
        <w:rPr>
          <w:rFonts w:hint="eastAsia" w:ascii="Times New Roman" w:hAnsi="Times New Roman" w:eastAsia="宋体" w:cs="Times New Roman"/>
          <w:sz w:val="24"/>
          <w:szCs w:val="24"/>
          <w:lang w:val="en-US" w:eastAsia="zh-CN"/>
        </w:rPr>
        <w:t xml:space="preserve"> </w:t>
      </w:r>
    </w:p>
    <w:p w14:paraId="4BCC4A50">
      <w:pPr>
        <w:kinsoku/>
        <w:autoSpaceDE/>
        <w:autoSpaceDN/>
        <w:spacing w:line="360" w:lineRule="auto"/>
        <w:jc w:val="center"/>
        <w:rPr>
          <w:rFonts w:ascii="Times New Roman" w:hAnsi="Times New Roman" w:eastAsia="宋体" w:cs="Times New Roman"/>
          <w:b/>
          <w:bCs/>
          <w:spacing w:val="12"/>
          <w:sz w:val="30"/>
          <w:szCs w:val="30"/>
        </w:rPr>
      </w:pPr>
      <w:r>
        <w:rPr>
          <w:rFonts w:ascii="Times New Roman" w:hAnsi="Times New Roman" w:eastAsia="宋体" w:cs="Times New Roman"/>
          <w:b/>
          <w:bCs/>
          <w:spacing w:val="12"/>
          <w:sz w:val="30"/>
          <w:szCs w:val="30"/>
        </w:rPr>
        <w:t>恒林家居股份有限公司</w:t>
      </w:r>
    </w:p>
    <w:p w14:paraId="774BCBC8">
      <w:pPr>
        <w:kinsoku/>
        <w:autoSpaceDE/>
        <w:autoSpaceDN/>
        <w:spacing w:line="360" w:lineRule="auto"/>
        <w:jc w:val="center"/>
        <w:rPr>
          <w:rFonts w:hint="eastAsia" w:asciiTheme="minorEastAsia" w:hAnsiTheme="minorEastAsia" w:eastAsiaTheme="minorEastAsia" w:cstheme="minorEastAsia"/>
          <w:b/>
          <w:bCs/>
          <w:spacing w:val="12"/>
          <w:sz w:val="30"/>
          <w:szCs w:val="30"/>
        </w:rPr>
      </w:pPr>
      <w:r>
        <w:rPr>
          <w:rFonts w:hint="eastAsia" w:asciiTheme="minorEastAsia" w:hAnsiTheme="minorEastAsia" w:eastAsiaTheme="minorEastAsia" w:cstheme="minorEastAsia"/>
          <w:b/>
          <w:bCs/>
          <w:spacing w:val="12"/>
          <w:sz w:val="30"/>
          <w:szCs w:val="30"/>
          <w:lang w:val="en-US" w:eastAsia="zh-CN"/>
        </w:rPr>
        <w:t>2026年8月</w:t>
      </w:r>
      <w:r>
        <w:rPr>
          <w:rFonts w:hint="eastAsia" w:asciiTheme="minorEastAsia" w:hAnsiTheme="minorEastAsia" w:eastAsiaTheme="minorEastAsia" w:cstheme="minorEastAsia"/>
          <w:b/>
          <w:bCs/>
          <w:spacing w:val="12"/>
          <w:sz w:val="30"/>
          <w:szCs w:val="30"/>
        </w:rPr>
        <w:t>投资者关系活动记录表</w:t>
      </w:r>
    </w:p>
    <w:tbl>
      <w:tblPr>
        <w:tblStyle w:val="8"/>
        <w:tblW w:w="501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758"/>
        <w:gridCol w:w="2773"/>
        <w:gridCol w:w="4016"/>
      </w:tblGrid>
      <w:tr w14:paraId="716D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0" w:hRule="atLeast"/>
        </w:trPr>
        <w:tc>
          <w:tcPr>
            <w:tcW w:w="1028" w:type="pct"/>
            <w:tcBorders>
              <w:tl2br w:val="nil"/>
              <w:tr2bl w:val="nil"/>
            </w:tcBorders>
            <w:vAlign w:val="center"/>
          </w:tcPr>
          <w:p w14:paraId="31D5A700">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投资者关系</w:t>
            </w:r>
          </w:p>
          <w:p w14:paraId="6C7481D7">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活动类别</w:t>
            </w:r>
          </w:p>
        </w:tc>
        <w:tc>
          <w:tcPr>
            <w:tcW w:w="1622" w:type="pct"/>
            <w:tcBorders>
              <w:right w:val="nil"/>
            </w:tcBorders>
          </w:tcPr>
          <w:p w14:paraId="4CA602F3">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特定对象调研</w:t>
            </w:r>
          </w:p>
          <w:p w14:paraId="17CC0935">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媒体采访</w:t>
            </w:r>
          </w:p>
          <w:p w14:paraId="098A036F">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新闻发布会</w:t>
            </w:r>
          </w:p>
          <w:p w14:paraId="0EB27040">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ascii="Times New Roman" w:hAnsi="Times New Roman" w:eastAsia="宋体" w:cs="Times New Roman"/>
                <w:spacing w:val="8"/>
              </w:rPr>
              <w:t>现场参观</w:t>
            </w:r>
          </w:p>
          <w:p w14:paraId="29184D23">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Times New Roman" w:hAnsi="Times New Roman" w:eastAsia="宋体" w:cs="Times New Roman"/>
                <w:spacing w:val="8"/>
                <w:lang w:val="en-US" w:eastAsia="zh-CN"/>
              </w:rPr>
            </w:pPr>
            <w:r>
              <w:rPr>
                <w:rFonts w:hint="eastAsia" w:ascii="Times New Roman" w:hAnsi="Times New Roman" w:eastAsia="宋体" w:cs="Times New Roman"/>
                <w:spacing w:val="8"/>
              </w:rPr>
              <w:t>□</w:t>
            </w:r>
            <w:r>
              <w:rPr>
                <w:rFonts w:hint="eastAsia" w:ascii="Times New Roman" w:hAnsi="Times New Roman" w:eastAsia="宋体" w:cs="Times New Roman"/>
                <w:spacing w:val="8"/>
                <w:lang w:val="en-US" w:eastAsia="zh-CN"/>
              </w:rPr>
              <w:t>网络会议</w:t>
            </w:r>
          </w:p>
        </w:tc>
        <w:tc>
          <w:tcPr>
            <w:tcW w:w="2349" w:type="pct"/>
            <w:tcBorders>
              <w:left w:val="nil"/>
            </w:tcBorders>
          </w:tcPr>
          <w:p w14:paraId="6E890031">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hint="eastAsia" w:ascii="Times New Roman" w:hAnsi="Times New Roman" w:eastAsia="宋体" w:cs="Times New Roman"/>
                <w:spacing w:val="8"/>
              </w:rPr>
              <w:t>分</w:t>
            </w:r>
            <w:r>
              <w:rPr>
                <w:rFonts w:ascii="Times New Roman" w:hAnsi="Times New Roman" w:eastAsia="宋体" w:cs="Times New Roman"/>
                <w:spacing w:val="8"/>
              </w:rPr>
              <w:t>析师会议</w:t>
            </w:r>
          </w:p>
          <w:p w14:paraId="18D959CE">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ascii="Times New Roman" w:hAnsi="Times New Roman" w:eastAsia="宋体" w:cs="Times New Roman"/>
                <w:spacing w:val="8"/>
              </w:rPr>
              <w:t>业绩说明会</w:t>
            </w:r>
          </w:p>
          <w:p w14:paraId="6556ED01">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路演活动</w:t>
            </w:r>
          </w:p>
          <w:p w14:paraId="52CF2FE8">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Times New Roman" w:hAnsi="Times New Roman" w:eastAsia="宋体" w:cs="Times New Roman"/>
                <w:spacing w:val="8"/>
                <w:lang w:val="en-US" w:eastAsia="zh-CN"/>
              </w:rPr>
            </w:pPr>
            <w:r>
              <w:rPr>
                <w:rFonts w:hint="eastAsia" w:ascii="Times New Roman" w:hAnsi="Times New Roman" w:eastAsia="宋体" w:cs="Times New Roman"/>
                <w:spacing w:val="8"/>
                <w:lang w:eastAsia="zh-CN"/>
              </w:rPr>
              <w:t>☑</w:t>
            </w:r>
            <w:r>
              <w:rPr>
                <w:rFonts w:hint="eastAsia" w:ascii="Times New Roman" w:hAnsi="Times New Roman" w:eastAsia="宋体" w:cs="Times New Roman"/>
                <w:spacing w:val="8"/>
                <w:lang w:val="en-US" w:eastAsia="zh-CN"/>
              </w:rPr>
              <w:t>电话会议</w:t>
            </w:r>
          </w:p>
          <w:p w14:paraId="5F0F6C10">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Times New Roman" w:hAnsi="Times New Roman" w:eastAsia="宋体" w:cs="Times New Roman"/>
                <w:spacing w:val="8"/>
                <w:lang w:eastAsia="zh-CN"/>
              </w:rPr>
            </w:pPr>
            <w:r>
              <w:rPr>
                <w:rFonts w:hint="eastAsia" w:ascii="Times New Roman" w:hAnsi="Times New Roman" w:eastAsia="宋体" w:cs="Times New Roman"/>
                <w:spacing w:val="8"/>
              </w:rPr>
              <w:t>□</w:t>
            </w:r>
            <w:r>
              <w:rPr>
                <w:rFonts w:hint="eastAsia" w:ascii="Times New Roman" w:hAnsi="Times New Roman" w:eastAsia="宋体" w:cs="Times New Roman"/>
                <w:spacing w:val="8"/>
                <w:lang w:val="en-US" w:eastAsia="zh-CN"/>
              </w:rPr>
              <w:t>其他</w:t>
            </w:r>
          </w:p>
        </w:tc>
      </w:tr>
      <w:tr w14:paraId="076AB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trPr>
        <w:tc>
          <w:tcPr>
            <w:tcW w:w="1028" w:type="pct"/>
            <w:tcBorders>
              <w:tl2br w:val="nil"/>
              <w:tr2bl w:val="nil"/>
            </w:tcBorders>
            <w:vAlign w:val="center"/>
          </w:tcPr>
          <w:p w14:paraId="172E0F93">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参与单位名称</w:t>
            </w:r>
          </w:p>
        </w:tc>
        <w:tc>
          <w:tcPr>
            <w:tcW w:w="3971" w:type="pct"/>
            <w:gridSpan w:val="2"/>
            <w:tcBorders>
              <w:tl2br w:val="nil"/>
              <w:tr2bl w:val="nil"/>
            </w:tcBorders>
          </w:tcPr>
          <w:p w14:paraId="3C555B46">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宋体" w:hAnsi="宋体" w:eastAsia="宋体" w:cs="宋体"/>
                <w:spacing w:val="8"/>
                <w:lang w:val="en-US" w:eastAsia="zh-CN"/>
              </w:rPr>
              <w:t>信达证券、华福证券、上海磐耀资产、方正证券、中信证券资管、富国基金、华宝基金、银河基金、海富通基金、建信养老金、中银基金、平安基金、光大证券、东吴基金、润晖投资、嘉实基金、建信理财、泰信基金、交银施罗德基金、中金资管、民生证券、中信建投证券、招商证券、开源证券、东北证券、景林资产、创金合信基金、</w:t>
            </w:r>
            <w:bookmarkStart w:id="0" w:name="OLE_LINK1"/>
            <w:r>
              <w:rPr>
                <w:rFonts w:hint="eastAsia" w:ascii="宋体" w:hAnsi="宋体" w:eastAsia="宋体" w:cs="宋体"/>
                <w:spacing w:val="8"/>
                <w:lang w:val="en-US" w:eastAsia="zh-CN"/>
              </w:rPr>
              <w:t>江苏瑞华</w:t>
            </w:r>
            <w:bookmarkEnd w:id="0"/>
            <w:r>
              <w:rPr>
                <w:rFonts w:hint="eastAsia" w:ascii="宋体" w:hAnsi="宋体" w:eastAsia="宋体" w:cs="宋体"/>
                <w:spacing w:val="8"/>
                <w:lang w:val="en-US" w:eastAsia="zh-CN"/>
              </w:rPr>
              <w:t>投资、杭州城投资产、国信证券、合众资产、上海朴信投资、首创证券、浙商证券、广发证券、国泰海通证券、循远资产、圆信永丰基金、西部利得基金、上海国际信托、信达澳亚基金、天治基金、狮城产业投资、汇丰晋信基金、国联安基金、申万菱信基金、华宝信托、中国人寿养老保险、上海磐厚投资、中银资管、博远基金、摩根士丹利基金、中欧基金、华夏理财、上海途灵资产（排名不分先后）。</w:t>
            </w:r>
          </w:p>
        </w:tc>
      </w:tr>
      <w:tr w14:paraId="5341F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vAlign w:val="center"/>
          </w:tcPr>
          <w:p w14:paraId="23F9AACD">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时间</w:t>
            </w:r>
          </w:p>
        </w:tc>
        <w:tc>
          <w:tcPr>
            <w:tcW w:w="3971" w:type="pct"/>
            <w:gridSpan w:val="2"/>
            <w:tcBorders>
              <w:tl2br w:val="nil"/>
              <w:tr2bl w:val="nil"/>
            </w:tcBorders>
            <w:vAlign w:val="center"/>
          </w:tcPr>
          <w:p w14:paraId="2D061AA7">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宋体" w:hAnsi="宋体" w:eastAsia="宋体" w:cs="宋体"/>
                <w:spacing w:val="8"/>
                <w:lang w:val="en-US" w:eastAsia="zh-CN"/>
              </w:rPr>
            </w:pPr>
            <w:r>
              <w:rPr>
                <w:rFonts w:hint="eastAsia" w:ascii="宋体" w:hAnsi="宋体" w:eastAsia="宋体" w:cs="宋体"/>
                <w:spacing w:val="8"/>
                <w:lang w:val="en-US" w:eastAsia="zh-CN"/>
              </w:rPr>
              <w:t>2026年8月27日</w:t>
            </w:r>
          </w:p>
        </w:tc>
      </w:tr>
      <w:tr w14:paraId="7127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vAlign w:val="center"/>
          </w:tcPr>
          <w:p w14:paraId="24957ADF">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地点</w:t>
            </w:r>
          </w:p>
        </w:tc>
        <w:tc>
          <w:tcPr>
            <w:tcW w:w="3971" w:type="pct"/>
            <w:gridSpan w:val="2"/>
            <w:tcBorders>
              <w:tl2br w:val="nil"/>
              <w:tr2bl w:val="nil"/>
            </w:tcBorders>
            <w:vAlign w:val="center"/>
          </w:tcPr>
          <w:p w14:paraId="1597871E">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宋体" w:hAnsi="宋体" w:eastAsia="宋体" w:cs="宋体"/>
                <w:spacing w:val="8"/>
                <w:lang w:val="en-US" w:eastAsia="zh-CN"/>
              </w:rPr>
            </w:pPr>
            <w:r>
              <w:rPr>
                <w:rFonts w:hint="eastAsia" w:ascii="宋体" w:hAnsi="宋体" w:eastAsia="宋体" w:cs="宋体"/>
                <w:spacing w:val="8"/>
                <w:lang w:val="en-US" w:eastAsia="zh-CN"/>
              </w:rPr>
              <w:t>电话会议</w:t>
            </w:r>
          </w:p>
        </w:tc>
      </w:tr>
      <w:tr w14:paraId="15BA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1" w:hRule="atLeast"/>
        </w:trPr>
        <w:tc>
          <w:tcPr>
            <w:tcW w:w="1028" w:type="pct"/>
            <w:tcBorders>
              <w:tl2br w:val="nil"/>
              <w:tr2bl w:val="nil"/>
            </w:tcBorders>
            <w:vAlign w:val="center"/>
          </w:tcPr>
          <w:p w14:paraId="0D1C1301">
            <w:pPr>
              <w:kinsoku/>
              <w:autoSpaceDE/>
              <w:autoSpaceDN/>
              <w:spacing w:line="400" w:lineRule="exact"/>
              <w:jc w:val="center"/>
              <w:rPr>
                <w:rFonts w:ascii="Times New Roman" w:hAnsi="Times New Roman" w:eastAsia="宋体" w:cs="Times New Roman"/>
                <w:b/>
                <w:bCs/>
                <w:spacing w:val="10"/>
              </w:rPr>
            </w:pPr>
            <w:r>
              <w:rPr>
                <w:rFonts w:ascii="Times New Roman" w:hAnsi="Times New Roman" w:eastAsia="宋体" w:cs="Times New Roman"/>
                <w:b/>
                <w:bCs/>
                <w:spacing w:val="10"/>
              </w:rPr>
              <w:t>上市公司</w:t>
            </w:r>
          </w:p>
          <w:p w14:paraId="0911B35B">
            <w:pPr>
              <w:kinsoku/>
              <w:autoSpaceDE/>
              <w:autoSpaceDN/>
              <w:spacing w:line="400" w:lineRule="exact"/>
              <w:jc w:val="center"/>
              <w:rPr>
                <w:rFonts w:ascii="Times New Roman" w:hAnsi="Times New Roman" w:eastAsia="宋体" w:cs="Times New Roman"/>
                <w:b/>
                <w:bCs/>
              </w:rPr>
            </w:pPr>
            <w:r>
              <w:rPr>
                <w:rFonts w:hint="eastAsia" w:ascii="Times New Roman" w:hAnsi="Times New Roman" w:eastAsia="宋体" w:cs="Times New Roman"/>
                <w:b/>
                <w:bCs/>
                <w:spacing w:val="10"/>
              </w:rPr>
              <w:t>参加</w:t>
            </w:r>
            <w:r>
              <w:rPr>
                <w:rFonts w:ascii="Times New Roman" w:hAnsi="Times New Roman" w:eastAsia="宋体" w:cs="Times New Roman"/>
                <w:b/>
                <w:bCs/>
                <w:spacing w:val="10"/>
              </w:rPr>
              <w:t>人</w:t>
            </w:r>
            <w:r>
              <w:rPr>
                <w:rFonts w:ascii="Times New Roman" w:hAnsi="Times New Roman" w:eastAsia="宋体" w:cs="Times New Roman"/>
                <w:b/>
                <w:bCs/>
                <w:spacing w:val="5"/>
              </w:rPr>
              <w:t>员</w:t>
            </w:r>
            <w:r>
              <w:rPr>
                <w:rFonts w:ascii="Times New Roman" w:hAnsi="Times New Roman" w:eastAsia="宋体" w:cs="Times New Roman"/>
                <w:b/>
                <w:bCs/>
                <w:spacing w:val="3"/>
              </w:rPr>
              <w:t>姓名</w:t>
            </w:r>
          </w:p>
        </w:tc>
        <w:tc>
          <w:tcPr>
            <w:tcW w:w="3971" w:type="pct"/>
            <w:gridSpan w:val="2"/>
            <w:tcBorders>
              <w:tl2br w:val="nil"/>
              <w:tr2bl w:val="nil"/>
            </w:tcBorders>
            <w:vAlign w:val="center"/>
          </w:tcPr>
          <w:p w14:paraId="1A0A3C5E">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宋体" w:hAnsi="宋体" w:eastAsia="宋体" w:cs="宋体"/>
                <w:lang w:val="en-US" w:eastAsia="zh-CN"/>
              </w:rPr>
            </w:pPr>
            <w:r>
              <w:rPr>
                <w:rFonts w:hint="eastAsia" w:ascii="宋体" w:hAnsi="宋体" w:eastAsia="宋体" w:cs="宋体"/>
              </w:rPr>
              <w:t>董事会秘书</w:t>
            </w:r>
            <w:r>
              <w:rPr>
                <w:rFonts w:hint="eastAsia" w:ascii="宋体" w:hAnsi="宋体" w:eastAsia="宋体" w:cs="宋体"/>
                <w:lang w:val="en-US" w:eastAsia="zh-CN"/>
              </w:rPr>
              <w:t xml:space="preserve">  </w:t>
            </w:r>
            <w:r>
              <w:rPr>
                <w:rFonts w:hint="eastAsia" w:ascii="宋体" w:hAnsi="宋体" w:eastAsia="宋体" w:cs="宋体"/>
              </w:rPr>
              <w:t>汤鸿雁女士</w:t>
            </w:r>
          </w:p>
        </w:tc>
      </w:tr>
      <w:tr w14:paraId="5DE8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028" w:type="pct"/>
            <w:tcBorders>
              <w:tl2br w:val="nil"/>
              <w:tr2bl w:val="nil"/>
            </w:tcBorders>
            <w:vAlign w:val="center"/>
          </w:tcPr>
          <w:p w14:paraId="31B1D0CF">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投资者关系活动</w:t>
            </w:r>
          </w:p>
          <w:p w14:paraId="0DA454E4">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主要内容介绍</w:t>
            </w:r>
          </w:p>
        </w:tc>
        <w:tc>
          <w:tcPr>
            <w:tcW w:w="3971" w:type="pct"/>
            <w:gridSpan w:val="2"/>
            <w:tcBorders>
              <w:tl2br w:val="nil"/>
              <w:tr2bl w:val="nil"/>
            </w:tcBorders>
          </w:tcPr>
          <w:p w14:paraId="420E6531">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2"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b/>
                <w:bCs/>
                <w:spacing w:val="0"/>
                <w:sz w:val="21"/>
                <w:szCs w:val="21"/>
              </w:rPr>
              <w:t>一、介绍公司情况</w:t>
            </w:r>
          </w:p>
          <w:p w14:paraId="736D0A24">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（一）2026年上半年经营成果回顾</w:t>
            </w:r>
          </w:p>
          <w:p w14:paraId="13C0E516">
            <w:pPr>
              <w:keepNext w:val="0"/>
              <w:keepLines w:val="0"/>
              <w:pageBreakBefore w:val="0"/>
              <w:widowControl/>
              <w:numPr>
                <w:ilvl w:val="0"/>
                <w:numId w:val="1"/>
              </w:numPr>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收入：2026年上半年实现营业收入66.68亿元，同比增长24.70%，其中OBM业务营收占主营业务收入比重达65.63%，较2025年全年的58.92%进一步提升。</w:t>
            </w:r>
          </w:p>
          <w:p w14:paraId="3633B71C">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2、毛利率：</w:t>
            </w:r>
          </w:p>
          <w:p w14:paraId="748AF50B">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报告期内，公司综合毛利率为18.42%，同比提升0.60个百分点，整体保持稳中有升。分产品看，毛利率呈现结构性分化特征：</w:t>
            </w:r>
          </w:p>
          <w:p w14:paraId="75D67F89">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综合家居业务实现营业收入29.72亿元，同比增长94.24%，毛利率18.84%，同比增加8.79个百分点。主要系：</w:t>
            </w:r>
            <w:bookmarkStart w:id="1" w:name="_GoBack"/>
            <w:bookmarkEnd w:id="1"/>
            <w:r>
              <w:rPr>
                <w:rFonts w:hint="eastAsia" w:ascii="宋体" w:hAnsi="宋体" w:eastAsia="宋体" w:cs="宋体"/>
                <w:spacing w:val="0"/>
                <w:sz w:val="21"/>
                <w:szCs w:val="21"/>
                <w:lang w:val="en-US" w:eastAsia="zh-CN"/>
              </w:rPr>
              <w:t>销售模式的结构变化，供应链整合与精益生产推进，运营效率改善。</w:t>
            </w:r>
          </w:p>
          <w:p w14:paraId="3DC07B55">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板式家具毛利率18.21%，同比提升1.36个百分点，主要系产品结构变化所致。</w:t>
            </w:r>
          </w:p>
          <w:p w14:paraId="7B675DB8">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办公家具毛利率20.95%，同比下降2.86个百分点，主要受行业需求偏弱影响，公司主动调整价格策略以稳固市场份额，同时高毛利项目占比有所下降。</w:t>
            </w:r>
          </w:p>
          <w:p w14:paraId="121709F9">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软体家具毛利率18.19%，同比下降4.04个百分点，主要系上游面料、海绵等原材料价格波动所致。</w:t>
            </w:r>
          </w:p>
          <w:p w14:paraId="5C7C669A">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新材料地板毛利率11.71%，同比下降3.89个百分点，主要因公司采取阶段性价格策略抢占渠道，且收入规模下降导致固定成本摊薄效应减弱。</w:t>
            </w:r>
          </w:p>
          <w:p w14:paraId="731DC6DF">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3、净利润：</w:t>
            </w:r>
          </w:p>
          <w:p w14:paraId="35BDF512">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2026年上半年归母净利润1.21亿元，同比下降33.07%；扣非净利润1.16亿元，同比下降33.64%。利润下滑的主要原因系报告期内人民币持续升值导致汇兑损失大幅增加所致，而非经营基本面的走弱。汇兑从2025年上半年收益约0.50亿元转为2026年上半年损失约1.03亿元，影响差额约1.53亿元；剔除汇兑因素影响，公司经营利润保持稳健。</w:t>
            </w:r>
          </w:p>
          <w:p w14:paraId="48BE4908">
            <w:pPr>
              <w:keepNext w:val="0"/>
              <w:keepLines w:val="0"/>
              <w:pageBreakBefore w:val="0"/>
              <w:widowControl/>
              <w:numPr>
                <w:ilvl w:val="0"/>
                <w:numId w:val="2"/>
              </w:numPr>
              <w:kinsoku/>
              <w:wordWrap/>
              <w:overflowPunct/>
              <w:topLinePunct w:val="0"/>
              <w:autoSpaceDE/>
              <w:autoSpaceDN/>
              <w:bidi w:val="0"/>
              <w:adjustRightInd w:val="0"/>
              <w:snapToGrid w:val="0"/>
              <w:spacing w:before="157" w:beforeLines="50" w:line="360" w:lineRule="auto"/>
              <w:ind w:left="105" w:leftChars="50" w:right="105" w:rightChars="50" w:firstLine="420" w:firstLineChars="200"/>
              <w:jc w:val="both"/>
              <w:textAlignment w:val="baseline"/>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分红：</w:t>
            </w:r>
          </w:p>
          <w:p w14:paraId="4FAFCEA7">
            <w:pPr>
              <w:keepNext w:val="0"/>
              <w:keepLines w:val="0"/>
              <w:pageBreakBefore w:val="0"/>
              <w:widowControl/>
              <w:kinsoku w:val="0"/>
              <w:wordWrap/>
              <w:overflowPunct/>
              <w:topLinePunct w:val="0"/>
              <w:autoSpaceDE/>
              <w:autoSpaceDN/>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公司始终高度重视投资者回报，2026年中期利润分配预案为，拟向全体股东每10股派发现金红利3.60元（含税），合计拟派发现金红利约5,006万元，占2026年上半年度归母净利润的41.24%，该预案尚需提交股东会审议。</w:t>
            </w:r>
          </w:p>
          <w:p w14:paraId="52DA273D">
            <w:pPr>
              <w:keepNext w:val="0"/>
              <w:keepLines w:val="0"/>
              <w:pageBreakBefore w:val="0"/>
              <w:widowControl/>
              <w:kinsoku/>
              <w:wordWrap/>
              <w:overflowPunct/>
              <w:topLinePunct w:val="0"/>
              <w:autoSpaceDE/>
              <w:autoSpaceDN/>
              <w:bidi w:val="0"/>
              <w:adjustRightInd w:val="0"/>
              <w:snapToGrid w:val="0"/>
              <w:spacing w:before="157" w:beforeLines="50" w:line="360" w:lineRule="auto"/>
              <w:ind w:left="105" w:leftChars="50" w:right="105" w:rightChars="50" w:firstLine="422" w:firstLineChars="200"/>
              <w:jc w:val="both"/>
              <w:textAlignment w:val="baseline"/>
              <w:rPr>
                <w:rFonts w:hint="eastAsia" w:ascii="宋体" w:hAnsi="宋体" w:eastAsia="宋体" w:cs="宋体"/>
                <w:b/>
                <w:bCs/>
                <w:spacing w:val="0"/>
                <w:sz w:val="21"/>
                <w:szCs w:val="21"/>
              </w:rPr>
            </w:pPr>
            <w:r>
              <w:rPr>
                <w:rFonts w:hint="eastAsia" w:ascii="宋体" w:hAnsi="宋体" w:eastAsia="宋体" w:cs="宋体"/>
                <w:b/>
                <w:bCs/>
                <w:spacing w:val="0"/>
                <w:sz w:val="21"/>
                <w:szCs w:val="21"/>
              </w:rPr>
              <w:t>二、问答</w:t>
            </w:r>
          </w:p>
          <w:p w14:paraId="165B2F43">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1、针对海运费波动，公司是否有长协安排或其他对冲手段？</w:t>
            </w:r>
          </w:p>
          <w:p w14:paraId="2477ECD3">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公司针对东南亚、北美等核心出口航线与主要船公司签订了长期运输协议。长协安排一方面有助于锁定运输成本、降低即期市场运价波动的影响，另一方面也能在旺季保障舱位供应。剩余货量通过即期市场灵活采购，公司会根据市场运价走势动态优化长协与即期的配比。</w:t>
            </w:r>
          </w:p>
          <w:p w14:paraId="3EABF922">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rPr>
            </w:pPr>
            <w:r>
              <w:rPr>
                <w:rFonts w:hint="eastAsia" w:ascii="宋体" w:hAnsi="宋体" w:eastAsia="宋体" w:cs="宋体"/>
                <w:iCs/>
                <w:spacing w:val="0"/>
                <w:sz w:val="21"/>
                <w:szCs w:val="21"/>
                <w:lang w:val="en-US" w:eastAsia="zh-CN"/>
              </w:rPr>
              <w:t>2</w:t>
            </w:r>
            <w:r>
              <w:rPr>
                <w:rFonts w:hint="eastAsia" w:ascii="宋体" w:hAnsi="宋体" w:eastAsia="宋体" w:cs="宋体"/>
                <w:iCs/>
                <w:spacing w:val="0"/>
                <w:sz w:val="21"/>
                <w:szCs w:val="21"/>
                <w:lang w:eastAsia="zh-CN"/>
              </w:rPr>
              <w:t>、</w:t>
            </w:r>
            <w:r>
              <w:rPr>
                <w:rFonts w:hint="eastAsia" w:ascii="宋体" w:hAnsi="宋体" w:eastAsia="宋体" w:cs="宋体"/>
                <w:iCs/>
                <w:spacing w:val="0"/>
                <w:sz w:val="21"/>
                <w:szCs w:val="21"/>
                <w:lang w:val="en-US" w:eastAsia="zh-CN"/>
              </w:rPr>
              <w:t>销售费用提升的原因</w:t>
            </w:r>
            <w:r>
              <w:rPr>
                <w:rFonts w:hint="eastAsia" w:ascii="宋体" w:hAnsi="宋体" w:eastAsia="宋体" w:cs="宋体"/>
                <w:iCs/>
                <w:spacing w:val="0"/>
                <w:sz w:val="21"/>
                <w:szCs w:val="21"/>
              </w:rPr>
              <w:t>？</w:t>
            </w:r>
          </w:p>
          <w:p w14:paraId="2B6C8690">
            <w:pPr>
              <w:keepNext w:val="0"/>
              <w:keepLines w:val="0"/>
              <w:pageBreakBefore w:val="0"/>
              <w:widowControl/>
              <w:kinsoku/>
              <w:wordWrap/>
              <w:overflowPunct/>
              <w:topLinePunct/>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rPr>
            </w:pPr>
            <w:r>
              <w:rPr>
                <w:rFonts w:hint="eastAsia" w:ascii="宋体" w:hAnsi="宋体" w:eastAsia="宋体" w:cs="宋体"/>
                <w:iCs/>
                <w:spacing w:val="0"/>
                <w:sz w:val="21"/>
                <w:szCs w:val="21"/>
              </w:rPr>
              <w:t>报告期内销售费用有所增长，主要源于两方面战略性投入：一是新品</w:t>
            </w:r>
            <w:r>
              <w:rPr>
                <w:rFonts w:hint="eastAsia" w:ascii="宋体" w:hAnsi="宋体" w:eastAsia="宋体" w:cs="宋体"/>
                <w:iCs/>
                <w:spacing w:val="0"/>
                <w:sz w:val="21"/>
                <w:szCs w:val="21"/>
                <w:lang w:val="en-US" w:eastAsia="zh-CN"/>
              </w:rPr>
              <w:t>上市</w:t>
            </w:r>
            <w:r>
              <w:rPr>
                <w:rFonts w:hint="eastAsia" w:ascii="宋体" w:hAnsi="宋体" w:eastAsia="宋体" w:cs="宋体"/>
                <w:iCs/>
                <w:spacing w:val="0"/>
                <w:sz w:val="21"/>
                <w:szCs w:val="21"/>
              </w:rPr>
              <w:t>推广投入，二是欧洲市场拓展的前期投入，包括渠道建设、品牌推广</w:t>
            </w:r>
            <w:r>
              <w:rPr>
                <w:rFonts w:hint="eastAsia" w:ascii="宋体" w:hAnsi="宋体" w:eastAsia="宋体" w:cs="宋体"/>
                <w:iCs/>
                <w:spacing w:val="0"/>
                <w:sz w:val="21"/>
                <w:szCs w:val="21"/>
                <w:lang w:val="en-US" w:eastAsia="zh-CN"/>
              </w:rPr>
              <w:t>等</w:t>
            </w:r>
            <w:r>
              <w:rPr>
                <w:rFonts w:hint="eastAsia" w:ascii="宋体" w:hAnsi="宋体" w:eastAsia="宋体" w:cs="宋体"/>
                <w:iCs/>
                <w:spacing w:val="0"/>
                <w:sz w:val="21"/>
                <w:szCs w:val="21"/>
              </w:rPr>
              <w:t>。这些都是为未来增长做的战略性投入，不是费用管控出了问题。</w:t>
            </w:r>
          </w:p>
          <w:p w14:paraId="74EB9A55">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3、公司未来利润端是否能够恢复增长？</w:t>
            </w:r>
          </w:p>
          <w:p w14:paraId="76AE728D">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报告期公司净利润同比下滑，主要受人民币持续升值带来的汇兑损失大幅增加影响，并非公司经营基本面发生变化。</w:t>
            </w:r>
          </w:p>
          <w:p w14:paraId="2B2D0618">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主营业务层面来看，公司核心业务的订单、收入、毛利水平保持相对稳健，产品竞争力以及海内外业务拓展情况没有发生重大不利变化。公司外销占比较高，外币资产、负债会随汇率波动产生汇兑损益，属于会计层面的浮动损益，与实际经营业务的现金流存在一定差异。</w:t>
            </w:r>
          </w:p>
          <w:p w14:paraId="6C74D0D8">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展望后续利润表现：一方面，公司会持续通过优化结算币种、外汇套期保值等手段，尽力对冲汇率波动对损益的扰动，降低汇率对净利润的冲击；另一方面，公司将坚持优化产品结构、管控运营及营销费用、推进渠道多元化，夯实主营业务盈利水平。若后续主营业务保持稳健，同时汇率因素的负面影响得到缓解，利润端具备修复的基础。</w:t>
            </w:r>
          </w:p>
          <w:p w14:paraId="18809AD6">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4、公司对2026年下半年业绩有何展望？</w:t>
            </w:r>
          </w:p>
          <w:p w14:paraId="56622ADE">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2026年下半年，海外市场迎来传统销售旺季，公司将把握下半年海外销售节点，持续优化产品与渠道结构，坚持利润优先原则，审慎参与大促营销，强化库存及费用管控，同时通过外汇风险管理工具降低汇率波动的扰动，努力提升主营业务经营质量。 </w:t>
            </w:r>
          </w:p>
          <w:p w14:paraId="08C7EAB0">
            <w:pPr>
              <w:keepNext w:val="0"/>
              <w:keepLines w:val="0"/>
              <w:pageBreakBefore w:val="0"/>
              <w:widowControl/>
              <w:wordWrap/>
              <w:overflowPunct/>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pacing w:val="0"/>
                <w:sz w:val="24"/>
                <w:szCs w:val="24"/>
              </w:rPr>
            </w:pPr>
            <w:r>
              <w:rPr>
                <w:rFonts w:hint="eastAsia" w:ascii="宋体" w:hAnsi="宋体" w:eastAsia="宋体" w:cs="宋体"/>
                <w:sz w:val="21"/>
                <w:szCs w:val="21"/>
                <w:lang w:val="en-US" w:eastAsia="zh-CN"/>
              </w:rPr>
              <w:t>上述为公司现阶段经营规划，不构成业绩预测，下半年业绩受海外需求、汇率、行业竞争等多重因素影响存在不确定性，具体请关注公司后续定期报告。</w:t>
            </w:r>
          </w:p>
        </w:tc>
      </w:tr>
      <w:tr w14:paraId="08195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tcPr>
          <w:p w14:paraId="32ACDF55">
            <w:pPr>
              <w:kinsoku/>
              <w:autoSpaceDE/>
              <w:autoSpaceDN/>
              <w:spacing w:line="400" w:lineRule="exact"/>
              <w:jc w:val="center"/>
              <w:rPr>
                <w:rFonts w:ascii="Times New Roman" w:hAnsi="Times New Roman" w:cs="Times New Roman"/>
                <w:b/>
                <w:bCs/>
              </w:rPr>
            </w:pPr>
            <w:r>
              <w:rPr>
                <w:rFonts w:ascii="Times New Roman" w:hAnsi="Times New Roman" w:eastAsia="宋体" w:cs="Times New Roman"/>
                <w:b/>
                <w:bCs/>
                <w:spacing w:val="8"/>
              </w:rPr>
              <w:t>附</w:t>
            </w:r>
            <w:r>
              <w:rPr>
                <w:rFonts w:ascii="Times New Roman" w:hAnsi="Times New Roman" w:eastAsia="宋体" w:cs="Times New Roman"/>
                <w:b/>
                <w:bCs/>
                <w:spacing w:val="6"/>
              </w:rPr>
              <w:t>件</w:t>
            </w:r>
            <w:r>
              <w:rPr>
                <w:rFonts w:ascii="Times New Roman" w:hAnsi="Times New Roman" w:eastAsia="宋体" w:cs="Times New Roman"/>
                <w:b/>
                <w:bCs/>
                <w:spacing w:val="4"/>
              </w:rPr>
              <w:t>清单</w:t>
            </w:r>
          </w:p>
        </w:tc>
        <w:tc>
          <w:tcPr>
            <w:tcW w:w="3971" w:type="pct"/>
            <w:gridSpan w:val="2"/>
            <w:tcBorders>
              <w:tl2br w:val="nil"/>
              <w:tr2bl w:val="nil"/>
            </w:tcBorders>
          </w:tcPr>
          <w:p w14:paraId="2D0085CA">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宋体" w:hAnsi="宋体" w:eastAsia="宋体" w:cs="宋体"/>
              </w:rPr>
            </w:pPr>
            <w:r>
              <w:rPr>
                <w:rFonts w:hint="eastAsia" w:ascii="宋体" w:hAnsi="宋体" w:eastAsia="宋体" w:cs="宋体"/>
              </w:rPr>
              <w:t>无</w:t>
            </w:r>
          </w:p>
        </w:tc>
      </w:tr>
      <w:tr w14:paraId="0B8B0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tcPr>
          <w:p w14:paraId="4FE80F6D">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记录日期</w:t>
            </w:r>
          </w:p>
        </w:tc>
        <w:tc>
          <w:tcPr>
            <w:tcW w:w="3971" w:type="pct"/>
            <w:gridSpan w:val="2"/>
            <w:tcBorders>
              <w:tl2br w:val="nil"/>
              <w:tr2bl w:val="nil"/>
            </w:tcBorders>
          </w:tcPr>
          <w:p w14:paraId="14A4A643">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宋体" w:hAnsi="宋体" w:eastAsia="宋体" w:cs="宋体"/>
              </w:rPr>
            </w:pP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8</w:t>
            </w:r>
            <w:r>
              <w:rPr>
                <w:rFonts w:hint="eastAsia" w:ascii="宋体" w:hAnsi="宋体" w:eastAsia="宋体" w:cs="宋体"/>
              </w:rPr>
              <w:t>月</w:t>
            </w:r>
            <w:r>
              <w:rPr>
                <w:rFonts w:hint="eastAsia" w:ascii="宋体" w:hAnsi="宋体" w:eastAsia="宋体" w:cs="宋体"/>
                <w:lang w:val="en-US" w:eastAsia="zh-CN"/>
              </w:rPr>
              <w:t>28</w:t>
            </w:r>
            <w:r>
              <w:rPr>
                <w:rFonts w:hint="eastAsia" w:ascii="宋体" w:hAnsi="宋体" w:eastAsia="宋体" w:cs="宋体"/>
              </w:rPr>
              <w:t>日</w:t>
            </w:r>
          </w:p>
        </w:tc>
      </w:tr>
    </w:tbl>
    <w:p w14:paraId="709BDF3C"/>
    <w:sectPr>
      <w:pgSz w:w="11906" w:h="16838"/>
      <w:pgMar w:top="1134" w:right="1701" w:bottom="567" w:left="1701" w:header="567"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88C461"/>
    <w:multiLevelType w:val="singleLevel"/>
    <w:tmpl w:val="E988C461"/>
    <w:lvl w:ilvl="0" w:tentative="0">
      <w:start w:val="1"/>
      <w:numFmt w:val="decimal"/>
      <w:suff w:val="nothing"/>
      <w:lvlText w:val="%1、"/>
      <w:lvlJc w:val="left"/>
    </w:lvl>
  </w:abstractNum>
  <w:abstractNum w:abstractNumId="1">
    <w:nsid w:val="622CD77A"/>
    <w:multiLevelType w:val="singleLevel"/>
    <w:tmpl w:val="622CD77A"/>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jMTUyM2Q3NjdlZTQxMDAyMjkwNzRiNTJjYmIwNzgifQ=="/>
  </w:docVars>
  <w:rsids>
    <w:rsidRoot w:val="69C3779E"/>
    <w:rsid w:val="00026D3A"/>
    <w:rsid w:val="00031733"/>
    <w:rsid w:val="00035B8E"/>
    <w:rsid w:val="00050087"/>
    <w:rsid w:val="00092A9D"/>
    <w:rsid w:val="000E0892"/>
    <w:rsid w:val="00130FAD"/>
    <w:rsid w:val="0014242B"/>
    <w:rsid w:val="00142CF9"/>
    <w:rsid w:val="00146BFC"/>
    <w:rsid w:val="001647C6"/>
    <w:rsid w:val="001E679A"/>
    <w:rsid w:val="00203D60"/>
    <w:rsid w:val="002732F1"/>
    <w:rsid w:val="002D5DCD"/>
    <w:rsid w:val="00381443"/>
    <w:rsid w:val="0038565B"/>
    <w:rsid w:val="003B25E5"/>
    <w:rsid w:val="003B63CA"/>
    <w:rsid w:val="003B6C79"/>
    <w:rsid w:val="003D33C9"/>
    <w:rsid w:val="00402BD5"/>
    <w:rsid w:val="00420ED3"/>
    <w:rsid w:val="004271DF"/>
    <w:rsid w:val="00473A26"/>
    <w:rsid w:val="00473EB5"/>
    <w:rsid w:val="00474570"/>
    <w:rsid w:val="0049595F"/>
    <w:rsid w:val="004964BB"/>
    <w:rsid w:val="004B4949"/>
    <w:rsid w:val="004C0446"/>
    <w:rsid w:val="004D698D"/>
    <w:rsid w:val="00572AF0"/>
    <w:rsid w:val="005A5883"/>
    <w:rsid w:val="005C42CE"/>
    <w:rsid w:val="005E7CAB"/>
    <w:rsid w:val="005F1F5F"/>
    <w:rsid w:val="00605C31"/>
    <w:rsid w:val="006069AC"/>
    <w:rsid w:val="00610558"/>
    <w:rsid w:val="00611353"/>
    <w:rsid w:val="0065068B"/>
    <w:rsid w:val="00680BBF"/>
    <w:rsid w:val="006A0A61"/>
    <w:rsid w:val="006B500A"/>
    <w:rsid w:val="006B59BF"/>
    <w:rsid w:val="006C2890"/>
    <w:rsid w:val="006D0847"/>
    <w:rsid w:val="006D26BF"/>
    <w:rsid w:val="00720540"/>
    <w:rsid w:val="00731E8B"/>
    <w:rsid w:val="00755551"/>
    <w:rsid w:val="00787EC6"/>
    <w:rsid w:val="007E620F"/>
    <w:rsid w:val="0080326F"/>
    <w:rsid w:val="00833EA1"/>
    <w:rsid w:val="00846688"/>
    <w:rsid w:val="00865041"/>
    <w:rsid w:val="00872DFA"/>
    <w:rsid w:val="008A7B97"/>
    <w:rsid w:val="008B47AB"/>
    <w:rsid w:val="008C2936"/>
    <w:rsid w:val="009046E3"/>
    <w:rsid w:val="0094581C"/>
    <w:rsid w:val="00951F92"/>
    <w:rsid w:val="009862FE"/>
    <w:rsid w:val="009A3303"/>
    <w:rsid w:val="009E4C5A"/>
    <w:rsid w:val="00A16405"/>
    <w:rsid w:val="00A22E8C"/>
    <w:rsid w:val="00A3743D"/>
    <w:rsid w:val="00A52537"/>
    <w:rsid w:val="00A80F92"/>
    <w:rsid w:val="00A81D39"/>
    <w:rsid w:val="00AB4C44"/>
    <w:rsid w:val="00AC712E"/>
    <w:rsid w:val="00AD4137"/>
    <w:rsid w:val="00B01B0F"/>
    <w:rsid w:val="00B21219"/>
    <w:rsid w:val="00B325A7"/>
    <w:rsid w:val="00B329C2"/>
    <w:rsid w:val="00B352D6"/>
    <w:rsid w:val="00B46918"/>
    <w:rsid w:val="00B54B5E"/>
    <w:rsid w:val="00B55661"/>
    <w:rsid w:val="00B57A4D"/>
    <w:rsid w:val="00BC3684"/>
    <w:rsid w:val="00BE3D74"/>
    <w:rsid w:val="00C04B3E"/>
    <w:rsid w:val="00C71B73"/>
    <w:rsid w:val="00CC1157"/>
    <w:rsid w:val="00CC6B49"/>
    <w:rsid w:val="00CD79DA"/>
    <w:rsid w:val="00D00420"/>
    <w:rsid w:val="00D53F82"/>
    <w:rsid w:val="00D866E0"/>
    <w:rsid w:val="00DB322B"/>
    <w:rsid w:val="00DC065B"/>
    <w:rsid w:val="00DD5B4D"/>
    <w:rsid w:val="00DF14BB"/>
    <w:rsid w:val="00DF2E2A"/>
    <w:rsid w:val="00E05707"/>
    <w:rsid w:val="00E10109"/>
    <w:rsid w:val="00E20030"/>
    <w:rsid w:val="00E612FC"/>
    <w:rsid w:val="00E62336"/>
    <w:rsid w:val="00E6625A"/>
    <w:rsid w:val="00EB0ABE"/>
    <w:rsid w:val="00ED29C1"/>
    <w:rsid w:val="00EE1963"/>
    <w:rsid w:val="00F061BE"/>
    <w:rsid w:val="00F23B9F"/>
    <w:rsid w:val="00F36D20"/>
    <w:rsid w:val="00F448D5"/>
    <w:rsid w:val="00F6245C"/>
    <w:rsid w:val="00F83845"/>
    <w:rsid w:val="00FB37F3"/>
    <w:rsid w:val="00FE5A83"/>
    <w:rsid w:val="014733B4"/>
    <w:rsid w:val="014B0956"/>
    <w:rsid w:val="01541EA9"/>
    <w:rsid w:val="01730582"/>
    <w:rsid w:val="01830099"/>
    <w:rsid w:val="0196601E"/>
    <w:rsid w:val="01F042F5"/>
    <w:rsid w:val="021653B1"/>
    <w:rsid w:val="02511F45"/>
    <w:rsid w:val="026B1259"/>
    <w:rsid w:val="0342075F"/>
    <w:rsid w:val="0361440A"/>
    <w:rsid w:val="03710AF1"/>
    <w:rsid w:val="037B3741"/>
    <w:rsid w:val="03F60FF6"/>
    <w:rsid w:val="04071455"/>
    <w:rsid w:val="04323A1D"/>
    <w:rsid w:val="04455AD9"/>
    <w:rsid w:val="04784101"/>
    <w:rsid w:val="0492466C"/>
    <w:rsid w:val="04DC0CC3"/>
    <w:rsid w:val="0543026B"/>
    <w:rsid w:val="056D7096"/>
    <w:rsid w:val="05CD66B1"/>
    <w:rsid w:val="05EE314E"/>
    <w:rsid w:val="061E4834"/>
    <w:rsid w:val="06652810"/>
    <w:rsid w:val="0666580E"/>
    <w:rsid w:val="069F41B1"/>
    <w:rsid w:val="06D118A6"/>
    <w:rsid w:val="06DF0BF5"/>
    <w:rsid w:val="06E511DB"/>
    <w:rsid w:val="070659F4"/>
    <w:rsid w:val="07837045"/>
    <w:rsid w:val="07B026C9"/>
    <w:rsid w:val="07DB536F"/>
    <w:rsid w:val="08283748"/>
    <w:rsid w:val="0837398B"/>
    <w:rsid w:val="08387E2F"/>
    <w:rsid w:val="0869623A"/>
    <w:rsid w:val="09067F2D"/>
    <w:rsid w:val="09270947"/>
    <w:rsid w:val="092F4ED6"/>
    <w:rsid w:val="096864F2"/>
    <w:rsid w:val="09A84B40"/>
    <w:rsid w:val="09AF2373"/>
    <w:rsid w:val="09CD0A4B"/>
    <w:rsid w:val="0A01439A"/>
    <w:rsid w:val="0A740EC6"/>
    <w:rsid w:val="0A8530D4"/>
    <w:rsid w:val="0A981059"/>
    <w:rsid w:val="0AEC4F01"/>
    <w:rsid w:val="0B2576EE"/>
    <w:rsid w:val="0B3F7726"/>
    <w:rsid w:val="0B732F2C"/>
    <w:rsid w:val="0B835865"/>
    <w:rsid w:val="0B8E6D50"/>
    <w:rsid w:val="0B9C09A6"/>
    <w:rsid w:val="0BA23811"/>
    <w:rsid w:val="0BB05F2E"/>
    <w:rsid w:val="0BD460C1"/>
    <w:rsid w:val="0BDE0CED"/>
    <w:rsid w:val="0C290AFB"/>
    <w:rsid w:val="0C4F3999"/>
    <w:rsid w:val="0C5F2F92"/>
    <w:rsid w:val="0C654F6B"/>
    <w:rsid w:val="0C9C64B3"/>
    <w:rsid w:val="0CEF2A86"/>
    <w:rsid w:val="0D49663A"/>
    <w:rsid w:val="0D4E3C51"/>
    <w:rsid w:val="0D6B65B1"/>
    <w:rsid w:val="0D9B50DD"/>
    <w:rsid w:val="0DF5231E"/>
    <w:rsid w:val="0E1409F6"/>
    <w:rsid w:val="0E653000"/>
    <w:rsid w:val="0E665F9C"/>
    <w:rsid w:val="0E99714E"/>
    <w:rsid w:val="0EB67D00"/>
    <w:rsid w:val="0F087E2F"/>
    <w:rsid w:val="0F135152"/>
    <w:rsid w:val="0F2E6B15"/>
    <w:rsid w:val="0F2E7896"/>
    <w:rsid w:val="0F314D26"/>
    <w:rsid w:val="0F842AF5"/>
    <w:rsid w:val="0FB3423F"/>
    <w:rsid w:val="0FFB4026"/>
    <w:rsid w:val="102931AF"/>
    <w:rsid w:val="102E415D"/>
    <w:rsid w:val="107C2883"/>
    <w:rsid w:val="10C14B1F"/>
    <w:rsid w:val="10EA5A3E"/>
    <w:rsid w:val="10EA6BB2"/>
    <w:rsid w:val="11102465"/>
    <w:rsid w:val="111B6540"/>
    <w:rsid w:val="11274EE5"/>
    <w:rsid w:val="11540863"/>
    <w:rsid w:val="11B524F0"/>
    <w:rsid w:val="11F272A1"/>
    <w:rsid w:val="11FA43A7"/>
    <w:rsid w:val="11FA52EE"/>
    <w:rsid w:val="121511E1"/>
    <w:rsid w:val="121C6D01"/>
    <w:rsid w:val="12802811"/>
    <w:rsid w:val="12971BF6"/>
    <w:rsid w:val="12B74046"/>
    <w:rsid w:val="12F86B39"/>
    <w:rsid w:val="13270B8B"/>
    <w:rsid w:val="134D0507"/>
    <w:rsid w:val="13567656"/>
    <w:rsid w:val="136C6BDF"/>
    <w:rsid w:val="13BA2040"/>
    <w:rsid w:val="13C407C9"/>
    <w:rsid w:val="13C7650B"/>
    <w:rsid w:val="142676D5"/>
    <w:rsid w:val="143D6A32"/>
    <w:rsid w:val="143F0797"/>
    <w:rsid w:val="14667AD2"/>
    <w:rsid w:val="148E3CB7"/>
    <w:rsid w:val="14E3779D"/>
    <w:rsid w:val="14ED01F3"/>
    <w:rsid w:val="14FE6C50"/>
    <w:rsid w:val="151A266A"/>
    <w:rsid w:val="154A2F50"/>
    <w:rsid w:val="155142DE"/>
    <w:rsid w:val="157E709D"/>
    <w:rsid w:val="158226E9"/>
    <w:rsid w:val="15AB60E4"/>
    <w:rsid w:val="15B562E9"/>
    <w:rsid w:val="15DB004C"/>
    <w:rsid w:val="15F66C34"/>
    <w:rsid w:val="16A42B33"/>
    <w:rsid w:val="16C136E5"/>
    <w:rsid w:val="16C62AAA"/>
    <w:rsid w:val="16ED6288"/>
    <w:rsid w:val="16F77107"/>
    <w:rsid w:val="17245742"/>
    <w:rsid w:val="17377504"/>
    <w:rsid w:val="178D1819"/>
    <w:rsid w:val="178D5376"/>
    <w:rsid w:val="17E61BEF"/>
    <w:rsid w:val="181B0BD3"/>
    <w:rsid w:val="18AB01A9"/>
    <w:rsid w:val="18B76B4E"/>
    <w:rsid w:val="19043DDF"/>
    <w:rsid w:val="19DB3A32"/>
    <w:rsid w:val="1A02204B"/>
    <w:rsid w:val="1A491A28"/>
    <w:rsid w:val="1A734CF7"/>
    <w:rsid w:val="1A792C02"/>
    <w:rsid w:val="1A8E38DF"/>
    <w:rsid w:val="1AA2382E"/>
    <w:rsid w:val="1AF75928"/>
    <w:rsid w:val="1B0248EA"/>
    <w:rsid w:val="1B091EE0"/>
    <w:rsid w:val="1B132036"/>
    <w:rsid w:val="1B5C39DD"/>
    <w:rsid w:val="1B671ADB"/>
    <w:rsid w:val="1B893B46"/>
    <w:rsid w:val="1C5C60FC"/>
    <w:rsid w:val="1C9D605B"/>
    <w:rsid w:val="1D266050"/>
    <w:rsid w:val="1D2C7657"/>
    <w:rsid w:val="1D344C11"/>
    <w:rsid w:val="1D3F5364"/>
    <w:rsid w:val="1D74500E"/>
    <w:rsid w:val="1DB94424"/>
    <w:rsid w:val="1E075E82"/>
    <w:rsid w:val="1E90231B"/>
    <w:rsid w:val="1ECC70CB"/>
    <w:rsid w:val="1F264A2D"/>
    <w:rsid w:val="1F3C1B5B"/>
    <w:rsid w:val="1F576995"/>
    <w:rsid w:val="1F66307C"/>
    <w:rsid w:val="1F6E3CDF"/>
    <w:rsid w:val="1FA60EEC"/>
    <w:rsid w:val="1FE65F6B"/>
    <w:rsid w:val="202817D8"/>
    <w:rsid w:val="204809D3"/>
    <w:rsid w:val="20AE6A88"/>
    <w:rsid w:val="20E16492"/>
    <w:rsid w:val="21162880"/>
    <w:rsid w:val="21182154"/>
    <w:rsid w:val="218B501C"/>
    <w:rsid w:val="219A700D"/>
    <w:rsid w:val="21AD6D40"/>
    <w:rsid w:val="22237002"/>
    <w:rsid w:val="223C1E72"/>
    <w:rsid w:val="226E07B5"/>
    <w:rsid w:val="22877591"/>
    <w:rsid w:val="22C75BE0"/>
    <w:rsid w:val="22F67DB2"/>
    <w:rsid w:val="22F84EEE"/>
    <w:rsid w:val="23515DF1"/>
    <w:rsid w:val="23782EB8"/>
    <w:rsid w:val="239F090A"/>
    <w:rsid w:val="23EB7FF4"/>
    <w:rsid w:val="23F76998"/>
    <w:rsid w:val="23FA2218"/>
    <w:rsid w:val="242C083D"/>
    <w:rsid w:val="24343749"/>
    <w:rsid w:val="243E6375"/>
    <w:rsid w:val="24727DCD"/>
    <w:rsid w:val="24B86128"/>
    <w:rsid w:val="25355E3F"/>
    <w:rsid w:val="2561056D"/>
    <w:rsid w:val="258E6E89"/>
    <w:rsid w:val="25B508B9"/>
    <w:rsid w:val="25CE3729"/>
    <w:rsid w:val="25D86356"/>
    <w:rsid w:val="25E82A3D"/>
    <w:rsid w:val="25EE2134"/>
    <w:rsid w:val="26404627"/>
    <w:rsid w:val="26CC5EBA"/>
    <w:rsid w:val="26CF1507"/>
    <w:rsid w:val="26E33204"/>
    <w:rsid w:val="277F1EA7"/>
    <w:rsid w:val="27800622"/>
    <w:rsid w:val="27D52B4D"/>
    <w:rsid w:val="27EB411E"/>
    <w:rsid w:val="282615FA"/>
    <w:rsid w:val="28441A80"/>
    <w:rsid w:val="2886653D"/>
    <w:rsid w:val="289B1FE8"/>
    <w:rsid w:val="28B27332"/>
    <w:rsid w:val="28CF3A40"/>
    <w:rsid w:val="28D42E04"/>
    <w:rsid w:val="292673D8"/>
    <w:rsid w:val="296C74E1"/>
    <w:rsid w:val="297A2AD3"/>
    <w:rsid w:val="297B506E"/>
    <w:rsid w:val="29DB01C2"/>
    <w:rsid w:val="2A0B4F4C"/>
    <w:rsid w:val="2A1060BE"/>
    <w:rsid w:val="2A224043"/>
    <w:rsid w:val="2A33716D"/>
    <w:rsid w:val="2A5F0DF4"/>
    <w:rsid w:val="2ABC7FF4"/>
    <w:rsid w:val="2B2F2D99"/>
    <w:rsid w:val="2B365FF8"/>
    <w:rsid w:val="2B423B01"/>
    <w:rsid w:val="2B4959D2"/>
    <w:rsid w:val="2B841236"/>
    <w:rsid w:val="2B876854"/>
    <w:rsid w:val="2BA354D5"/>
    <w:rsid w:val="2BC5737C"/>
    <w:rsid w:val="2BD66E93"/>
    <w:rsid w:val="2C432168"/>
    <w:rsid w:val="2C47109A"/>
    <w:rsid w:val="2C4B7881"/>
    <w:rsid w:val="2D03015C"/>
    <w:rsid w:val="2D12039F"/>
    <w:rsid w:val="2D120ACC"/>
    <w:rsid w:val="2D376058"/>
    <w:rsid w:val="2D3B5B48"/>
    <w:rsid w:val="2D430559"/>
    <w:rsid w:val="2D480265"/>
    <w:rsid w:val="2D584173"/>
    <w:rsid w:val="2D6C3F53"/>
    <w:rsid w:val="2D7C1CBC"/>
    <w:rsid w:val="2D834DF9"/>
    <w:rsid w:val="2DAC4350"/>
    <w:rsid w:val="2DAF2092"/>
    <w:rsid w:val="2E0E0B66"/>
    <w:rsid w:val="2E266F24"/>
    <w:rsid w:val="2E7035CF"/>
    <w:rsid w:val="2E960B5C"/>
    <w:rsid w:val="2EBB54F1"/>
    <w:rsid w:val="2ED973C6"/>
    <w:rsid w:val="2EE33285"/>
    <w:rsid w:val="2F012479"/>
    <w:rsid w:val="2F154177"/>
    <w:rsid w:val="2F210D6D"/>
    <w:rsid w:val="2F2B5748"/>
    <w:rsid w:val="2F2D14C0"/>
    <w:rsid w:val="2F2D326E"/>
    <w:rsid w:val="2F3A3BDD"/>
    <w:rsid w:val="2F452CAE"/>
    <w:rsid w:val="2F6D3FB3"/>
    <w:rsid w:val="2F6F7D2B"/>
    <w:rsid w:val="2F7075FF"/>
    <w:rsid w:val="2FB15C4D"/>
    <w:rsid w:val="2FC55B9D"/>
    <w:rsid w:val="2FF31F6D"/>
    <w:rsid w:val="301663F8"/>
    <w:rsid w:val="30826642"/>
    <w:rsid w:val="30C47C02"/>
    <w:rsid w:val="30C85BD0"/>
    <w:rsid w:val="30E51B70"/>
    <w:rsid w:val="311640F4"/>
    <w:rsid w:val="314825E1"/>
    <w:rsid w:val="31833619"/>
    <w:rsid w:val="319767BA"/>
    <w:rsid w:val="319C6612"/>
    <w:rsid w:val="31C3435E"/>
    <w:rsid w:val="31DE2F46"/>
    <w:rsid w:val="31F91B2E"/>
    <w:rsid w:val="31FA0A9F"/>
    <w:rsid w:val="3200110E"/>
    <w:rsid w:val="324259C2"/>
    <w:rsid w:val="326276D3"/>
    <w:rsid w:val="32645854"/>
    <w:rsid w:val="32CC2D9E"/>
    <w:rsid w:val="32E87322"/>
    <w:rsid w:val="33631954"/>
    <w:rsid w:val="33A04957"/>
    <w:rsid w:val="33AD0E22"/>
    <w:rsid w:val="33B0446E"/>
    <w:rsid w:val="33DF6B01"/>
    <w:rsid w:val="340A6274"/>
    <w:rsid w:val="343E7CCC"/>
    <w:rsid w:val="34586FDF"/>
    <w:rsid w:val="346F257B"/>
    <w:rsid w:val="348B2F14"/>
    <w:rsid w:val="34B41D3C"/>
    <w:rsid w:val="34B561E0"/>
    <w:rsid w:val="3516538B"/>
    <w:rsid w:val="35727C2D"/>
    <w:rsid w:val="35814314"/>
    <w:rsid w:val="358B5193"/>
    <w:rsid w:val="35942299"/>
    <w:rsid w:val="35BF6BEA"/>
    <w:rsid w:val="35D119BA"/>
    <w:rsid w:val="35F26FC0"/>
    <w:rsid w:val="360016DD"/>
    <w:rsid w:val="36266C69"/>
    <w:rsid w:val="36482726"/>
    <w:rsid w:val="368E4F3A"/>
    <w:rsid w:val="36917328"/>
    <w:rsid w:val="36BB1AA7"/>
    <w:rsid w:val="36C941C4"/>
    <w:rsid w:val="36ED4C29"/>
    <w:rsid w:val="37DE3C9F"/>
    <w:rsid w:val="381C6576"/>
    <w:rsid w:val="3891486E"/>
    <w:rsid w:val="38A43657"/>
    <w:rsid w:val="391D25A6"/>
    <w:rsid w:val="3956631D"/>
    <w:rsid w:val="39693A3D"/>
    <w:rsid w:val="396B1563"/>
    <w:rsid w:val="396B2A3F"/>
    <w:rsid w:val="397D1296"/>
    <w:rsid w:val="398E5251"/>
    <w:rsid w:val="39934D83"/>
    <w:rsid w:val="39E66E3B"/>
    <w:rsid w:val="3A03179B"/>
    <w:rsid w:val="3A0B6897"/>
    <w:rsid w:val="3A5E4C24"/>
    <w:rsid w:val="3A6F6E31"/>
    <w:rsid w:val="3AB2741B"/>
    <w:rsid w:val="3ADC3D9A"/>
    <w:rsid w:val="3AFB7CEB"/>
    <w:rsid w:val="3B0F4170"/>
    <w:rsid w:val="3B143534"/>
    <w:rsid w:val="3BB6597D"/>
    <w:rsid w:val="3BF770DE"/>
    <w:rsid w:val="3C1F4887"/>
    <w:rsid w:val="3C237ED3"/>
    <w:rsid w:val="3C2462AB"/>
    <w:rsid w:val="3C756255"/>
    <w:rsid w:val="3CAC00F5"/>
    <w:rsid w:val="3CB21257"/>
    <w:rsid w:val="3D1A7CCD"/>
    <w:rsid w:val="3D230903"/>
    <w:rsid w:val="3D25234D"/>
    <w:rsid w:val="3D771C95"/>
    <w:rsid w:val="3DC01751"/>
    <w:rsid w:val="3DC0651D"/>
    <w:rsid w:val="3E3C527C"/>
    <w:rsid w:val="3EED47C8"/>
    <w:rsid w:val="3EF607DB"/>
    <w:rsid w:val="3F163D1F"/>
    <w:rsid w:val="3F2C52F0"/>
    <w:rsid w:val="3F446ADE"/>
    <w:rsid w:val="3F591E5E"/>
    <w:rsid w:val="3F593C0C"/>
    <w:rsid w:val="3F5D0B0E"/>
    <w:rsid w:val="3F632CDC"/>
    <w:rsid w:val="3FC714BD"/>
    <w:rsid w:val="3FE44C34"/>
    <w:rsid w:val="3FF37BBC"/>
    <w:rsid w:val="400E49F6"/>
    <w:rsid w:val="40750F19"/>
    <w:rsid w:val="40AF5E62"/>
    <w:rsid w:val="40F0234E"/>
    <w:rsid w:val="410F4ECA"/>
    <w:rsid w:val="416845DA"/>
    <w:rsid w:val="41D220AA"/>
    <w:rsid w:val="42666D6B"/>
    <w:rsid w:val="426F31FF"/>
    <w:rsid w:val="42894808"/>
    <w:rsid w:val="42BD2703"/>
    <w:rsid w:val="42DA5063"/>
    <w:rsid w:val="42EE5C48"/>
    <w:rsid w:val="42F56341"/>
    <w:rsid w:val="43030A5E"/>
    <w:rsid w:val="439B2A45"/>
    <w:rsid w:val="43A833B4"/>
    <w:rsid w:val="43AB3094"/>
    <w:rsid w:val="43B458B4"/>
    <w:rsid w:val="43B9111D"/>
    <w:rsid w:val="43D96E8D"/>
    <w:rsid w:val="43DE6DD5"/>
    <w:rsid w:val="43F14D5A"/>
    <w:rsid w:val="44AE78E7"/>
    <w:rsid w:val="44CE0BF8"/>
    <w:rsid w:val="44ED4282"/>
    <w:rsid w:val="44F3240C"/>
    <w:rsid w:val="45244CBC"/>
    <w:rsid w:val="455F7BAB"/>
    <w:rsid w:val="45706A8E"/>
    <w:rsid w:val="45AA3413"/>
    <w:rsid w:val="45C30031"/>
    <w:rsid w:val="46565349"/>
    <w:rsid w:val="467557CF"/>
    <w:rsid w:val="46B4080A"/>
    <w:rsid w:val="46C42CA7"/>
    <w:rsid w:val="46DF0E9A"/>
    <w:rsid w:val="46E37985"/>
    <w:rsid w:val="4712301E"/>
    <w:rsid w:val="47803A36"/>
    <w:rsid w:val="47881532"/>
    <w:rsid w:val="47BE0A2A"/>
    <w:rsid w:val="480A0199"/>
    <w:rsid w:val="486A68B9"/>
    <w:rsid w:val="48741AB6"/>
    <w:rsid w:val="48B024D7"/>
    <w:rsid w:val="48C13EDF"/>
    <w:rsid w:val="48D80297"/>
    <w:rsid w:val="48E7672C"/>
    <w:rsid w:val="48EC789E"/>
    <w:rsid w:val="49315AE0"/>
    <w:rsid w:val="496622C1"/>
    <w:rsid w:val="498D1081"/>
    <w:rsid w:val="49CF169A"/>
    <w:rsid w:val="49F70BF1"/>
    <w:rsid w:val="49F9070C"/>
    <w:rsid w:val="4A3B6D2F"/>
    <w:rsid w:val="4A5F1A6C"/>
    <w:rsid w:val="4A742241"/>
    <w:rsid w:val="4A767D68"/>
    <w:rsid w:val="4AAB570B"/>
    <w:rsid w:val="4AE90539"/>
    <w:rsid w:val="4AEE78FE"/>
    <w:rsid w:val="4B223A4B"/>
    <w:rsid w:val="4B2772B4"/>
    <w:rsid w:val="4B884025"/>
    <w:rsid w:val="4B9668A1"/>
    <w:rsid w:val="4BB87F0C"/>
    <w:rsid w:val="4C2F01CE"/>
    <w:rsid w:val="4C621875"/>
    <w:rsid w:val="4C80529D"/>
    <w:rsid w:val="4C9444D5"/>
    <w:rsid w:val="4CA24E44"/>
    <w:rsid w:val="4CB15087"/>
    <w:rsid w:val="4E0E2891"/>
    <w:rsid w:val="4E2F6BAB"/>
    <w:rsid w:val="4E5E4D9B"/>
    <w:rsid w:val="4E7520E4"/>
    <w:rsid w:val="4E9D1D67"/>
    <w:rsid w:val="4EC866B8"/>
    <w:rsid w:val="4ECB5066"/>
    <w:rsid w:val="4ECC264C"/>
    <w:rsid w:val="4F1C4C2B"/>
    <w:rsid w:val="4F2B0AF5"/>
    <w:rsid w:val="4F3279C2"/>
    <w:rsid w:val="4F400A92"/>
    <w:rsid w:val="4F493C9D"/>
    <w:rsid w:val="4F7F321A"/>
    <w:rsid w:val="4FC92959"/>
    <w:rsid w:val="4FE237A9"/>
    <w:rsid w:val="506378F4"/>
    <w:rsid w:val="508C4813"/>
    <w:rsid w:val="50C335DB"/>
    <w:rsid w:val="50C51C0A"/>
    <w:rsid w:val="50E772C9"/>
    <w:rsid w:val="5116151E"/>
    <w:rsid w:val="51491D32"/>
    <w:rsid w:val="515617DD"/>
    <w:rsid w:val="51597A9B"/>
    <w:rsid w:val="518F2C2D"/>
    <w:rsid w:val="51B24855"/>
    <w:rsid w:val="51E073BF"/>
    <w:rsid w:val="52304CA0"/>
    <w:rsid w:val="52377DDC"/>
    <w:rsid w:val="528A428F"/>
    <w:rsid w:val="52A82A88"/>
    <w:rsid w:val="53FF492A"/>
    <w:rsid w:val="54821012"/>
    <w:rsid w:val="548B2661"/>
    <w:rsid w:val="54AB503B"/>
    <w:rsid w:val="555B2034"/>
    <w:rsid w:val="55621614"/>
    <w:rsid w:val="556A2277"/>
    <w:rsid w:val="556D1D67"/>
    <w:rsid w:val="55821CB6"/>
    <w:rsid w:val="55C31B7E"/>
    <w:rsid w:val="55C45E2B"/>
    <w:rsid w:val="55E02539"/>
    <w:rsid w:val="55F569F0"/>
    <w:rsid w:val="56091A90"/>
    <w:rsid w:val="562B40FC"/>
    <w:rsid w:val="565F5B54"/>
    <w:rsid w:val="5684380C"/>
    <w:rsid w:val="5697353F"/>
    <w:rsid w:val="56A65246"/>
    <w:rsid w:val="56A8574D"/>
    <w:rsid w:val="56BC6B02"/>
    <w:rsid w:val="56CF0F2B"/>
    <w:rsid w:val="56E16569"/>
    <w:rsid w:val="571406EC"/>
    <w:rsid w:val="571957A0"/>
    <w:rsid w:val="57631674"/>
    <w:rsid w:val="57D711E2"/>
    <w:rsid w:val="57FB7AFE"/>
    <w:rsid w:val="583345AB"/>
    <w:rsid w:val="584414A5"/>
    <w:rsid w:val="58A3441E"/>
    <w:rsid w:val="58DA3BB7"/>
    <w:rsid w:val="59945B14"/>
    <w:rsid w:val="59950943"/>
    <w:rsid w:val="59EF3692"/>
    <w:rsid w:val="5A184997"/>
    <w:rsid w:val="5A20384C"/>
    <w:rsid w:val="5A3B68D8"/>
    <w:rsid w:val="5AA93841"/>
    <w:rsid w:val="5AAE0E58"/>
    <w:rsid w:val="5AAE70AA"/>
    <w:rsid w:val="5AD22D98"/>
    <w:rsid w:val="5AFF7905"/>
    <w:rsid w:val="5B0B62AA"/>
    <w:rsid w:val="5B101B12"/>
    <w:rsid w:val="5B2A2BD4"/>
    <w:rsid w:val="5B410044"/>
    <w:rsid w:val="5B550409"/>
    <w:rsid w:val="5B60276E"/>
    <w:rsid w:val="5B7F3D40"/>
    <w:rsid w:val="5B94004E"/>
    <w:rsid w:val="5BBB382C"/>
    <w:rsid w:val="5BC052E6"/>
    <w:rsid w:val="5BC85F49"/>
    <w:rsid w:val="5BD418E3"/>
    <w:rsid w:val="5BDE576D"/>
    <w:rsid w:val="5BF725CD"/>
    <w:rsid w:val="5C0D1BAE"/>
    <w:rsid w:val="5C5477DD"/>
    <w:rsid w:val="5C5577D7"/>
    <w:rsid w:val="5C8207EE"/>
    <w:rsid w:val="5CA95D7B"/>
    <w:rsid w:val="5CF80AB0"/>
    <w:rsid w:val="5D107BA8"/>
    <w:rsid w:val="5D437773"/>
    <w:rsid w:val="5D997B9D"/>
    <w:rsid w:val="5DAD3CAF"/>
    <w:rsid w:val="5DB54966"/>
    <w:rsid w:val="5DE51034"/>
    <w:rsid w:val="5E4319A3"/>
    <w:rsid w:val="5E56783C"/>
    <w:rsid w:val="5E7B72A3"/>
    <w:rsid w:val="5EB97DCB"/>
    <w:rsid w:val="5EBA601D"/>
    <w:rsid w:val="5F6B7317"/>
    <w:rsid w:val="5F9920D6"/>
    <w:rsid w:val="5F993C47"/>
    <w:rsid w:val="5FED3C45"/>
    <w:rsid w:val="6075116F"/>
    <w:rsid w:val="60B3541A"/>
    <w:rsid w:val="61903065"/>
    <w:rsid w:val="61B2122D"/>
    <w:rsid w:val="61CB0541"/>
    <w:rsid w:val="621B4377"/>
    <w:rsid w:val="623068C3"/>
    <w:rsid w:val="627806C9"/>
    <w:rsid w:val="629E17B2"/>
    <w:rsid w:val="62D96C8E"/>
    <w:rsid w:val="62F56D26"/>
    <w:rsid w:val="633F2F95"/>
    <w:rsid w:val="635C3251"/>
    <w:rsid w:val="63640C4D"/>
    <w:rsid w:val="637F5A87"/>
    <w:rsid w:val="63BB4636"/>
    <w:rsid w:val="640D3093"/>
    <w:rsid w:val="640D4E41"/>
    <w:rsid w:val="646C3A0A"/>
    <w:rsid w:val="64B4350F"/>
    <w:rsid w:val="64B90B25"/>
    <w:rsid w:val="64C179D9"/>
    <w:rsid w:val="64D836A1"/>
    <w:rsid w:val="65075D34"/>
    <w:rsid w:val="650A5824"/>
    <w:rsid w:val="65134310"/>
    <w:rsid w:val="656B62C3"/>
    <w:rsid w:val="65A81267"/>
    <w:rsid w:val="65AE4402"/>
    <w:rsid w:val="65D26342"/>
    <w:rsid w:val="65E46075"/>
    <w:rsid w:val="66236B9E"/>
    <w:rsid w:val="677376B1"/>
    <w:rsid w:val="67A05FCC"/>
    <w:rsid w:val="67E35558"/>
    <w:rsid w:val="68030A35"/>
    <w:rsid w:val="6861575B"/>
    <w:rsid w:val="6865349E"/>
    <w:rsid w:val="68D4417F"/>
    <w:rsid w:val="68F55159"/>
    <w:rsid w:val="6905258B"/>
    <w:rsid w:val="69307669"/>
    <w:rsid w:val="69C3779E"/>
    <w:rsid w:val="69C45FA2"/>
    <w:rsid w:val="69CC4E56"/>
    <w:rsid w:val="69D1246D"/>
    <w:rsid w:val="6A0D3C70"/>
    <w:rsid w:val="6A1862EE"/>
    <w:rsid w:val="6A4730CB"/>
    <w:rsid w:val="6A75729C"/>
    <w:rsid w:val="6AB97AD1"/>
    <w:rsid w:val="6AD44F64"/>
    <w:rsid w:val="6ADF6E0B"/>
    <w:rsid w:val="6B497AD5"/>
    <w:rsid w:val="6BC54253"/>
    <w:rsid w:val="6D064B23"/>
    <w:rsid w:val="6D9640F9"/>
    <w:rsid w:val="6DF22BF9"/>
    <w:rsid w:val="6E105C5A"/>
    <w:rsid w:val="6E526272"/>
    <w:rsid w:val="6E5C0E9F"/>
    <w:rsid w:val="6E9A19C7"/>
    <w:rsid w:val="6EC6456A"/>
    <w:rsid w:val="6ECF78C3"/>
    <w:rsid w:val="6EFC1D3A"/>
    <w:rsid w:val="6F0B01CF"/>
    <w:rsid w:val="6FAE0DBB"/>
    <w:rsid w:val="6FFC14C6"/>
    <w:rsid w:val="70170F8D"/>
    <w:rsid w:val="70A26911"/>
    <w:rsid w:val="70AE52B6"/>
    <w:rsid w:val="70BB4C52"/>
    <w:rsid w:val="71233EF6"/>
    <w:rsid w:val="712832BA"/>
    <w:rsid w:val="717A508E"/>
    <w:rsid w:val="717E66C1"/>
    <w:rsid w:val="71881FAB"/>
    <w:rsid w:val="71AF12E6"/>
    <w:rsid w:val="71B7463E"/>
    <w:rsid w:val="720A0C12"/>
    <w:rsid w:val="721242BA"/>
    <w:rsid w:val="72330169"/>
    <w:rsid w:val="727509F3"/>
    <w:rsid w:val="72891C24"/>
    <w:rsid w:val="730D09BA"/>
    <w:rsid w:val="732B52E4"/>
    <w:rsid w:val="734B7734"/>
    <w:rsid w:val="737256C5"/>
    <w:rsid w:val="73BE1CB4"/>
    <w:rsid w:val="73C51294"/>
    <w:rsid w:val="73D17C39"/>
    <w:rsid w:val="7408113D"/>
    <w:rsid w:val="74471CA9"/>
    <w:rsid w:val="747F58E7"/>
    <w:rsid w:val="74F33BDF"/>
    <w:rsid w:val="74FB2A94"/>
    <w:rsid w:val="7525340F"/>
    <w:rsid w:val="75510906"/>
    <w:rsid w:val="75952EE8"/>
    <w:rsid w:val="75954C96"/>
    <w:rsid w:val="75BB5AD0"/>
    <w:rsid w:val="75BD0ACB"/>
    <w:rsid w:val="76155B8A"/>
    <w:rsid w:val="761D1A95"/>
    <w:rsid w:val="762875EC"/>
    <w:rsid w:val="76361FD5"/>
    <w:rsid w:val="768E4430"/>
    <w:rsid w:val="76EF03D6"/>
    <w:rsid w:val="773724A9"/>
    <w:rsid w:val="77560455"/>
    <w:rsid w:val="77754D7F"/>
    <w:rsid w:val="77BF424C"/>
    <w:rsid w:val="786B1345"/>
    <w:rsid w:val="78996A59"/>
    <w:rsid w:val="789B6994"/>
    <w:rsid w:val="78FD502C"/>
    <w:rsid w:val="78FE54EF"/>
    <w:rsid w:val="79092219"/>
    <w:rsid w:val="798619ED"/>
    <w:rsid w:val="798F6083"/>
    <w:rsid w:val="79966C24"/>
    <w:rsid w:val="79A951B4"/>
    <w:rsid w:val="7A1548A3"/>
    <w:rsid w:val="7A2B7977"/>
    <w:rsid w:val="7B3311D9"/>
    <w:rsid w:val="7B3614A8"/>
    <w:rsid w:val="7B3E36DA"/>
    <w:rsid w:val="7B473A05"/>
    <w:rsid w:val="7B672C31"/>
    <w:rsid w:val="7B7B492E"/>
    <w:rsid w:val="7B902188"/>
    <w:rsid w:val="7BC04D1F"/>
    <w:rsid w:val="7C0C5586"/>
    <w:rsid w:val="7C38637B"/>
    <w:rsid w:val="7C6A0C2B"/>
    <w:rsid w:val="7C8A307B"/>
    <w:rsid w:val="7D034BDB"/>
    <w:rsid w:val="7D225061"/>
    <w:rsid w:val="7D2A03BA"/>
    <w:rsid w:val="7D6453C3"/>
    <w:rsid w:val="7D6513F2"/>
    <w:rsid w:val="7D937D0D"/>
    <w:rsid w:val="7D957F29"/>
    <w:rsid w:val="7DCF5B74"/>
    <w:rsid w:val="7E024E93"/>
    <w:rsid w:val="7E0E3838"/>
    <w:rsid w:val="7ED131BD"/>
    <w:rsid w:val="7ED70BBB"/>
    <w:rsid w:val="7F030EC3"/>
    <w:rsid w:val="7F4C286A"/>
    <w:rsid w:val="7F5F07EF"/>
    <w:rsid w:val="7FCC39AA"/>
    <w:rsid w:val="7FE2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pPr>
    <w:rPr>
      <w:sz w:val="18"/>
      <w:szCs w:val="18"/>
    </w:rPr>
  </w:style>
  <w:style w:type="paragraph" w:styleId="3">
    <w:name w:val="header"/>
    <w:basedOn w:val="1"/>
    <w:link w:val="9"/>
    <w:qFormat/>
    <w:uiPriority w:val="0"/>
    <w:pPr>
      <w:tabs>
        <w:tab w:val="center" w:pos="4153"/>
        <w:tab w:val="right" w:pos="8306"/>
      </w:tabs>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页眉 字符"/>
    <w:basedOn w:val="6"/>
    <w:link w:val="3"/>
    <w:qFormat/>
    <w:uiPriority w:val="0"/>
    <w:rPr>
      <w:rFonts w:ascii="Arial" w:hAnsi="Arial" w:eastAsia="Arial" w:cs="Arial"/>
      <w:snapToGrid w:val="0"/>
      <w:color w:val="000000"/>
      <w:sz w:val="18"/>
      <w:szCs w:val="18"/>
    </w:rPr>
  </w:style>
  <w:style w:type="character" w:customStyle="1" w:styleId="10">
    <w:name w:val="页脚 字符"/>
    <w:basedOn w:val="6"/>
    <w:link w:val="2"/>
    <w:qFormat/>
    <w:uiPriority w:val="0"/>
    <w:rPr>
      <w:rFonts w:ascii="Arial" w:hAnsi="Arial" w:eastAsia="Arial" w:cs="Arial"/>
      <w:snapToGrid w:val="0"/>
      <w:color w:val="000000"/>
      <w:sz w:val="18"/>
      <w:szCs w:val="18"/>
    </w:rPr>
  </w:style>
  <w:style w:type="paragraph" w:customStyle="1" w:styleId="11">
    <w:name w:val="修订1"/>
    <w:hidden/>
    <w:semiHidden/>
    <w:qFormat/>
    <w:uiPriority w:val="99"/>
    <w:rPr>
      <w:rFonts w:ascii="Arial" w:hAnsi="Arial" w:eastAsia="Arial" w:cs="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FC8A7-1932-44E8-BC16-65FA7D3C844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1920</Words>
  <Characters>2082</Characters>
  <Lines>11</Lines>
  <Paragraphs>3</Paragraphs>
  <TotalTime>33</TotalTime>
  <ScaleCrop>false</ScaleCrop>
  <LinksUpToDate>false</LinksUpToDate>
  <CharactersWithSpaces>2122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2024-11-08T07:32:00Z</dcterms:created>
  <dc:creator>杨璐</dc:creator>
  <cp:lastModifiedBy>chen</cp:lastModifiedBy>
  <cp:lastPrinted>2025-12-10T06:51:00Z</cp:lastPrinted>
  <dcterms:modified xsi:type="dcterms:W3CDTF">2026-08-28T09:05:13Z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11CA328D10BF4524A11932AB8F058A24_13</vt:lpwstr>
  </property>
  <property fmtid="{D5CDD505-2E9C-101B-9397-08002B2CF9AE}" pid="4" name="KSOTemplateDocerSaveRecord">
    <vt:lpwstr>eyJoZGlkIjoiMTM5ZWJkZmFmNWFjYTYwZTdiNTE5OTA5M2U2YTNjMzEiLCJ1c2VySWQiOiIyNzQ0NDkxNTUifQ==</vt:lpwstr>
  </property>
</Properties>
</file>