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48B20">
      <w:pPr>
        <w:jc w:val="center"/>
        <w:rPr>
          <w:rFonts w:ascii="黑体" w:hAnsi="黑体" w:eastAsia="黑体"/>
          <w:b/>
          <w:sz w:val="32"/>
          <w:szCs w:val="32"/>
        </w:rPr>
      </w:pPr>
      <w:r>
        <w:rPr>
          <w:rFonts w:hint="eastAsia" w:ascii="黑体" w:hAnsi="黑体" w:eastAsia="黑体"/>
          <w:b/>
          <w:sz w:val="32"/>
          <w:szCs w:val="32"/>
        </w:rPr>
        <w:t>中信重工机械股份有限公司</w:t>
      </w:r>
    </w:p>
    <w:p w14:paraId="55BA0B10">
      <w:pPr>
        <w:jc w:val="center"/>
        <w:rPr>
          <w:rFonts w:ascii="黑体" w:hAnsi="黑体" w:eastAsia="黑体"/>
          <w:b/>
          <w:sz w:val="32"/>
          <w:szCs w:val="32"/>
        </w:rPr>
      </w:pPr>
      <w:r>
        <w:rPr>
          <w:rFonts w:hint="eastAsia" w:ascii="黑体" w:hAnsi="黑体" w:eastAsia="黑体"/>
          <w:b/>
          <w:sz w:val="32"/>
          <w:szCs w:val="32"/>
        </w:rPr>
        <w:t>投资者关系活动记录表</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4"/>
      </w:tblGrid>
      <w:tr w14:paraId="3833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668" w:type="dxa"/>
            <w:vAlign w:val="center"/>
          </w:tcPr>
          <w:p w14:paraId="5D4746BE">
            <w:pPr>
              <w:jc w:val="center"/>
              <w:rPr>
                <w:rFonts w:asciiTheme="minorEastAsia" w:hAnsiTheme="minorEastAsia"/>
                <w:b/>
                <w:sz w:val="24"/>
                <w:szCs w:val="24"/>
              </w:rPr>
            </w:pPr>
            <w:r>
              <w:rPr>
                <w:rFonts w:hint="eastAsia" w:asciiTheme="minorEastAsia" w:hAnsiTheme="minorEastAsia"/>
                <w:b/>
                <w:sz w:val="24"/>
                <w:szCs w:val="24"/>
              </w:rPr>
              <w:t>投资者关系</w:t>
            </w:r>
          </w:p>
          <w:p w14:paraId="1271D060">
            <w:pPr>
              <w:jc w:val="center"/>
              <w:rPr>
                <w:rFonts w:asciiTheme="minorEastAsia" w:hAnsiTheme="minorEastAsia"/>
                <w:b/>
                <w:sz w:val="24"/>
                <w:szCs w:val="24"/>
              </w:rPr>
            </w:pPr>
            <w:r>
              <w:rPr>
                <w:rFonts w:hint="eastAsia" w:asciiTheme="minorEastAsia" w:hAnsiTheme="minorEastAsia"/>
                <w:b/>
                <w:sz w:val="24"/>
                <w:szCs w:val="24"/>
              </w:rPr>
              <w:t>活动类别</w:t>
            </w:r>
          </w:p>
        </w:tc>
        <w:tc>
          <w:tcPr>
            <w:tcW w:w="6854" w:type="dxa"/>
            <w:vAlign w:val="center"/>
          </w:tcPr>
          <w:p w14:paraId="3353B530">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□特定对象调研</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□分析师会议</w:t>
            </w:r>
          </w:p>
          <w:p w14:paraId="2D5AC2C3">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□媒体采访</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√业绩说明会</w:t>
            </w:r>
          </w:p>
          <w:p w14:paraId="0DEE81E4">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□新闻发布会</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□路演活动</w:t>
            </w:r>
          </w:p>
          <w:p w14:paraId="11F9D382">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□现场参观</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□其他</w:t>
            </w:r>
          </w:p>
        </w:tc>
      </w:tr>
      <w:tr w14:paraId="0542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668" w:type="dxa"/>
            <w:vAlign w:val="center"/>
          </w:tcPr>
          <w:p w14:paraId="3A3ACDCD">
            <w:pPr>
              <w:jc w:val="center"/>
              <w:rPr>
                <w:rFonts w:asciiTheme="minorEastAsia" w:hAnsiTheme="minorEastAsia"/>
                <w:b/>
                <w:sz w:val="24"/>
                <w:szCs w:val="24"/>
              </w:rPr>
            </w:pPr>
            <w:r>
              <w:rPr>
                <w:rFonts w:hint="eastAsia" w:asciiTheme="minorEastAsia" w:hAnsiTheme="minorEastAsia"/>
                <w:b/>
                <w:sz w:val="24"/>
                <w:szCs w:val="24"/>
              </w:rPr>
              <w:t>参与单位名称及人员</w:t>
            </w:r>
          </w:p>
        </w:tc>
        <w:tc>
          <w:tcPr>
            <w:tcW w:w="6854" w:type="dxa"/>
            <w:vAlign w:val="center"/>
          </w:tcPr>
          <w:p w14:paraId="7CF6059D">
            <w:pPr>
              <w:rPr>
                <w:rFonts w:asciiTheme="minorEastAsia" w:hAnsiTheme="minorEastAsia"/>
                <w:sz w:val="24"/>
                <w:szCs w:val="24"/>
              </w:rPr>
            </w:pPr>
            <w:r>
              <w:rPr>
                <w:rFonts w:hint="eastAsia" w:asciiTheme="minorEastAsia" w:hAnsiTheme="minorEastAsia"/>
                <w:sz w:val="24"/>
                <w:szCs w:val="24"/>
              </w:rPr>
              <w:t>线上参与公司202</w:t>
            </w:r>
            <w:r>
              <w:rPr>
                <w:rFonts w:asciiTheme="minorEastAsia" w:hAnsiTheme="minorEastAsia"/>
                <w:sz w:val="24"/>
                <w:szCs w:val="24"/>
              </w:rPr>
              <w:t>6</w:t>
            </w:r>
            <w:r>
              <w:rPr>
                <w:rFonts w:hint="eastAsia" w:asciiTheme="minorEastAsia" w:hAnsiTheme="minorEastAsia"/>
                <w:sz w:val="24"/>
                <w:szCs w:val="24"/>
              </w:rPr>
              <w:t>年半年度业绩说明会的全体投资者</w:t>
            </w:r>
          </w:p>
        </w:tc>
      </w:tr>
      <w:tr w14:paraId="1A8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5D260F25">
            <w:pPr>
              <w:jc w:val="center"/>
              <w:rPr>
                <w:rFonts w:asciiTheme="minorEastAsia" w:hAnsiTheme="minorEastAsia"/>
                <w:b/>
                <w:sz w:val="24"/>
                <w:szCs w:val="24"/>
              </w:rPr>
            </w:pPr>
            <w:r>
              <w:rPr>
                <w:rFonts w:hint="eastAsia" w:asciiTheme="minorEastAsia" w:hAnsiTheme="minorEastAsia"/>
                <w:b/>
                <w:sz w:val="24"/>
                <w:szCs w:val="24"/>
              </w:rPr>
              <w:t>时间</w:t>
            </w:r>
          </w:p>
        </w:tc>
        <w:tc>
          <w:tcPr>
            <w:tcW w:w="6854" w:type="dxa"/>
          </w:tcPr>
          <w:p w14:paraId="181FE47F">
            <w:pPr>
              <w:rPr>
                <w:rFonts w:asciiTheme="minorEastAsia" w:hAnsiTheme="minorEastAsia"/>
                <w:sz w:val="24"/>
                <w:szCs w:val="24"/>
              </w:rPr>
            </w:pPr>
            <w:r>
              <w:rPr>
                <w:rFonts w:hint="eastAsia" w:asciiTheme="minorEastAsia" w:hAnsiTheme="minorEastAsia"/>
                <w:sz w:val="24"/>
                <w:szCs w:val="24"/>
              </w:rPr>
              <w:t>2026年</w:t>
            </w:r>
            <w:r>
              <w:rPr>
                <w:rFonts w:asciiTheme="minorEastAsia" w:hAnsiTheme="minorEastAsia"/>
                <w:sz w:val="24"/>
                <w:szCs w:val="24"/>
              </w:rPr>
              <w:t>8</w:t>
            </w:r>
            <w:r>
              <w:rPr>
                <w:rFonts w:hint="eastAsia" w:asciiTheme="minorEastAsia" w:hAnsiTheme="minorEastAsia"/>
                <w:sz w:val="24"/>
                <w:szCs w:val="24"/>
              </w:rPr>
              <w:t>月2</w:t>
            </w:r>
            <w:r>
              <w:rPr>
                <w:rFonts w:asciiTheme="minorEastAsia" w:hAnsiTheme="minorEastAsia"/>
                <w:sz w:val="24"/>
                <w:szCs w:val="24"/>
              </w:rPr>
              <w:t>8</w:t>
            </w:r>
            <w:r>
              <w:rPr>
                <w:rFonts w:hint="eastAsia" w:asciiTheme="minorEastAsia" w:hAnsiTheme="minorEastAsia"/>
                <w:sz w:val="24"/>
                <w:szCs w:val="24"/>
              </w:rPr>
              <w:t>日（星期五）上午11:00-12:00</w:t>
            </w:r>
          </w:p>
        </w:tc>
      </w:tr>
      <w:tr w14:paraId="47C1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460FF195">
            <w:pPr>
              <w:jc w:val="center"/>
              <w:rPr>
                <w:rFonts w:asciiTheme="minorEastAsia" w:hAnsiTheme="minorEastAsia"/>
                <w:b/>
                <w:sz w:val="24"/>
                <w:szCs w:val="24"/>
              </w:rPr>
            </w:pPr>
            <w:r>
              <w:rPr>
                <w:rFonts w:cs="Arial" w:asciiTheme="minorEastAsia" w:hAnsiTheme="minorEastAsia"/>
                <w:b/>
                <w:sz w:val="24"/>
                <w:szCs w:val="24"/>
                <w:shd w:val="clear" w:color="auto" w:fill="FFFFFF"/>
              </w:rPr>
              <w:t>地点</w:t>
            </w:r>
          </w:p>
        </w:tc>
        <w:tc>
          <w:tcPr>
            <w:tcW w:w="6854" w:type="dxa"/>
          </w:tcPr>
          <w:p w14:paraId="6CB3C60E">
            <w:pPr>
              <w:rPr>
                <w:rFonts w:asciiTheme="minorEastAsia" w:hAnsiTheme="minorEastAsia"/>
                <w:sz w:val="24"/>
                <w:szCs w:val="24"/>
              </w:rPr>
            </w:pPr>
            <w:r>
              <w:rPr>
                <w:rFonts w:hint="eastAsia" w:asciiTheme="minorEastAsia" w:hAnsiTheme="minorEastAsia"/>
                <w:sz w:val="24"/>
                <w:szCs w:val="24"/>
              </w:rPr>
              <w:t>上证路演中心</w:t>
            </w:r>
          </w:p>
        </w:tc>
      </w:tr>
      <w:tr w14:paraId="6B5B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7B8A98F">
            <w:pPr>
              <w:jc w:val="center"/>
              <w:rPr>
                <w:rFonts w:asciiTheme="minorEastAsia" w:hAnsiTheme="minorEastAsia"/>
                <w:b/>
                <w:sz w:val="24"/>
                <w:szCs w:val="24"/>
              </w:rPr>
            </w:pPr>
            <w:r>
              <w:rPr>
                <w:rFonts w:hint="eastAsia" w:asciiTheme="minorEastAsia" w:hAnsiTheme="minorEastAsia"/>
                <w:b/>
                <w:sz w:val="24"/>
                <w:szCs w:val="24"/>
              </w:rPr>
              <w:t>上市公司接待人员</w:t>
            </w:r>
          </w:p>
        </w:tc>
        <w:tc>
          <w:tcPr>
            <w:tcW w:w="6854" w:type="dxa"/>
            <w:vAlign w:val="center"/>
          </w:tcPr>
          <w:p w14:paraId="7B7CB78A">
            <w:pPr>
              <w:spacing w:line="360" w:lineRule="atLeast"/>
              <w:rPr>
                <w:rFonts w:asciiTheme="minorEastAsia" w:hAnsiTheme="minorEastAsia"/>
                <w:sz w:val="24"/>
                <w:szCs w:val="24"/>
              </w:rPr>
            </w:pPr>
            <w:r>
              <w:rPr>
                <w:rFonts w:hint="eastAsia" w:asciiTheme="minorEastAsia" w:hAnsiTheme="minorEastAsia"/>
                <w:sz w:val="24"/>
                <w:szCs w:val="24"/>
              </w:rPr>
              <w:t>董事长：武汉琦</w:t>
            </w:r>
          </w:p>
          <w:p w14:paraId="78E60B72">
            <w:pPr>
              <w:spacing w:line="360" w:lineRule="atLeast"/>
              <w:rPr>
                <w:rFonts w:asciiTheme="minorEastAsia" w:hAnsiTheme="minorEastAsia"/>
                <w:sz w:val="24"/>
                <w:szCs w:val="24"/>
              </w:rPr>
            </w:pPr>
            <w:r>
              <w:rPr>
                <w:rFonts w:hint="eastAsia" w:asciiTheme="minorEastAsia" w:hAnsiTheme="minorEastAsia"/>
                <w:sz w:val="24"/>
                <w:szCs w:val="24"/>
              </w:rPr>
              <w:t>总经理：曹晖</w:t>
            </w:r>
          </w:p>
          <w:p w14:paraId="019A5683">
            <w:pPr>
              <w:spacing w:line="360" w:lineRule="atLeast"/>
              <w:rPr>
                <w:rFonts w:asciiTheme="minorEastAsia" w:hAnsiTheme="minorEastAsia"/>
                <w:sz w:val="24"/>
                <w:szCs w:val="24"/>
              </w:rPr>
            </w:pPr>
            <w:r>
              <w:rPr>
                <w:rFonts w:hint="eastAsia" w:asciiTheme="minorEastAsia" w:hAnsiTheme="minorEastAsia"/>
                <w:sz w:val="24"/>
                <w:szCs w:val="24"/>
              </w:rPr>
              <w:t>独立董事：林钢、李贻斌、韩清凯</w:t>
            </w:r>
          </w:p>
          <w:p w14:paraId="3811D6B0">
            <w:pPr>
              <w:spacing w:line="360" w:lineRule="atLeast"/>
              <w:rPr>
                <w:rFonts w:asciiTheme="minorEastAsia" w:hAnsiTheme="minorEastAsia"/>
                <w:sz w:val="24"/>
                <w:szCs w:val="24"/>
              </w:rPr>
            </w:pPr>
            <w:r>
              <w:rPr>
                <w:rFonts w:hint="eastAsia" w:asciiTheme="minorEastAsia" w:hAnsiTheme="minorEastAsia"/>
                <w:sz w:val="24"/>
                <w:szCs w:val="24"/>
              </w:rPr>
              <w:t>财务总监：李乃俊</w:t>
            </w:r>
          </w:p>
          <w:p w14:paraId="7BD311B5">
            <w:pPr>
              <w:spacing w:line="360" w:lineRule="atLeast"/>
              <w:rPr>
                <w:rFonts w:asciiTheme="minorEastAsia" w:hAnsiTheme="minorEastAsia"/>
                <w:sz w:val="24"/>
                <w:szCs w:val="24"/>
              </w:rPr>
            </w:pPr>
            <w:r>
              <w:rPr>
                <w:rFonts w:hint="eastAsia" w:asciiTheme="minorEastAsia" w:hAnsiTheme="minorEastAsia"/>
                <w:sz w:val="24"/>
                <w:szCs w:val="24"/>
              </w:rPr>
              <w:t>董事会秘书：苏伟</w:t>
            </w:r>
          </w:p>
        </w:tc>
      </w:tr>
      <w:tr w14:paraId="3DB5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5EF7AEC">
            <w:pPr>
              <w:jc w:val="center"/>
              <w:rPr>
                <w:rFonts w:asciiTheme="minorEastAsia" w:hAnsiTheme="minorEastAsia"/>
                <w:b/>
                <w:sz w:val="24"/>
                <w:szCs w:val="24"/>
              </w:rPr>
            </w:pPr>
            <w:r>
              <w:rPr>
                <w:rFonts w:hint="eastAsia" w:asciiTheme="minorEastAsia" w:hAnsiTheme="minorEastAsia"/>
                <w:b/>
                <w:sz w:val="24"/>
                <w:szCs w:val="24"/>
              </w:rPr>
              <w:t>投资者关系活动主要内容介绍</w:t>
            </w:r>
          </w:p>
        </w:tc>
        <w:tc>
          <w:tcPr>
            <w:tcW w:w="6854" w:type="dxa"/>
          </w:tcPr>
          <w:p w14:paraId="583F411A">
            <w:pPr>
              <w:keepNext w:val="0"/>
              <w:keepLines w:val="0"/>
              <w:pageBreakBefore w:val="0"/>
              <w:kinsoku/>
              <w:wordWrap/>
              <w:overflowPunct/>
              <w:topLinePunct w:val="0"/>
              <w:autoSpaceDE/>
              <w:autoSpaceDN/>
              <w:bidi w:val="0"/>
              <w:adjustRightInd/>
              <w:snapToGrid/>
              <w:spacing w:line="360" w:lineRule="exact"/>
              <w:ind w:firstLine="480" w:firstLineChars="200"/>
              <w:jc w:val="both"/>
              <w:textAlignment w:val="auto"/>
              <w:rPr>
                <w:rFonts w:asciiTheme="minorEastAsia" w:hAnsiTheme="minorEastAsia"/>
                <w:sz w:val="24"/>
                <w:szCs w:val="24"/>
              </w:rPr>
            </w:pPr>
            <w:r>
              <w:rPr>
                <w:rFonts w:hint="eastAsia" w:asciiTheme="minorEastAsia" w:hAnsiTheme="minorEastAsia"/>
                <w:sz w:val="24"/>
                <w:szCs w:val="24"/>
              </w:rPr>
              <w:t>公司于2026年</w:t>
            </w:r>
            <w:r>
              <w:rPr>
                <w:rFonts w:asciiTheme="minorEastAsia" w:hAnsiTheme="minorEastAsia"/>
                <w:sz w:val="24"/>
                <w:szCs w:val="24"/>
              </w:rPr>
              <w:t>8</w:t>
            </w:r>
            <w:r>
              <w:rPr>
                <w:rFonts w:hint="eastAsia" w:asciiTheme="minorEastAsia" w:hAnsiTheme="minorEastAsia"/>
                <w:sz w:val="24"/>
                <w:szCs w:val="24"/>
              </w:rPr>
              <w:t>月2</w:t>
            </w:r>
            <w:r>
              <w:rPr>
                <w:rFonts w:asciiTheme="minorEastAsia" w:hAnsiTheme="minorEastAsia"/>
                <w:sz w:val="24"/>
                <w:szCs w:val="24"/>
              </w:rPr>
              <w:t>8</w:t>
            </w:r>
            <w:r>
              <w:rPr>
                <w:rFonts w:hint="eastAsia" w:asciiTheme="minorEastAsia" w:hAnsiTheme="minorEastAsia"/>
                <w:sz w:val="24"/>
                <w:szCs w:val="24"/>
              </w:rPr>
              <w:t>日在上证路演中心以图文展示+网上文字互动问答的方式举办了“202</w:t>
            </w:r>
            <w:r>
              <w:rPr>
                <w:rFonts w:asciiTheme="minorEastAsia" w:hAnsiTheme="minorEastAsia"/>
                <w:sz w:val="24"/>
                <w:szCs w:val="24"/>
              </w:rPr>
              <w:t>6</w:t>
            </w:r>
            <w:r>
              <w:rPr>
                <w:rFonts w:hint="eastAsia" w:asciiTheme="minorEastAsia" w:hAnsiTheme="minorEastAsia"/>
                <w:sz w:val="24"/>
                <w:szCs w:val="24"/>
              </w:rPr>
              <w:t>年半年度业绩说明会”，具体情况如下：</w:t>
            </w:r>
          </w:p>
          <w:p w14:paraId="46E9B1E5">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highlight w:val="yellow"/>
              </w:rPr>
            </w:pPr>
            <w:r>
              <w:rPr>
                <w:rFonts w:hint="eastAsia" w:asciiTheme="minorEastAsia" w:hAnsiTheme="minorEastAsia"/>
                <w:b/>
                <w:bCs/>
                <w:sz w:val="24"/>
                <w:szCs w:val="24"/>
              </w:rPr>
              <w:t>一</w:t>
            </w:r>
            <w:r>
              <w:rPr>
                <w:rFonts w:asciiTheme="minorEastAsia" w:hAnsiTheme="minorEastAsia"/>
                <w:b/>
                <w:bCs/>
                <w:sz w:val="24"/>
                <w:szCs w:val="24"/>
              </w:rPr>
              <w:t>、</w:t>
            </w:r>
            <w:r>
              <w:rPr>
                <w:rFonts w:hint="eastAsia" w:asciiTheme="minorEastAsia" w:hAnsiTheme="minorEastAsia"/>
                <w:b/>
                <w:bCs/>
                <w:sz w:val="24"/>
                <w:szCs w:val="24"/>
              </w:rPr>
              <w:t>请问公司营收情况如何？</w:t>
            </w:r>
          </w:p>
          <w:p w14:paraId="5C5F165C">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2026年上半年，面对外部环境变化与经营挑战增多的复杂形势，公司聚焦主责主业，锚定做优做强，以“新能力、新优势、新特色、新阶段”纲领为引领，聚力攻坚“传统产业升级战、第二增长曲线攀升战、新兴产业突破战、提效能力跃迁战、产业发展融合战”，始终保持战略定力与发展韧性，公司各项工作取得阶段性扎实成效。报告期内，公司实现营业收入40.25亿元，同比增长1.11%；归属于上市公司股东的净利润2.09亿元，同比增长2.95%；扣非归母净利润2.02亿元，同比增长5.76%，连续保持增长态势。经营活动产生现金流量净额6.54亿元，较上年同期显著增加，实现了“有现金流的利润”。有息负债连续6年保持压降态势，债务结构持续优化。公司经营质效稳中有升、升中提质。感谢您对公司的关注。</w:t>
            </w:r>
          </w:p>
          <w:p w14:paraId="57F495D2">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二</w:t>
            </w:r>
            <w:r>
              <w:rPr>
                <w:rFonts w:asciiTheme="minorEastAsia" w:hAnsiTheme="minorEastAsia"/>
                <w:b/>
                <w:bCs/>
                <w:sz w:val="24"/>
                <w:szCs w:val="24"/>
              </w:rPr>
              <w:t>、</w:t>
            </w:r>
            <w:r>
              <w:rPr>
                <w:rFonts w:hint="eastAsia" w:asciiTheme="minorEastAsia" w:hAnsiTheme="minorEastAsia"/>
                <w:b/>
                <w:bCs/>
                <w:sz w:val="24"/>
                <w:szCs w:val="24"/>
              </w:rPr>
              <w:t>请问公司今年有扩展其他业务的打算吗？</w:t>
            </w:r>
          </w:p>
          <w:p w14:paraId="74E6DE8C">
            <w:pPr>
              <w:keepNext w:val="0"/>
              <w:keepLines w:val="0"/>
              <w:pageBreakBefore w:val="0"/>
              <w:widowControl/>
              <w:suppressLineNumbers w:val="0"/>
              <w:kinsoku/>
              <w:wordWrap/>
              <w:overflowPunct/>
              <w:topLinePunct w:val="0"/>
              <w:autoSpaceDE/>
              <w:autoSpaceDN/>
              <w:bidi w:val="0"/>
              <w:adjustRightInd/>
              <w:snapToGrid/>
              <w:spacing w:line="360" w:lineRule="exact"/>
              <w:ind w:firstLine="482" w:firstLineChars="200"/>
              <w:jc w:val="both"/>
              <w:textAlignment w:val="auto"/>
              <w:rPr>
                <w:rFonts w:hint="eastAsia"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主要从事矿山及重型装备、机器人及智能装备、新能源装备、特种材料等领域的大型设备、大型成套技术装备及关键基础件的开发、研制及销售，并提供相关配套服务和整体解决方案。公司拥有矿物磨机、矿井提升机、冶金回转窑、智能防爆机器人四个国家制造业单项冠军产品。2026年，公司将在深耕主业、推动传统制造业转型升级的基础上，积极培育智慧矿山、特种机器人、特种材料、制造服务业等新业务增长点，积极参加国家重大工程、重大项目，稳妥推进相关业务布局，持续开展强链补链延链，推动产业链、价值链向中高端延伸。</w:t>
            </w:r>
            <w:r>
              <w:rPr>
                <w:rFonts w:hint="eastAsia" w:asciiTheme="minorEastAsia" w:hAnsiTheme="minorEastAsia"/>
                <w:sz w:val="24"/>
                <w:szCs w:val="24"/>
                <w:lang w:val="en-US" w:eastAsia="zh-CN"/>
              </w:rPr>
              <w:t>敬请广大投资者注意二级市场交易风险，理性决策，审慎投资。</w:t>
            </w:r>
            <w:r>
              <w:rPr>
                <w:rFonts w:hint="eastAsia" w:asciiTheme="minorEastAsia" w:hAnsiTheme="minorEastAsia"/>
                <w:sz w:val="24"/>
                <w:szCs w:val="24"/>
              </w:rPr>
              <w:t>感谢您对公司的关注。</w:t>
            </w:r>
          </w:p>
          <w:p w14:paraId="4D0FE042">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三、2026年上半年公司整体经营表现如何？核心经营指标完成情况怎样？</w:t>
            </w:r>
          </w:p>
          <w:p w14:paraId="4DBDF673">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尊敬的投资者，您好！关于您提及的问题，在互动交流环节，公司已有回复。感谢您对公司的关注。</w:t>
            </w:r>
          </w:p>
          <w:p w14:paraId="7E8FFE4C">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四</w:t>
            </w:r>
            <w:r>
              <w:rPr>
                <w:rFonts w:asciiTheme="minorEastAsia" w:hAnsiTheme="minorEastAsia"/>
                <w:b/>
                <w:bCs/>
                <w:sz w:val="24"/>
                <w:szCs w:val="24"/>
              </w:rPr>
              <w:t>、</w:t>
            </w:r>
            <w:r>
              <w:rPr>
                <w:rFonts w:hint="eastAsia" w:asciiTheme="minorEastAsia" w:hAnsiTheme="minorEastAsia"/>
                <w:b/>
                <w:bCs/>
                <w:sz w:val="24"/>
                <w:szCs w:val="24"/>
              </w:rPr>
              <w:t>公司2026年上半年实现了营收与利润的双增长，且扣非归母净利润增速（5.76%）显著高于营收增速，体现了主业盈利质量的提升。在当前全球矿山资本开支预期增长及国内设备更新政策的背景下，管理层如何展望下半年传统矿山及重型装备板块的订单持续性？在“十五五”开局之年，公司如何平衡传统主业的稳健增长与机器人、新能源等新兴赛道的资源投入？</w:t>
            </w:r>
          </w:p>
          <w:p w14:paraId="6CB13577">
            <w:pPr>
              <w:keepNext w:val="0"/>
              <w:keepLines w:val="0"/>
              <w:pageBreakBefore w:val="0"/>
              <w:widowControl/>
              <w:suppressLineNumbers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sz w:val="24"/>
                <w:szCs w:val="24"/>
                <w:highlight w:val="yellow"/>
              </w:rPr>
            </w:pPr>
            <w:r>
              <w:rPr>
                <w:rFonts w:hint="eastAsia" w:asciiTheme="minorEastAsia" w:hAnsiTheme="minorEastAsia"/>
                <w:b/>
                <w:bCs/>
                <w:sz w:val="24"/>
                <w:szCs w:val="24"/>
              </w:rPr>
              <w:t>回复：</w:t>
            </w:r>
            <w:r>
              <w:rPr>
                <w:rFonts w:hint="eastAsia" w:asciiTheme="minorEastAsia" w:hAnsiTheme="minorEastAsia"/>
                <w:sz w:val="24"/>
                <w:szCs w:val="24"/>
              </w:rPr>
              <w:t>尊敬的投资者，您好！2026年上半年公司实现营收与利润双增长，主要得益于产品结构优化、成本管控及主业盈利质量提升。展望下半年，全球矿山资本开支预期增长与国内设备更新政策为行业需求提供一定支撑，公司在手订单及项目储备总体保持稳定，传统矿山及重型装备板块订单有望延续平稳态势。面向“十五五”，公司将坚持传统主业与新兴赛道协同发展：一方面保持矿山及重型装备核心资源投入，加快智能化、绿色化、融合化升级，巩固盈利基础；另一方面对机器人、特种材料等新兴业务实施聚焦式投入，优先发展技术成熟、与主业协同性强的方向，动态优化资源配置，控制投资风险，推动新旧动能有序接续。</w:t>
            </w:r>
            <w:r>
              <w:rPr>
                <w:rFonts w:ascii="宋体" w:hAnsi="宋体" w:eastAsia="宋体" w:cs="宋体"/>
                <w:kern w:val="0"/>
                <w:sz w:val="24"/>
                <w:szCs w:val="24"/>
                <w:lang w:val="en-US" w:eastAsia="zh-CN" w:bidi="ar"/>
              </w:rPr>
              <w:t>敬请广大投资者注意二级市场交易风险，理性决策，审慎投资。</w:t>
            </w:r>
            <w:r>
              <w:rPr>
                <w:rFonts w:hint="eastAsia" w:asciiTheme="minorEastAsia" w:hAnsiTheme="minorEastAsia"/>
                <w:sz w:val="24"/>
                <w:szCs w:val="24"/>
              </w:rPr>
              <w:t>感谢您对公司的关注。</w:t>
            </w:r>
          </w:p>
          <w:p w14:paraId="07C2E270">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trike/>
                <w:sz w:val="24"/>
                <w:szCs w:val="24"/>
              </w:rPr>
            </w:pPr>
            <w:r>
              <w:rPr>
                <w:rFonts w:hint="eastAsia" w:asciiTheme="minorEastAsia" w:hAnsiTheme="minorEastAsia"/>
                <w:b/>
                <w:bCs/>
                <w:sz w:val="24"/>
                <w:szCs w:val="24"/>
              </w:rPr>
              <w:t>五</w:t>
            </w:r>
            <w:r>
              <w:rPr>
                <w:rFonts w:asciiTheme="minorEastAsia" w:hAnsiTheme="minorEastAsia"/>
                <w:b/>
                <w:bCs/>
                <w:sz w:val="24"/>
                <w:szCs w:val="24"/>
              </w:rPr>
              <w:t>、</w:t>
            </w:r>
            <w:r>
              <w:rPr>
                <w:rFonts w:hint="eastAsia" w:asciiTheme="minorEastAsia" w:hAnsiTheme="minorEastAsia"/>
                <w:b/>
                <w:bCs/>
                <w:sz w:val="24"/>
                <w:szCs w:val="24"/>
              </w:rPr>
              <w:t>公司作为“国之重器”，在国家级重大项目中承担了核心任务，但在二级市场上，部分投资者认为公司的“硬科技”属性尚未在估值中得到充分体现。请问公司在提升核心竞争力、强化“提质增效重回报”专项行动以及未来市值管理方面，还有哪些具体的战略规划和落地举措？</w:t>
            </w:r>
          </w:p>
          <w:p w14:paraId="7DFD6326">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高度重视市值管理工作，多举措搭建市值管理长效机制，一是聚焦主业，提升经营效率和盈利能力；二是重视股东回报，制定了稳定的现金分红政策，近三年累计现金分红4.05亿元，年度分红金额占归母净利润比例均达30%以上，2025年现金分红比例更是达到了40.01%；三是在依法合规开展信息披露的基础上，持续完善自愿性信息披露，深挖公司投资价值；四是畅通多元沟通途径，通过多样化的投资者关系活动与广大投资者保持良好地互动交流，打造向市场传递公司真实价值窗口，实现与资本市场准确、及时的信息交互传导；五是公司保持高强度研发投入，持续夯实公司产品核心竞争优势。感谢您对公司的关注。</w:t>
            </w:r>
          </w:p>
          <w:p w14:paraId="7765AE9C">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trike/>
                <w:sz w:val="24"/>
                <w:szCs w:val="24"/>
              </w:rPr>
            </w:pPr>
            <w:r>
              <w:rPr>
                <w:rFonts w:hint="eastAsia" w:asciiTheme="minorEastAsia" w:hAnsiTheme="minorEastAsia"/>
                <w:b/>
                <w:bCs/>
                <w:sz w:val="24"/>
                <w:szCs w:val="24"/>
              </w:rPr>
              <w:t>六</w:t>
            </w:r>
            <w:r>
              <w:rPr>
                <w:rFonts w:asciiTheme="minorEastAsia" w:hAnsiTheme="minorEastAsia"/>
                <w:b/>
                <w:bCs/>
                <w:sz w:val="24"/>
                <w:szCs w:val="24"/>
              </w:rPr>
              <w:t>、</w:t>
            </w:r>
            <w:r>
              <w:rPr>
                <w:rFonts w:hint="eastAsia" w:asciiTheme="minorEastAsia" w:hAnsiTheme="minorEastAsia"/>
                <w:b/>
                <w:bCs/>
                <w:sz w:val="24"/>
                <w:szCs w:val="24"/>
              </w:rPr>
              <w:t>上半年公司国际化布局稳步落地，在东南亚、非洲、欧洲等地均斩获新订单，机器人及智能装备业务也实现了海外市场的突破。请问在海外拓展过程中，公司如何应对当前复杂的国际贸易环境及汇率波动风险？未来在“出海”战略中，是更倾向于单机设备出口，还是加速向“装备+综合解决方案”的EPC总包模式转型？</w:t>
            </w:r>
          </w:p>
          <w:p w14:paraId="1F466F75">
            <w:pPr>
              <w:keepNext w:val="0"/>
              <w:keepLines w:val="0"/>
              <w:pageBreakBefore w:val="0"/>
              <w:widowControl/>
              <w:suppressLineNumbers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从多个层面强化汇率风险管理。一是加强汇率风险前瞻性研判，密切跟踪美元、欧元、澳元、巴西雷亚尔等主要结算货币的汇率变动；二是优化外币资产负债结构，通过匹配币种和期限自然对冲部分汇率风险；三是灵活运用金融工具，根据市场情况签署远期外汇合约或货币互换合约来规避外汇风险；四是持续推进国际化经营的本地化，依托西班牙生产基地、巴西公司、澳大利亚公司、秘鲁分公司等海外机构以本地化运营降低汇率波动影响。公司“出海”战略将坚持单机设备出口与“装备+综合解决方案”并重，在成熟市场巩固核心装备优势，在新兴市场及重点项目优先拓展EPC或系统集成模式，逐步向产业链、价值链中高端延伸。感谢您对公司的关注。</w:t>
            </w:r>
          </w:p>
          <w:p w14:paraId="280BF846">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七</w:t>
            </w:r>
            <w:r>
              <w:rPr>
                <w:rFonts w:asciiTheme="minorEastAsia" w:hAnsiTheme="minorEastAsia"/>
                <w:b/>
                <w:bCs/>
                <w:sz w:val="24"/>
                <w:szCs w:val="24"/>
              </w:rPr>
              <w:t>、</w:t>
            </w:r>
            <w:r>
              <w:rPr>
                <w:rFonts w:hint="eastAsia" w:asciiTheme="minorEastAsia" w:hAnsiTheme="minorEastAsia"/>
                <w:b/>
                <w:bCs/>
                <w:sz w:val="24"/>
                <w:szCs w:val="24"/>
              </w:rPr>
              <w:t>公司自主研发的“中信微”操作系统正在为多类智能装备提供通用系统支撑，且AI+智慧矿山等项目已取得实质性进展。请问目前该操作系统及智能化解决方案在公司整体营收中的占比情况如何？未来在推动离散型制造数智化升级、赋能第二增长曲线方面，公司有何具体的商业化落地目标？</w:t>
            </w:r>
          </w:p>
          <w:p w14:paraId="2A7F6745">
            <w:pPr>
              <w:keepNext w:val="0"/>
              <w:keepLines w:val="0"/>
              <w:pageBreakBefore w:val="0"/>
              <w:widowControl/>
              <w:suppressLineNumbers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已推出基于自研“中信微”操作系统的工业控制平台解决方案，在磨机、破碎机等矿山主机装备及多类特种机器人上完成多轮试验调试与应用，构建起功能完善、安全可靠的工业控制底座。目前尚处于产业化推广阶段，收入占比较小。</w:t>
            </w:r>
            <w:r>
              <w:rPr>
                <w:rFonts w:ascii="宋体" w:hAnsi="宋体" w:eastAsia="宋体" w:cs="宋体"/>
                <w:kern w:val="0"/>
                <w:sz w:val="24"/>
                <w:szCs w:val="24"/>
                <w:lang w:val="en-US" w:eastAsia="zh-CN" w:bidi="ar"/>
              </w:rPr>
              <w:t>敬请广大投资者注意二级市场交易风险，理性决策，审慎投资。</w:t>
            </w:r>
            <w:r>
              <w:rPr>
                <w:rFonts w:hint="eastAsia" w:asciiTheme="minorEastAsia" w:hAnsiTheme="minorEastAsia"/>
                <w:sz w:val="24"/>
                <w:szCs w:val="24"/>
              </w:rPr>
              <w:t>感谢您对公司的关注。</w:t>
            </w:r>
          </w:p>
          <w:p w14:paraId="74A99143">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八</w:t>
            </w:r>
            <w:r>
              <w:rPr>
                <w:rFonts w:asciiTheme="minorEastAsia" w:hAnsiTheme="minorEastAsia"/>
                <w:b/>
                <w:bCs/>
                <w:sz w:val="24"/>
                <w:szCs w:val="24"/>
              </w:rPr>
              <w:t>、</w:t>
            </w:r>
            <w:r>
              <w:rPr>
                <w:rFonts w:hint="eastAsia" w:asciiTheme="minorEastAsia" w:hAnsiTheme="minorEastAsia"/>
                <w:b/>
                <w:bCs/>
                <w:sz w:val="24"/>
                <w:szCs w:val="24"/>
              </w:rPr>
              <w:t>半年报显示公司本期决定“不分配不转增”，同时部分募投项目（如高端耐磨件制造产线智能化改造项目）因市场环境变化被暂缓实施并重新论证。作为独立董事，您如何评估公司在当前阶段保留现金的必要性？在募投项目延期或变更的过程中，如何确保中小股东的知情权及募集资金使用的合规性与高效性？</w:t>
            </w:r>
          </w:p>
          <w:p w14:paraId="30621A3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尊敬的投资者，您好！相关事项请参考公司2026年8月14日披露的《中信重工关于调减部分募投项目募集资金投入金额、变更部分募投项目及实施主体的公告》。感谢您对公司的关注。</w:t>
            </w:r>
          </w:p>
          <w:p w14:paraId="3E93893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九</w:t>
            </w:r>
            <w:r>
              <w:rPr>
                <w:rFonts w:asciiTheme="minorEastAsia" w:hAnsiTheme="minorEastAsia"/>
                <w:b/>
                <w:bCs/>
                <w:sz w:val="24"/>
                <w:szCs w:val="24"/>
              </w:rPr>
              <w:t>、</w:t>
            </w:r>
            <w:r>
              <w:rPr>
                <w:rFonts w:hint="eastAsia" w:asciiTheme="minorEastAsia" w:hAnsiTheme="minorEastAsia"/>
                <w:b/>
                <w:bCs/>
                <w:sz w:val="24"/>
                <w:szCs w:val="24"/>
              </w:rPr>
              <w:t>公司上半年财务费用同比大幅上升254.63%，主要受人民币汇率波动形成的汇兑损失影响。如何看待公司在跨国经营中的外汇风险敞口管理？公司目前的套期保值策略或汇率对冲机制是否足以应对未来潜在的汇率剧烈波动？</w:t>
            </w:r>
          </w:p>
          <w:p w14:paraId="4E68855E">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从多个层面强化汇率风险管理。一是加强汇率风险前瞻性研判，密切跟踪美元、欧元、澳元等主要结算货币的汇率变动；二是优化外币资产负债结构，通过匹配币种和期限自然对冲部分汇率风险；三是灵活运用金融工具，根据市场情况签署远期外汇合约或货币互换合约来规避外汇风险；四是持续推进国际化经营的本地化，依托西班牙生产基地、巴西公司、澳大利亚公司、秘鲁分公司等海外机构以本地化运营降低汇率波动影响。感谢您对公司的关注。</w:t>
            </w:r>
          </w:p>
          <w:p w14:paraId="1AD13EF8">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w:t>
            </w:r>
            <w:r>
              <w:rPr>
                <w:rFonts w:asciiTheme="minorEastAsia" w:hAnsiTheme="minorEastAsia"/>
                <w:b/>
                <w:bCs/>
                <w:sz w:val="24"/>
                <w:szCs w:val="24"/>
              </w:rPr>
              <w:t>、</w:t>
            </w:r>
            <w:r>
              <w:rPr>
                <w:rFonts w:hint="eastAsia" w:asciiTheme="minorEastAsia" w:hAnsiTheme="minorEastAsia"/>
                <w:b/>
                <w:bCs/>
                <w:sz w:val="24"/>
                <w:szCs w:val="24"/>
              </w:rPr>
              <w:t>公司当前加权净资产收益率（ROE）为2.25%，虽然较去年同期微升，但整体资产回报效率改善幅度依然有限。从独立客观的角度来看，您认为制约公司ROE进一步提升的核心瓶颈是什么？在优化资产结构、提升留存收益再投资效率方面，您对公司管理层有何建议或监督计划？</w:t>
            </w:r>
          </w:p>
          <w:p w14:paraId="03A2DF00">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w:t>
            </w:r>
            <w:r>
              <w:rPr>
                <w:rFonts w:hint="eastAsia" w:asciiTheme="minorEastAsia" w:hAnsiTheme="minorEastAsia"/>
                <w:sz w:val="24"/>
                <w:szCs w:val="24"/>
                <w:lang w:val="en-US" w:eastAsia="zh-CN"/>
              </w:rPr>
              <w:t>将</w:t>
            </w:r>
            <w:r>
              <w:rPr>
                <w:rFonts w:hint="eastAsia" w:asciiTheme="minorEastAsia" w:hAnsiTheme="minorEastAsia"/>
                <w:sz w:val="24"/>
                <w:szCs w:val="24"/>
              </w:rPr>
              <w:t>持续加强科技创新，强化产业链强链补链延链，提升主业盈利质量，动态评估新兴业务投入，推动经营质量和股东回报稳步提升。感谢您对公司的关注。</w:t>
            </w:r>
          </w:p>
          <w:p w14:paraId="1A51B76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十一</w:t>
            </w:r>
            <w:r>
              <w:rPr>
                <w:rFonts w:asciiTheme="minorEastAsia" w:hAnsiTheme="minorEastAsia"/>
                <w:b/>
                <w:bCs/>
                <w:sz w:val="24"/>
                <w:szCs w:val="24"/>
              </w:rPr>
              <w:t>、</w:t>
            </w:r>
            <w:r>
              <w:rPr>
                <w:rFonts w:hint="eastAsia" w:asciiTheme="minorEastAsia" w:hAnsiTheme="minorEastAsia"/>
                <w:b/>
                <w:bCs/>
                <w:sz w:val="24"/>
                <w:szCs w:val="24"/>
              </w:rPr>
              <w:t>半年报显示公司经营活动产生的现金流量净额达6.54亿元，较上年同期由负转正，实现了“有现金流的利润”。请问这一显著改善主要是由哪些具体业务板块或营运资金管理措施驱动的？这种现金流的改善趋势在下半年是否具备可持续性？</w:t>
            </w:r>
          </w:p>
          <w:p w14:paraId="73F6506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将“有现金流的利润”作为经营质量的硬性指标，多措并举推动经营质效持续提升。上半年经营活动产生的现金流量净额为6.54亿元，较上年同期-2.29亿元实现大幅转正与净增，主要得益于矿山装备业务收款规模提升及公司合理统筹采购付款节奏。公司有息负债连续6年保持压降态势。感谢您对公司的关注。</w:t>
            </w:r>
          </w:p>
          <w:p w14:paraId="4B768D0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十二</w:t>
            </w:r>
            <w:r>
              <w:rPr>
                <w:rFonts w:asciiTheme="minorEastAsia" w:hAnsiTheme="minorEastAsia"/>
                <w:b/>
                <w:bCs/>
                <w:sz w:val="24"/>
                <w:szCs w:val="24"/>
              </w:rPr>
              <w:t>、</w:t>
            </w:r>
            <w:r>
              <w:rPr>
                <w:rFonts w:hint="eastAsia" w:asciiTheme="minorEastAsia" w:hAnsiTheme="minorEastAsia"/>
                <w:b/>
                <w:bCs/>
                <w:sz w:val="24"/>
                <w:szCs w:val="24"/>
              </w:rPr>
              <w:t>尽管公司利息支出因压降有息负债而有所减少，但汇兑损失推高了整体财务费用。请问目前公司的有息负债规模和加权平均利率是否已降至历史最优水平？未来在债务结构优化、降低综合融资成本方面，公司还有哪些具体的财务规划？</w:t>
            </w:r>
          </w:p>
          <w:p w14:paraId="7B3446F9">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有息负债规模及综合融资成本已处于历史较优水平。未来，公司将结合经营状况和资金需求，在保障正常运营的前提下，进一步压降贷款规模，同时积极拓展政策性贷款等低成本融资渠道，持续动态优化负债结构。感谢您对公司的关注。</w:t>
            </w:r>
          </w:p>
          <w:p w14:paraId="1F93A7BC">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十三</w:t>
            </w:r>
            <w:r>
              <w:rPr>
                <w:rFonts w:asciiTheme="minorEastAsia" w:hAnsiTheme="minorEastAsia"/>
                <w:b/>
                <w:bCs/>
                <w:sz w:val="24"/>
                <w:szCs w:val="24"/>
              </w:rPr>
              <w:t>、</w:t>
            </w:r>
            <w:r>
              <w:rPr>
                <w:rFonts w:hint="eastAsia" w:asciiTheme="minorEastAsia" w:hAnsiTheme="minorEastAsia"/>
                <w:b/>
                <w:bCs/>
                <w:sz w:val="24"/>
                <w:szCs w:val="24"/>
              </w:rPr>
              <w:t>近期投资者普遍关注公司在航空航天、特种机器人及新能源装备等前沿领域的业务进展。请问公司如何看待当前市场对公司“传统重工”与“新兴智造”双重属性的认知差异？下半年是否有计划通过专项路演或机构调研，向市场更清晰地传递公司在新兴产业上的订单转化率和利润贡献度？</w:t>
            </w:r>
          </w:p>
          <w:p w14:paraId="56CDD4F5">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尊敬的投资者，您好！若有需披露事项，公司会按照相关规则履行信息披露义务。感谢您对公司的关注。</w:t>
            </w:r>
          </w:p>
          <w:p w14:paraId="316FABFF">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十四</w:t>
            </w:r>
            <w:r>
              <w:rPr>
                <w:rFonts w:asciiTheme="minorEastAsia" w:hAnsiTheme="minorEastAsia"/>
                <w:b/>
                <w:bCs/>
                <w:sz w:val="24"/>
                <w:szCs w:val="24"/>
              </w:rPr>
              <w:t>、</w:t>
            </w:r>
            <w:r>
              <w:rPr>
                <w:rFonts w:hint="eastAsia" w:asciiTheme="minorEastAsia" w:hAnsiTheme="minorEastAsia"/>
                <w:b/>
                <w:bCs/>
                <w:sz w:val="24"/>
                <w:szCs w:val="24"/>
              </w:rPr>
              <w:t>2026年上半年公司新能源装备业务实现营业收入1.41亿元，2025年同期实现营收8.12亿元，那么公司新能源装备业务为何收入大幅减少？</w:t>
            </w:r>
          </w:p>
          <w:p w14:paraId="7936230F">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尊敬的投资者，您好！公司新能源装备业务收入同比下降，主要受行业需求阶段性调整及客户投资节奏</w:t>
            </w:r>
            <w:bookmarkStart w:id="0" w:name="_GoBack"/>
            <w:bookmarkEnd w:id="0"/>
            <w:r>
              <w:rPr>
                <w:rFonts w:hint="eastAsia" w:asciiTheme="minorEastAsia" w:hAnsiTheme="minorEastAsia"/>
                <w:sz w:val="24"/>
                <w:szCs w:val="24"/>
              </w:rPr>
              <w:t>变化影响，叠加去年同期基数较高，业务规模有所回落。公司将积极适应市场变化，优化业务结构，推动业务稳健恢复。感谢您的关注。</w:t>
            </w:r>
          </w:p>
          <w:p w14:paraId="2CEC0111">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asciiTheme="minorEastAsia" w:hAnsiTheme="minorEastAsia"/>
                <w:b/>
                <w:bCs/>
                <w:sz w:val="24"/>
                <w:szCs w:val="24"/>
              </w:rPr>
            </w:pPr>
            <w:r>
              <w:rPr>
                <w:rFonts w:hint="eastAsia" w:asciiTheme="minorEastAsia" w:hAnsiTheme="minorEastAsia"/>
                <w:b/>
                <w:bCs/>
                <w:sz w:val="24"/>
                <w:szCs w:val="24"/>
              </w:rPr>
              <w:t>十五</w:t>
            </w:r>
            <w:r>
              <w:rPr>
                <w:rFonts w:asciiTheme="minorEastAsia" w:hAnsiTheme="minorEastAsia"/>
                <w:b/>
                <w:bCs/>
                <w:sz w:val="24"/>
                <w:szCs w:val="24"/>
              </w:rPr>
              <w:t>、</w:t>
            </w:r>
            <w:r>
              <w:rPr>
                <w:rFonts w:hint="eastAsia" w:asciiTheme="minorEastAsia" w:hAnsiTheme="minorEastAsia"/>
                <w:b/>
                <w:bCs/>
                <w:sz w:val="24"/>
                <w:szCs w:val="24"/>
              </w:rPr>
              <w:t>从公司财报看出，近两年公司业绩变化不大，打造的第二增长曲线也没有明显起到支撑作用，那么公司未来有哪些发展规划及措施来提升盈利能力？</w:t>
            </w:r>
          </w:p>
          <w:p w14:paraId="71BEBF16">
            <w:pPr>
              <w:keepNext w:val="0"/>
              <w:keepLines w:val="0"/>
              <w:pageBreakBefore w:val="0"/>
              <w:kinsoku/>
              <w:wordWrap/>
              <w:overflowPunct/>
              <w:topLinePunct w:val="0"/>
              <w:autoSpaceDE/>
              <w:autoSpaceDN/>
              <w:bidi w:val="0"/>
              <w:adjustRightInd/>
              <w:snapToGrid/>
              <w:spacing w:line="360" w:lineRule="exact"/>
              <w:ind w:firstLine="482" w:firstLineChars="200"/>
              <w:jc w:val="both"/>
              <w:textAlignment w:val="auto"/>
              <w:rPr>
                <w:rFonts w:hint="eastAsia" w:asciiTheme="minorEastAsia" w:hAnsiTheme="minorEastAsia"/>
                <w:b/>
                <w:bCs/>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尊敬的投资者，您好！关于您提及的问题，在互动交流环节，公司已有回复。感谢您对公司的关注。</w:t>
            </w:r>
          </w:p>
        </w:tc>
      </w:tr>
      <w:tr w14:paraId="7E2D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DEC6476">
            <w:pPr>
              <w:jc w:val="center"/>
              <w:rPr>
                <w:rFonts w:asciiTheme="minorEastAsia" w:hAnsiTheme="minorEastAsia"/>
                <w:b/>
                <w:sz w:val="24"/>
                <w:szCs w:val="24"/>
              </w:rPr>
            </w:pPr>
            <w:r>
              <w:rPr>
                <w:rFonts w:hint="eastAsia" w:asciiTheme="minorEastAsia" w:hAnsiTheme="minorEastAsia"/>
                <w:b/>
                <w:sz w:val="24"/>
                <w:szCs w:val="24"/>
              </w:rPr>
              <w:t>附件清单</w:t>
            </w:r>
          </w:p>
          <w:p w14:paraId="70D6EE50">
            <w:pPr>
              <w:jc w:val="center"/>
              <w:rPr>
                <w:rFonts w:asciiTheme="minorEastAsia" w:hAnsiTheme="minorEastAsia"/>
                <w:b/>
                <w:sz w:val="24"/>
                <w:szCs w:val="24"/>
              </w:rPr>
            </w:pPr>
            <w:r>
              <w:rPr>
                <w:rFonts w:hint="eastAsia" w:asciiTheme="minorEastAsia" w:hAnsiTheme="minorEastAsia"/>
                <w:b/>
                <w:sz w:val="24"/>
                <w:szCs w:val="24"/>
              </w:rPr>
              <w:t>（如有）</w:t>
            </w:r>
          </w:p>
        </w:tc>
        <w:tc>
          <w:tcPr>
            <w:tcW w:w="6854" w:type="dxa"/>
            <w:vAlign w:val="center"/>
          </w:tcPr>
          <w:p w14:paraId="00815F30">
            <w:pPr>
              <w:pStyle w:val="13"/>
              <w:spacing w:line="360" w:lineRule="exact"/>
              <w:ind w:firstLine="0" w:firstLineChars="0"/>
              <w:jc w:val="center"/>
              <w:rPr>
                <w:rFonts w:asciiTheme="minorEastAsia" w:hAnsiTheme="minorEastAsia"/>
                <w:bCs/>
                <w:sz w:val="24"/>
                <w:szCs w:val="21"/>
              </w:rPr>
            </w:pPr>
            <w:r>
              <w:rPr>
                <w:rFonts w:hint="eastAsia" w:asciiTheme="minorEastAsia" w:hAnsiTheme="minorEastAsia"/>
                <w:bCs/>
                <w:sz w:val="24"/>
                <w:szCs w:val="21"/>
              </w:rPr>
              <w:t>无</w:t>
            </w:r>
          </w:p>
        </w:tc>
      </w:tr>
    </w:tbl>
    <w:p w14:paraId="26301B05"/>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60B88AD-40C4-4128-8F7D-F4EA7EB38B52}"/>
  </w:font>
  <w:font w:name="黑体">
    <w:panose1 w:val="02010609060101010101"/>
    <w:charset w:val="86"/>
    <w:family w:val="auto"/>
    <w:pitch w:val="default"/>
    <w:sig w:usb0="800002BF" w:usb1="38CF7CFA" w:usb2="00000016" w:usb3="00000000" w:csb0="00040001" w:csb1="00000000"/>
    <w:embedRegular r:id="rId2" w:fontKey="{852736E7-A2AD-4935-A325-46F14575A0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2275">
    <w:pPr>
      <w:pStyle w:val="5"/>
      <w:jc w:val="left"/>
    </w:pPr>
    <w:r>
      <w:rPr>
        <w:rFonts w:hint="eastAsia"/>
      </w:rPr>
      <w:t>证券代码：</w:t>
    </w:r>
    <w:r>
      <w:rPr>
        <w:rFonts w:hint="eastAsia" w:asciiTheme="minorEastAsia" w:hAnsiTheme="minorEastAsia"/>
      </w:rPr>
      <w:t>6</w:t>
    </w:r>
    <w:r>
      <w:rPr>
        <w:rFonts w:asciiTheme="minorEastAsia" w:hAnsiTheme="minorEastAsia"/>
      </w:rPr>
      <w:t>01608</w:t>
    </w:r>
    <w:r>
      <w:rPr>
        <w:rFonts w:hint="eastAsia"/>
      </w:rPr>
      <w:t xml:space="preserve"> </w:t>
    </w:r>
    <w:r>
      <w:t xml:space="preserve">                                                         </w:t>
    </w:r>
    <w:r>
      <w:rPr>
        <w:rFonts w:hint="eastAsia"/>
      </w:rPr>
      <w:t>证券简称：中信重工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310"/>
    <w:rsid w:val="000000FC"/>
    <w:rsid w:val="00002FE6"/>
    <w:rsid w:val="00004A2F"/>
    <w:rsid w:val="00011FEB"/>
    <w:rsid w:val="000132DE"/>
    <w:rsid w:val="000149BD"/>
    <w:rsid w:val="00016FA6"/>
    <w:rsid w:val="0001798C"/>
    <w:rsid w:val="00020947"/>
    <w:rsid w:val="000221F3"/>
    <w:rsid w:val="00030B2D"/>
    <w:rsid w:val="000356A4"/>
    <w:rsid w:val="0004093A"/>
    <w:rsid w:val="00044D4D"/>
    <w:rsid w:val="00051055"/>
    <w:rsid w:val="00054114"/>
    <w:rsid w:val="000571B6"/>
    <w:rsid w:val="000631D4"/>
    <w:rsid w:val="00063582"/>
    <w:rsid w:val="000635BF"/>
    <w:rsid w:val="00063773"/>
    <w:rsid w:val="0006483A"/>
    <w:rsid w:val="000668CC"/>
    <w:rsid w:val="00066B2D"/>
    <w:rsid w:val="00070636"/>
    <w:rsid w:val="00071E83"/>
    <w:rsid w:val="0007490D"/>
    <w:rsid w:val="000866E5"/>
    <w:rsid w:val="00092159"/>
    <w:rsid w:val="00095FF1"/>
    <w:rsid w:val="00097CA6"/>
    <w:rsid w:val="000A3C5D"/>
    <w:rsid w:val="000A6019"/>
    <w:rsid w:val="000A6A03"/>
    <w:rsid w:val="000B15AD"/>
    <w:rsid w:val="000B2511"/>
    <w:rsid w:val="000B3253"/>
    <w:rsid w:val="000B558B"/>
    <w:rsid w:val="000C6087"/>
    <w:rsid w:val="000C7159"/>
    <w:rsid w:val="000D6D0D"/>
    <w:rsid w:val="000D7225"/>
    <w:rsid w:val="000E0D78"/>
    <w:rsid w:val="000E47AB"/>
    <w:rsid w:val="000E634C"/>
    <w:rsid w:val="000F5ACB"/>
    <w:rsid w:val="000F7C2D"/>
    <w:rsid w:val="00100F44"/>
    <w:rsid w:val="00111236"/>
    <w:rsid w:val="00114DE5"/>
    <w:rsid w:val="00115D45"/>
    <w:rsid w:val="00116DD7"/>
    <w:rsid w:val="001209C7"/>
    <w:rsid w:val="00120CC5"/>
    <w:rsid w:val="00123673"/>
    <w:rsid w:val="00126F56"/>
    <w:rsid w:val="00126FBE"/>
    <w:rsid w:val="0014753D"/>
    <w:rsid w:val="00147C4F"/>
    <w:rsid w:val="001530C2"/>
    <w:rsid w:val="001534BD"/>
    <w:rsid w:val="001603CD"/>
    <w:rsid w:val="00160DBC"/>
    <w:rsid w:val="001618BA"/>
    <w:rsid w:val="0016348D"/>
    <w:rsid w:val="00166BB3"/>
    <w:rsid w:val="00171788"/>
    <w:rsid w:val="001745BA"/>
    <w:rsid w:val="00175BCF"/>
    <w:rsid w:val="00175F5C"/>
    <w:rsid w:val="0017752B"/>
    <w:rsid w:val="00177D6C"/>
    <w:rsid w:val="00180C23"/>
    <w:rsid w:val="001833BA"/>
    <w:rsid w:val="00183C7C"/>
    <w:rsid w:val="00186E00"/>
    <w:rsid w:val="00194600"/>
    <w:rsid w:val="00196CEC"/>
    <w:rsid w:val="001A03E5"/>
    <w:rsid w:val="001A0B70"/>
    <w:rsid w:val="001A18BF"/>
    <w:rsid w:val="001A31AE"/>
    <w:rsid w:val="001A487A"/>
    <w:rsid w:val="001A5535"/>
    <w:rsid w:val="001A592F"/>
    <w:rsid w:val="001A6893"/>
    <w:rsid w:val="001A732F"/>
    <w:rsid w:val="001B21A5"/>
    <w:rsid w:val="001B4016"/>
    <w:rsid w:val="001B75D4"/>
    <w:rsid w:val="001B7CAF"/>
    <w:rsid w:val="001C024F"/>
    <w:rsid w:val="001C1FFA"/>
    <w:rsid w:val="001C70B8"/>
    <w:rsid w:val="001D2780"/>
    <w:rsid w:val="001D7E7F"/>
    <w:rsid w:val="001E33BA"/>
    <w:rsid w:val="001E511A"/>
    <w:rsid w:val="001E6DF1"/>
    <w:rsid w:val="001F03E9"/>
    <w:rsid w:val="001F6870"/>
    <w:rsid w:val="001F6A7A"/>
    <w:rsid w:val="001F6E80"/>
    <w:rsid w:val="00200CA5"/>
    <w:rsid w:val="00201459"/>
    <w:rsid w:val="0020473A"/>
    <w:rsid w:val="00205E7B"/>
    <w:rsid w:val="0020796F"/>
    <w:rsid w:val="0021001D"/>
    <w:rsid w:val="00213698"/>
    <w:rsid w:val="00213C23"/>
    <w:rsid w:val="00213E69"/>
    <w:rsid w:val="00216C5F"/>
    <w:rsid w:val="00216D18"/>
    <w:rsid w:val="00223D4F"/>
    <w:rsid w:val="00224836"/>
    <w:rsid w:val="00225E22"/>
    <w:rsid w:val="00230342"/>
    <w:rsid w:val="00230488"/>
    <w:rsid w:val="00231929"/>
    <w:rsid w:val="00235D54"/>
    <w:rsid w:val="00235FDD"/>
    <w:rsid w:val="00245A3A"/>
    <w:rsid w:val="00245E78"/>
    <w:rsid w:val="0024685C"/>
    <w:rsid w:val="002468E6"/>
    <w:rsid w:val="00246FB3"/>
    <w:rsid w:val="0025254F"/>
    <w:rsid w:val="0025420E"/>
    <w:rsid w:val="00254CB5"/>
    <w:rsid w:val="00257651"/>
    <w:rsid w:val="002624B3"/>
    <w:rsid w:val="00262F37"/>
    <w:rsid w:val="00264A6D"/>
    <w:rsid w:val="00265C9E"/>
    <w:rsid w:val="00267005"/>
    <w:rsid w:val="0027082F"/>
    <w:rsid w:val="00271384"/>
    <w:rsid w:val="00273E64"/>
    <w:rsid w:val="00274CAB"/>
    <w:rsid w:val="00284E80"/>
    <w:rsid w:val="00285231"/>
    <w:rsid w:val="002879DD"/>
    <w:rsid w:val="00293491"/>
    <w:rsid w:val="002940FE"/>
    <w:rsid w:val="0029679B"/>
    <w:rsid w:val="002A74C7"/>
    <w:rsid w:val="002C2C42"/>
    <w:rsid w:val="002C31C5"/>
    <w:rsid w:val="002C3BAA"/>
    <w:rsid w:val="002C64F3"/>
    <w:rsid w:val="002D28A0"/>
    <w:rsid w:val="002E2B8F"/>
    <w:rsid w:val="002F20A9"/>
    <w:rsid w:val="002F6EF9"/>
    <w:rsid w:val="00302430"/>
    <w:rsid w:val="003045AC"/>
    <w:rsid w:val="00305B7F"/>
    <w:rsid w:val="00310707"/>
    <w:rsid w:val="00317955"/>
    <w:rsid w:val="00320F9A"/>
    <w:rsid w:val="00321574"/>
    <w:rsid w:val="0032487F"/>
    <w:rsid w:val="003258C7"/>
    <w:rsid w:val="00327DF8"/>
    <w:rsid w:val="003321FF"/>
    <w:rsid w:val="00332430"/>
    <w:rsid w:val="0033370F"/>
    <w:rsid w:val="003402CF"/>
    <w:rsid w:val="0034235C"/>
    <w:rsid w:val="00354ED6"/>
    <w:rsid w:val="003621E1"/>
    <w:rsid w:val="003642EA"/>
    <w:rsid w:val="003642EB"/>
    <w:rsid w:val="003645C8"/>
    <w:rsid w:val="0036531F"/>
    <w:rsid w:val="00365F0B"/>
    <w:rsid w:val="00367781"/>
    <w:rsid w:val="00371A49"/>
    <w:rsid w:val="0037333E"/>
    <w:rsid w:val="003763A7"/>
    <w:rsid w:val="00380B6D"/>
    <w:rsid w:val="00384D24"/>
    <w:rsid w:val="00387244"/>
    <w:rsid w:val="0039433D"/>
    <w:rsid w:val="003965F3"/>
    <w:rsid w:val="00397164"/>
    <w:rsid w:val="003A1577"/>
    <w:rsid w:val="003A202A"/>
    <w:rsid w:val="003A4821"/>
    <w:rsid w:val="003A4C4B"/>
    <w:rsid w:val="003A792A"/>
    <w:rsid w:val="003B20B9"/>
    <w:rsid w:val="003B63C0"/>
    <w:rsid w:val="003C11AA"/>
    <w:rsid w:val="003C7B62"/>
    <w:rsid w:val="003D13EA"/>
    <w:rsid w:val="003D1630"/>
    <w:rsid w:val="003D166E"/>
    <w:rsid w:val="003D1B9B"/>
    <w:rsid w:val="003D5C7B"/>
    <w:rsid w:val="003D7487"/>
    <w:rsid w:val="003E55A0"/>
    <w:rsid w:val="003E6B0D"/>
    <w:rsid w:val="003E7CC7"/>
    <w:rsid w:val="003F026F"/>
    <w:rsid w:val="003F3171"/>
    <w:rsid w:val="003F31A8"/>
    <w:rsid w:val="003F4929"/>
    <w:rsid w:val="003F60DB"/>
    <w:rsid w:val="003F6F66"/>
    <w:rsid w:val="00400238"/>
    <w:rsid w:val="0040088E"/>
    <w:rsid w:val="004033FC"/>
    <w:rsid w:val="004066BC"/>
    <w:rsid w:val="00407202"/>
    <w:rsid w:val="00407CBC"/>
    <w:rsid w:val="00407F35"/>
    <w:rsid w:val="004101BE"/>
    <w:rsid w:val="0041101C"/>
    <w:rsid w:val="004110EB"/>
    <w:rsid w:val="0041249B"/>
    <w:rsid w:val="00414080"/>
    <w:rsid w:val="004171D5"/>
    <w:rsid w:val="00423717"/>
    <w:rsid w:val="004244CC"/>
    <w:rsid w:val="004252E9"/>
    <w:rsid w:val="00425C5A"/>
    <w:rsid w:val="00427FD9"/>
    <w:rsid w:val="00430012"/>
    <w:rsid w:val="004301BF"/>
    <w:rsid w:val="00434FE4"/>
    <w:rsid w:val="00435ED3"/>
    <w:rsid w:val="004416F4"/>
    <w:rsid w:val="0045020E"/>
    <w:rsid w:val="00455FCC"/>
    <w:rsid w:val="0045775E"/>
    <w:rsid w:val="004578D3"/>
    <w:rsid w:val="00460345"/>
    <w:rsid w:val="00463BBD"/>
    <w:rsid w:val="00465EFA"/>
    <w:rsid w:val="0046668B"/>
    <w:rsid w:val="00466CA7"/>
    <w:rsid w:val="00467C31"/>
    <w:rsid w:val="00470EA6"/>
    <w:rsid w:val="00471195"/>
    <w:rsid w:val="0047482F"/>
    <w:rsid w:val="00475350"/>
    <w:rsid w:val="0047700A"/>
    <w:rsid w:val="004778AD"/>
    <w:rsid w:val="00485778"/>
    <w:rsid w:val="004857CC"/>
    <w:rsid w:val="0049008C"/>
    <w:rsid w:val="0049110F"/>
    <w:rsid w:val="00491FB3"/>
    <w:rsid w:val="00493B3F"/>
    <w:rsid w:val="00494476"/>
    <w:rsid w:val="004967DB"/>
    <w:rsid w:val="00496937"/>
    <w:rsid w:val="00497C3E"/>
    <w:rsid w:val="004A0C59"/>
    <w:rsid w:val="004A4F02"/>
    <w:rsid w:val="004A5378"/>
    <w:rsid w:val="004A5A35"/>
    <w:rsid w:val="004A60BE"/>
    <w:rsid w:val="004A748E"/>
    <w:rsid w:val="004B4737"/>
    <w:rsid w:val="004B5BB0"/>
    <w:rsid w:val="004C03B8"/>
    <w:rsid w:val="004D1021"/>
    <w:rsid w:val="004D2A45"/>
    <w:rsid w:val="004D4AB3"/>
    <w:rsid w:val="004D7DA5"/>
    <w:rsid w:val="004E09D2"/>
    <w:rsid w:val="004E54FC"/>
    <w:rsid w:val="004E694D"/>
    <w:rsid w:val="004E70D8"/>
    <w:rsid w:val="004E7496"/>
    <w:rsid w:val="004F0375"/>
    <w:rsid w:val="004F09D5"/>
    <w:rsid w:val="004F29A7"/>
    <w:rsid w:val="005000DD"/>
    <w:rsid w:val="0050399E"/>
    <w:rsid w:val="00503D45"/>
    <w:rsid w:val="005078F1"/>
    <w:rsid w:val="00510102"/>
    <w:rsid w:val="0051271C"/>
    <w:rsid w:val="00513BDA"/>
    <w:rsid w:val="0051437F"/>
    <w:rsid w:val="00522345"/>
    <w:rsid w:val="005256B6"/>
    <w:rsid w:val="005268D3"/>
    <w:rsid w:val="005324EE"/>
    <w:rsid w:val="00532CFD"/>
    <w:rsid w:val="005336FA"/>
    <w:rsid w:val="0053401B"/>
    <w:rsid w:val="00534D86"/>
    <w:rsid w:val="00536BC4"/>
    <w:rsid w:val="00536CA0"/>
    <w:rsid w:val="005377BF"/>
    <w:rsid w:val="005503AD"/>
    <w:rsid w:val="00550B33"/>
    <w:rsid w:val="005522C1"/>
    <w:rsid w:val="0055355E"/>
    <w:rsid w:val="00553D41"/>
    <w:rsid w:val="005547C8"/>
    <w:rsid w:val="00556677"/>
    <w:rsid w:val="00562268"/>
    <w:rsid w:val="005623F5"/>
    <w:rsid w:val="005722D1"/>
    <w:rsid w:val="005735E2"/>
    <w:rsid w:val="00582F37"/>
    <w:rsid w:val="00585DCD"/>
    <w:rsid w:val="00591BC7"/>
    <w:rsid w:val="0059203A"/>
    <w:rsid w:val="00592B92"/>
    <w:rsid w:val="00597D77"/>
    <w:rsid w:val="005A0C7A"/>
    <w:rsid w:val="005A120F"/>
    <w:rsid w:val="005A14FA"/>
    <w:rsid w:val="005A1628"/>
    <w:rsid w:val="005A28B7"/>
    <w:rsid w:val="005A5F8F"/>
    <w:rsid w:val="005A7471"/>
    <w:rsid w:val="005B10D0"/>
    <w:rsid w:val="005B1CA1"/>
    <w:rsid w:val="005B2C0D"/>
    <w:rsid w:val="005B4529"/>
    <w:rsid w:val="005B777D"/>
    <w:rsid w:val="005C41E5"/>
    <w:rsid w:val="005C6DF9"/>
    <w:rsid w:val="005C728F"/>
    <w:rsid w:val="005D0C20"/>
    <w:rsid w:val="005D6656"/>
    <w:rsid w:val="005D7CFA"/>
    <w:rsid w:val="005E015A"/>
    <w:rsid w:val="005E3BA2"/>
    <w:rsid w:val="005E4130"/>
    <w:rsid w:val="005E459B"/>
    <w:rsid w:val="005E4C40"/>
    <w:rsid w:val="005E4E95"/>
    <w:rsid w:val="005E71AD"/>
    <w:rsid w:val="005F13D4"/>
    <w:rsid w:val="005F2782"/>
    <w:rsid w:val="005F6375"/>
    <w:rsid w:val="005F752F"/>
    <w:rsid w:val="005F7F0F"/>
    <w:rsid w:val="006017D6"/>
    <w:rsid w:val="00606C9E"/>
    <w:rsid w:val="00607D0A"/>
    <w:rsid w:val="006151FA"/>
    <w:rsid w:val="00616BBB"/>
    <w:rsid w:val="0061710F"/>
    <w:rsid w:val="00621A52"/>
    <w:rsid w:val="00622411"/>
    <w:rsid w:val="00624948"/>
    <w:rsid w:val="00626243"/>
    <w:rsid w:val="006332C8"/>
    <w:rsid w:val="00634524"/>
    <w:rsid w:val="00634D6A"/>
    <w:rsid w:val="00636D46"/>
    <w:rsid w:val="00641F61"/>
    <w:rsid w:val="00642CBA"/>
    <w:rsid w:val="00643F32"/>
    <w:rsid w:val="00644B96"/>
    <w:rsid w:val="006464C4"/>
    <w:rsid w:val="0065074C"/>
    <w:rsid w:val="00650B2A"/>
    <w:rsid w:val="00653321"/>
    <w:rsid w:val="006534CA"/>
    <w:rsid w:val="006575A7"/>
    <w:rsid w:val="00661BB6"/>
    <w:rsid w:val="006640D8"/>
    <w:rsid w:val="006659A8"/>
    <w:rsid w:val="0066633F"/>
    <w:rsid w:val="0066696D"/>
    <w:rsid w:val="006705A3"/>
    <w:rsid w:val="00673734"/>
    <w:rsid w:val="00680090"/>
    <w:rsid w:val="006854FC"/>
    <w:rsid w:val="00685774"/>
    <w:rsid w:val="0068777A"/>
    <w:rsid w:val="00687F7A"/>
    <w:rsid w:val="00690867"/>
    <w:rsid w:val="0069104D"/>
    <w:rsid w:val="00694C74"/>
    <w:rsid w:val="006963B7"/>
    <w:rsid w:val="006A051F"/>
    <w:rsid w:val="006A654C"/>
    <w:rsid w:val="006B7787"/>
    <w:rsid w:val="006C0131"/>
    <w:rsid w:val="006C0438"/>
    <w:rsid w:val="006C1ABF"/>
    <w:rsid w:val="006C2F9C"/>
    <w:rsid w:val="006E0666"/>
    <w:rsid w:val="006E25C7"/>
    <w:rsid w:val="006E3AAA"/>
    <w:rsid w:val="006E534B"/>
    <w:rsid w:val="006E764E"/>
    <w:rsid w:val="006F1611"/>
    <w:rsid w:val="006F57A6"/>
    <w:rsid w:val="006F59D6"/>
    <w:rsid w:val="006F6603"/>
    <w:rsid w:val="006F6B7F"/>
    <w:rsid w:val="00703FF0"/>
    <w:rsid w:val="00704C4D"/>
    <w:rsid w:val="007107F4"/>
    <w:rsid w:val="00711F65"/>
    <w:rsid w:val="00712630"/>
    <w:rsid w:val="00713035"/>
    <w:rsid w:val="007148E8"/>
    <w:rsid w:val="00720A6E"/>
    <w:rsid w:val="007274DA"/>
    <w:rsid w:val="00730E16"/>
    <w:rsid w:val="007316C3"/>
    <w:rsid w:val="0073306C"/>
    <w:rsid w:val="007379A8"/>
    <w:rsid w:val="00742727"/>
    <w:rsid w:val="0074314B"/>
    <w:rsid w:val="007465F1"/>
    <w:rsid w:val="007471A5"/>
    <w:rsid w:val="0075501B"/>
    <w:rsid w:val="007560BE"/>
    <w:rsid w:val="007603A2"/>
    <w:rsid w:val="00763133"/>
    <w:rsid w:val="00770A33"/>
    <w:rsid w:val="00774260"/>
    <w:rsid w:val="00775DA1"/>
    <w:rsid w:val="00776199"/>
    <w:rsid w:val="00783367"/>
    <w:rsid w:val="00786285"/>
    <w:rsid w:val="00787E50"/>
    <w:rsid w:val="007905F1"/>
    <w:rsid w:val="007911D9"/>
    <w:rsid w:val="007919AD"/>
    <w:rsid w:val="0079273F"/>
    <w:rsid w:val="007938CA"/>
    <w:rsid w:val="007A13E2"/>
    <w:rsid w:val="007A2E12"/>
    <w:rsid w:val="007A2E76"/>
    <w:rsid w:val="007A3947"/>
    <w:rsid w:val="007A42ED"/>
    <w:rsid w:val="007A5B6F"/>
    <w:rsid w:val="007B02B9"/>
    <w:rsid w:val="007B034B"/>
    <w:rsid w:val="007B043A"/>
    <w:rsid w:val="007B15FB"/>
    <w:rsid w:val="007B2C11"/>
    <w:rsid w:val="007B6659"/>
    <w:rsid w:val="007C36F7"/>
    <w:rsid w:val="007C37F1"/>
    <w:rsid w:val="007C5B1E"/>
    <w:rsid w:val="007C5EDA"/>
    <w:rsid w:val="007C7ECE"/>
    <w:rsid w:val="007D274C"/>
    <w:rsid w:val="007D53AB"/>
    <w:rsid w:val="007D6842"/>
    <w:rsid w:val="007E4157"/>
    <w:rsid w:val="007F176B"/>
    <w:rsid w:val="007F1D6D"/>
    <w:rsid w:val="007F1DB7"/>
    <w:rsid w:val="007F2AA8"/>
    <w:rsid w:val="007F2F8B"/>
    <w:rsid w:val="007F3C28"/>
    <w:rsid w:val="007F56A0"/>
    <w:rsid w:val="007F5A59"/>
    <w:rsid w:val="007F6F02"/>
    <w:rsid w:val="007F7292"/>
    <w:rsid w:val="00800A58"/>
    <w:rsid w:val="008052BD"/>
    <w:rsid w:val="00810A43"/>
    <w:rsid w:val="00814D8D"/>
    <w:rsid w:val="00814E63"/>
    <w:rsid w:val="008335E9"/>
    <w:rsid w:val="00841E6A"/>
    <w:rsid w:val="008432E2"/>
    <w:rsid w:val="00847310"/>
    <w:rsid w:val="008547FE"/>
    <w:rsid w:val="008563D3"/>
    <w:rsid w:val="00867379"/>
    <w:rsid w:val="00867D64"/>
    <w:rsid w:val="00870CB1"/>
    <w:rsid w:val="008711A4"/>
    <w:rsid w:val="0087592C"/>
    <w:rsid w:val="0087599E"/>
    <w:rsid w:val="00884501"/>
    <w:rsid w:val="00884BAD"/>
    <w:rsid w:val="00887B46"/>
    <w:rsid w:val="00892621"/>
    <w:rsid w:val="00892F4A"/>
    <w:rsid w:val="00893905"/>
    <w:rsid w:val="0089656C"/>
    <w:rsid w:val="008A13E4"/>
    <w:rsid w:val="008A2AD5"/>
    <w:rsid w:val="008A4FE7"/>
    <w:rsid w:val="008A6843"/>
    <w:rsid w:val="008B1271"/>
    <w:rsid w:val="008B3157"/>
    <w:rsid w:val="008C2445"/>
    <w:rsid w:val="008C5224"/>
    <w:rsid w:val="008C5D01"/>
    <w:rsid w:val="008D2972"/>
    <w:rsid w:val="008D3043"/>
    <w:rsid w:val="008D5AC4"/>
    <w:rsid w:val="008D6623"/>
    <w:rsid w:val="008E0228"/>
    <w:rsid w:val="008E3306"/>
    <w:rsid w:val="008E4E42"/>
    <w:rsid w:val="008F0A13"/>
    <w:rsid w:val="008F1665"/>
    <w:rsid w:val="008F1822"/>
    <w:rsid w:val="008F23AC"/>
    <w:rsid w:val="008F23E7"/>
    <w:rsid w:val="008F4B6B"/>
    <w:rsid w:val="008F6A1C"/>
    <w:rsid w:val="0090034F"/>
    <w:rsid w:val="0090124C"/>
    <w:rsid w:val="00905771"/>
    <w:rsid w:val="009117FD"/>
    <w:rsid w:val="00913A41"/>
    <w:rsid w:val="00916CE7"/>
    <w:rsid w:val="00921671"/>
    <w:rsid w:val="00923859"/>
    <w:rsid w:val="00927234"/>
    <w:rsid w:val="00931741"/>
    <w:rsid w:val="009336F6"/>
    <w:rsid w:val="009370D6"/>
    <w:rsid w:val="009453D3"/>
    <w:rsid w:val="009466DA"/>
    <w:rsid w:val="00952EF8"/>
    <w:rsid w:val="00953C9A"/>
    <w:rsid w:val="0095439E"/>
    <w:rsid w:val="00954E35"/>
    <w:rsid w:val="00955055"/>
    <w:rsid w:val="009619BF"/>
    <w:rsid w:val="00961BB4"/>
    <w:rsid w:val="00965795"/>
    <w:rsid w:val="00970648"/>
    <w:rsid w:val="00972F62"/>
    <w:rsid w:val="009778A2"/>
    <w:rsid w:val="00986471"/>
    <w:rsid w:val="00986A1E"/>
    <w:rsid w:val="0098763F"/>
    <w:rsid w:val="0099049D"/>
    <w:rsid w:val="0099094C"/>
    <w:rsid w:val="00992664"/>
    <w:rsid w:val="009956FD"/>
    <w:rsid w:val="00997F92"/>
    <w:rsid w:val="009A06D9"/>
    <w:rsid w:val="009A6CE4"/>
    <w:rsid w:val="009A7AA8"/>
    <w:rsid w:val="009A7D3D"/>
    <w:rsid w:val="009B2F59"/>
    <w:rsid w:val="009B35B6"/>
    <w:rsid w:val="009C0101"/>
    <w:rsid w:val="009C1691"/>
    <w:rsid w:val="009C3FE3"/>
    <w:rsid w:val="009E066A"/>
    <w:rsid w:val="009E12A8"/>
    <w:rsid w:val="009E16DB"/>
    <w:rsid w:val="009E4513"/>
    <w:rsid w:val="009E652B"/>
    <w:rsid w:val="009F32F2"/>
    <w:rsid w:val="00A03572"/>
    <w:rsid w:val="00A04BA1"/>
    <w:rsid w:val="00A05906"/>
    <w:rsid w:val="00A07CB7"/>
    <w:rsid w:val="00A14F62"/>
    <w:rsid w:val="00A20634"/>
    <w:rsid w:val="00A23A11"/>
    <w:rsid w:val="00A23B08"/>
    <w:rsid w:val="00A250E1"/>
    <w:rsid w:val="00A30613"/>
    <w:rsid w:val="00A330B0"/>
    <w:rsid w:val="00A33671"/>
    <w:rsid w:val="00A346AB"/>
    <w:rsid w:val="00A35CDD"/>
    <w:rsid w:val="00A43B12"/>
    <w:rsid w:val="00A44589"/>
    <w:rsid w:val="00A44B0B"/>
    <w:rsid w:val="00A4685D"/>
    <w:rsid w:val="00A52364"/>
    <w:rsid w:val="00A52729"/>
    <w:rsid w:val="00A56FC2"/>
    <w:rsid w:val="00A57473"/>
    <w:rsid w:val="00A57599"/>
    <w:rsid w:val="00A57C60"/>
    <w:rsid w:val="00A64D24"/>
    <w:rsid w:val="00A65D66"/>
    <w:rsid w:val="00A66F06"/>
    <w:rsid w:val="00A735C4"/>
    <w:rsid w:val="00A74007"/>
    <w:rsid w:val="00A76A1D"/>
    <w:rsid w:val="00A77D52"/>
    <w:rsid w:val="00A802C2"/>
    <w:rsid w:val="00A811B1"/>
    <w:rsid w:val="00A82C5D"/>
    <w:rsid w:val="00A8728D"/>
    <w:rsid w:val="00A91B2D"/>
    <w:rsid w:val="00A972AA"/>
    <w:rsid w:val="00AA064E"/>
    <w:rsid w:val="00AA2E63"/>
    <w:rsid w:val="00AA4A61"/>
    <w:rsid w:val="00AB3B1B"/>
    <w:rsid w:val="00AB4B72"/>
    <w:rsid w:val="00AB783F"/>
    <w:rsid w:val="00AC0A3F"/>
    <w:rsid w:val="00AD2613"/>
    <w:rsid w:val="00AD4BC9"/>
    <w:rsid w:val="00AD57FC"/>
    <w:rsid w:val="00AD7990"/>
    <w:rsid w:val="00AE3280"/>
    <w:rsid w:val="00AE35A5"/>
    <w:rsid w:val="00AE4A9C"/>
    <w:rsid w:val="00AF26E3"/>
    <w:rsid w:val="00AF6BD5"/>
    <w:rsid w:val="00B024B5"/>
    <w:rsid w:val="00B0399E"/>
    <w:rsid w:val="00B046BC"/>
    <w:rsid w:val="00B04941"/>
    <w:rsid w:val="00B052BC"/>
    <w:rsid w:val="00B05691"/>
    <w:rsid w:val="00B10DED"/>
    <w:rsid w:val="00B121B6"/>
    <w:rsid w:val="00B13932"/>
    <w:rsid w:val="00B1697B"/>
    <w:rsid w:val="00B23736"/>
    <w:rsid w:val="00B23DD6"/>
    <w:rsid w:val="00B25A1D"/>
    <w:rsid w:val="00B26D18"/>
    <w:rsid w:val="00B407CC"/>
    <w:rsid w:val="00B41286"/>
    <w:rsid w:val="00B44B6E"/>
    <w:rsid w:val="00B45759"/>
    <w:rsid w:val="00B4628F"/>
    <w:rsid w:val="00B51B07"/>
    <w:rsid w:val="00B51D9E"/>
    <w:rsid w:val="00B53285"/>
    <w:rsid w:val="00B57BEE"/>
    <w:rsid w:val="00B628D9"/>
    <w:rsid w:val="00B64101"/>
    <w:rsid w:val="00B64D9D"/>
    <w:rsid w:val="00B66799"/>
    <w:rsid w:val="00B760B8"/>
    <w:rsid w:val="00B76E42"/>
    <w:rsid w:val="00B829EE"/>
    <w:rsid w:val="00B84803"/>
    <w:rsid w:val="00B84D32"/>
    <w:rsid w:val="00B868CD"/>
    <w:rsid w:val="00B9237F"/>
    <w:rsid w:val="00B9272C"/>
    <w:rsid w:val="00B97134"/>
    <w:rsid w:val="00BA07C6"/>
    <w:rsid w:val="00BA24A3"/>
    <w:rsid w:val="00BA3CF1"/>
    <w:rsid w:val="00BA4490"/>
    <w:rsid w:val="00BA5213"/>
    <w:rsid w:val="00BA559B"/>
    <w:rsid w:val="00BA7BA0"/>
    <w:rsid w:val="00BB05F8"/>
    <w:rsid w:val="00BB4F2D"/>
    <w:rsid w:val="00BB5DA7"/>
    <w:rsid w:val="00BB6B15"/>
    <w:rsid w:val="00BC0343"/>
    <w:rsid w:val="00BC1DE3"/>
    <w:rsid w:val="00BC4C2E"/>
    <w:rsid w:val="00BC521C"/>
    <w:rsid w:val="00BC643B"/>
    <w:rsid w:val="00BC6A70"/>
    <w:rsid w:val="00BD6586"/>
    <w:rsid w:val="00BE08A0"/>
    <w:rsid w:val="00BE1656"/>
    <w:rsid w:val="00BE75D7"/>
    <w:rsid w:val="00BF3A47"/>
    <w:rsid w:val="00BF5D37"/>
    <w:rsid w:val="00C02029"/>
    <w:rsid w:val="00C079A4"/>
    <w:rsid w:val="00C12193"/>
    <w:rsid w:val="00C2022A"/>
    <w:rsid w:val="00C21DFC"/>
    <w:rsid w:val="00C24308"/>
    <w:rsid w:val="00C26417"/>
    <w:rsid w:val="00C26492"/>
    <w:rsid w:val="00C300FE"/>
    <w:rsid w:val="00C31FAA"/>
    <w:rsid w:val="00C34388"/>
    <w:rsid w:val="00C353F5"/>
    <w:rsid w:val="00C36218"/>
    <w:rsid w:val="00C36EC2"/>
    <w:rsid w:val="00C438FB"/>
    <w:rsid w:val="00C456B0"/>
    <w:rsid w:val="00C46C64"/>
    <w:rsid w:val="00C47148"/>
    <w:rsid w:val="00C529DA"/>
    <w:rsid w:val="00C5705B"/>
    <w:rsid w:val="00C61F54"/>
    <w:rsid w:val="00C63D9B"/>
    <w:rsid w:val="00C6454A"/>
    <w:rsid w:val="00C6773D"/>
    <w:rsid w:val="00C67841"/>
    <w:rsid w:val="00C71F60"/>
    <w:rsid w:val="00C76726"/>
    <w:rsid w:val="00C810BE"/>
    <w:rsid w:val="00C82178"/>
    <w:rsid w:val="00C8307F"/>
    <w:rsid w:val="00C84469"/>
    <w:rsid w:val="00C8518E"/>
    <w:rsid w:val="00C92C20"/>
    <w:rsid w:val="00C93FF0"/>
    <w:rsid w:val="00C94167"/>
    <w:rsid w:val="00C97491"/>
    <w:rsid w:val="00C979B5"/>
    <w:rsid w:val="00CA2CC8"/>
    <w:rsid w:val="00CA2F26"/>
    <w:rsid w:val="00CA3A63"/>
    <w:rsid w:val="00CA3AC9"/>
    <w:rsid w:val="00CA69C7"/>
    <w:rsid w:val="00CB16E5"/>
    <w:rsid w:val="00CB490E"/>
    <w:rsid w:val="00CC4F73"/>
    <w:rsid w:val="00CC53FE"/>
    <w:rsid w:val="00CC6E2E"/>
    <w:rsid w:val="00CC6F3D"/>
    <w:rsid w:val="00CD2537"/>
    <w:rsid w:val="00CD7524"/>
    <w:rsid w:val="00CF02D8"/>
    <w:rsid w:val="00CF193A"/>
    <w:rsid w:val="00CF1EA9"/>
    <w:rsid w:val="00CF310C"/>
    <w:rsid w:val="00CF52E5"/>
    <w:rsid w:val="00CF7043"/>
    <w:rsid w:val="00D0029D"/>
    <w:rsid w:val="00D00A2A"/>
    <w:rsid w:val="00D03694"/>
    <w:rsid w:val="00D05C70"/>
    <w:rsid w:val="00D05DC3"/>
    <w:rsid w:val="00D11889"/>
    <w:rsid w:val="00D15DA9"/>
    <w:rsid w:val="00D1754F"/>
    <w:rsid w:val="00D22882"/>
    <w:rsid w:val="00D22B13"/>
    <w:rsid w:val="00D24837"/>
    <w:rsid w:val="00D25503"/>
    <w:rsid w:val="00D304A7"/>
    <w:rsid w:val="00D33B80"/>
    <w:rsid w:val="00D34294"/>
    <w:rsid w:val="00D44A28"/>
    <w:rsid w:val="00D4584C"/>
    <w:rsid w:val="00D464C3"/>
    <w:rsid w:val="00D509E2"/>
    <w:rsid w:val="00D50D03"/>
    <w:rsid w:val="00D51D79"/>
    <w:rsid w:val="00D57D29"/>
    <w:rsid w:val="00D67864"/>
    <w:rsid w:val="00D73C91"/>
    <w:rsid w:val="00D7498F"/>
    <w:rsid w:val="00D83857"/>
    <w:rsid w:val="00D85AE6"/>
    <w:rsid w:val="00D86B92"/>
    <w:rsid w:val="00D915F7"/>
    <w:rsid w:val="00D92535"/>
    <w:rsid w:val="00D97850"/>
    <w:rsid w:val="00DA003E"/>
    <w:rsid w:val="00DA18D0"/>
    <w:rsid w:val="00DA21E4"/>
    <w:rsid w:val="00DA29F1"/>
    <w:rsid w:val="00DB1351"/>
    <w:rsid w:val="00DB5286"/>
    <w:rsid w:val="00DB65F2"/>
    <w:rsid w:val="00DC15A1"/>
    <w:rsid w:val="00DC3045"/>
    <w:rsid w:val="00DC408C"/>
    <w:rsid w:val="00DC698F"/>
    <w:rsid w:val="00DD05BD"/>
    <w:rsid w:val="00DD1166"/>
    <w:rsid w:val="00DE007F"/>
    <w:rsid w:val="00DE2711"/>
    <w:rsid w:val="00DE2828"/>
    <w:rsid w:val="00DE4B70"/>
    <w:rsid w:val="00DE702D"/>
    <w:rsid w:val="00DF213B"/>
    <w:rsid w:val="00DF46DB"/>
    <w:rsid w:val="00E04956"/>
    <w:rsid w:val="00E0793F"/>
    <w:rsid w:val="00E21549"/>
    <w:rsid w:val="00E24DA6"/>
    <w:rsid w:val="00E2766F"/>
    <w:rsid w:val="00E35ACE"/>
    <w:rsid w:val="00E35CC4"/>
    <w:rsid w:val="00E36A00"/>
    <w:rsid w:val="00E42E68"/>
    <w:rsid w:val="00E44A73"/>
    <w:rsid w:val="00E44DD4"/>
    <w:rsid w:val="00E465EF"/>
    <w:rsid w:val="00E479EF"/>
    <w:rsid w:val="00E47B85"/>
    <w:rsid w:val="00E50546"/>
    <w:rsid w:val="00E510CA"/>
    <w:rsid w:val="00E53097"/>
    <w:rsid w:val="00E536E7"/>
    <w:rsid w:val="00E54142"/>
    <w:rsid w:val="00E5494E"/>
    <w:rsid w:val="00E563CE"/>
    <w:rsid w:val="00E5716E"/>
    <w:rsid w:val="00E61B7F"/>
    <w:rsid w:val="00E627A5"/>
    <w:rsid w:val="00E66243"/>
    <w:rsid w:val="00E66C40"/>
    <w:rsid w:val="00E67744"/>
    <w:rsid w:val="00E71360"/>
    <w:rsid w:val="00E72039"/>
    <w:rsid w:val="00E7468E"/>
    <w:rsid w:val="00E76CA6"/>
    <w:rsid w:val="00E76CE0"/>
    <w:rsid w:val="00E77E0B"/>
    <w:rsid w:val="00E81D17"/>
    <w:rsid w:val="00E82A78"/>
    <w:rsid w:val="00E83B3B"/>
    <w:rsid w:val="00E84471"/>
    <w:rsid w:val="00E90303"/>
    <w:rsid w:val="00E93A3C"/>
    <w:rsid w:val="00E94534"/>
    <w:rsid w:val="00E97F39"/>
    <w:rsid w:val="00EA0DBD"/>
    <w:rsid w:val="00EA26FB"/>
    <w:rsid w:val="00EA5315"/>
    <w:rsid w:val="00EB2D31"/>
    <w:rsid w:val="00EB4A15"/>
    <w:rsid w:val="00EC1A0C"/>
    <w:rsid w:val="00EC26A5"/>
    <w:rsid w:val="00EC4251"/>
    <w:rsid w:val="00ED2B62"/>
    <w:rsid w:val="00ED3574"/>
    <w:rsid w:val="00ED6794"/>
    <w:rsid w:val="00EE04E9"/>
    <w:rsid w:val="00EE0A0D"/>
    <w:rsid w:val="00EE14C2"/>
    <w:rsid w:val="00EE56AD"/>
    <w:rsid w:val="00EE5E00"/>
    <w:rsid w:val="00EE602E"/>
    <w:rsid w:val="00EE7869"/>
    <w:rsid w:val="00EF1608"/>
    <w:rsid w:val="00EF5FE9"/>
    <w:rsid w:val="00F01973"/>
    <w:rsid w:val="00F01FFC"/>
    <w:rsid w:val="00F056E2"/>
    <w:rsid w:val="00F063DB"/>
    <w:rsid w:val="00F07A35"/>
    <w:rsid w:val="00F10F18"/>
    <w:rsid w:val="00F14540"/>
    <w:rsid w:val="00F2165E"/>
    <w:rsid w:val="00F23558"/>
    <w:rsid w:val="00F23C39"/>
    <w:rsid w:val="00F257A2"/>
    <w:rsid w:val="00F27018"/>
    <w:rsid w:val="00F3113D"/>
    <w:rsid w:val="00F3315D"/>
    <w:rsid w:val="00F334A9"/>
    <w:rsid w:val="00F335A5"/>
    <w:rsid w:val="00F44110"/>
    <w:rsid w:val="00F5125D"/>
    <w:rsid w:val="00F53808"/>
    <w:rsid w:val="00F546F3"/>
    <w:rsid w:val="00F67357"/>
    <w:rsid w:val="00F67901"/>
    <w:rsid w:val="00F700AB"/>
    <w:rsid w:val="00F7359B"/>
    <w:rsid w:val="00F73D06"/>
    <w:rsid w:val="00F74582"/>
    <w:rsid w:val="00F768C4"/>
    <w:rsid w:val="00F82CFA"/>
    <w:rsid w:val="00F83425"/>
    <w:rsid w:val="00F8732A"/>
    <w:rsid w:val="00F91042"/>
    <w:rsid w:val="00F95483"/>
    <w:rsid w:val="00F9560A"/>
    <w:rsid w:val="00F9604E"/>
    <w:rsid w:val="00F9742A"/>
    <w:rsid w:val="00FA1655"/>
    <w:rsid w:val="00FA3046"/>
    <w:rsid w:val="00FA33B6"/>
    <w:rsid w:val="00FA726B"/>
    <w:rsid w:val="00FB0344"/>
    <w:rsid w:val="00FB1E9F"/>
    <w:rsid w:val="00FB2E18"/>
    <w:rsid w:val="00FB4CEB"/>
    <w:rsid w:val="00FB70B8"/>
    <w:rsid w:val="00FB7AD4"/>
    <w:rsid w:val="00FC05CC"/>
    <w:rsid w:val="00FC30C7"/>
    <w:rsid w:val="00FC3A58"/>
    <w:rsid w:val="00FD04CA"/>
    <w:rsid w:val="00FD06EC"/>
    <w:rsid w:val="00FD2A06"/>
    <w:rsid w:val="00FD2A33"/>
    <w:rsid w:val="00FD5384"/>
    <w:rsid w:val="00FE090F"/>
    <w:rsid w:val="00FF4CEE"/>
    <w:rsid w:val="00FF524E"/>
    <w:rsid w:val="00FF668C"/>
    <w:rsid w:val="00FF67CE"/>
    <w:rsid w:val="02A604E3"/>
    <w:rsid w:val="03E3631A"/>
    <w:rsid w:val="0B991405"/>
    <w:rsid w:val="100B5616"/>
    <w:rsid w:val="152D0E63"/>
    <w:rsid w:val="1759391E"/>
    <w:rsid w:val="189C2603"/>
    <w:rsid w:val="1B866036"/>
    <w:rsid w:val="2011123A"/>
    <w:rsid w:val="23593F7A"/>
    <w:rsid w:val="26974D58"/>
    <w:rsid w:val="270C2F8F"/>
    <w:rsid w:val="2F236894"/>
    <w:rsid w:val="323D3E08"/>
    <w:rsid w:val="36715DA0"/>
    <w:rsid w:val="3D1617E6"/>
    <w:rsid w:val="43062709"/>
    <w:rsid w:val="47AC19BE"/>
    <w:rsid w:val="4B967555"/>
    <w:rsid w:val="536D44EE"/>
    <w:rsid w:val="5AFF37D6"/>
    <w:rsid w:val="5BDC40BB"/>
    <w:rsid w:val="5F030FB2"/>
    <w:rsid w:val="645E403E"/>
    <w:rsid w:val="665C6035"/>
    <w:rsid w:val="6B6FFB50"/>
    <w:rsid w:val="6DF7744C"/>
    <w:rsid w:val="77B1D7F5"/>
    <w:rsid w:val="7E6F3626"/>
    <w:rsid w:val="7FF99102"/>
    <w:rsid w:val="FD9B02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kern w:val="2"/>
      <w:sz w:val="18"/>
      <w:szCs w:val="18"/>
    </w:rPr>
  </w:style>
  <w:style w:type="character" w:customStyle="1" w:styleId="12">
    <w:name w:val="页脚 字符"/>
    <w:basedOn w:val="9"/>
    <w:link w:val="4"/>
    <w:qFormat/>
    <w:uiPriority w:val="99"/>
    <w:rPr>
      <w:kern w:val="2"/>
      <w:sz w:val="18"/>
      <w:szCs w:val="18"/>
    </w:rPr>
  </w:style>
  <w:style w:type="paragraph" w:styleId="13">
    <w:name w:val="List Paragraph"/>
    <w:basedOn w:val="1"/>
    <w:qFormat/>
    <w:uiPriority w:val="99"/>
    <w:pPr>
      <w:ind w:firstLine="420" w:firstLineChars="200"/>
    </w:p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5">
    <w:name w:val="fontstyle01"/>
    <w:basedOn w:val="9"/>
    <w:qFormat/>
    <w:uiPriority w:val="0"/>
    <w:rPr>
      <w:rFonts w:hint="eastAsia" w:ascii="宋体" w:hAnsi="宋体" w:eastAsia="宋体"/>
      <w:color w:val="000000"/>
      <w:sz w:val="20"/>
      <w:szCs w:val="20"/>
    </w:rPr>
  </w:style>
  <w:style w:type="character" w:customStyle="1" w:styleId="16">
    <w:name w:val="批注框文本 字符"/>
    <w:basedOn w:val="9"/>
    <w:link w:val="3"/>
    <w:semiHidden/>
    <w:qFormat/>
    <w:uiPriority w:val="99"/>
    <w:rPr>
      <w:kern w:val="2"/>
      <w:sz w:val="18"/>
      <w:szCs w:val="18"/>
    </w:rPr>
  </w:style>
  <w:style w:type="character" w:customStyle="1" w:styleId="17">
    <w:name w:val="批注文字 字符"/>
    <w:basedOn w:val="9"/>
    <w:link w:val="2"/>
    <w:qFormat/>
    <w:uiPriority w:val="99"/>
    <w:rPr>
      <w:kern w:val="2"/>
      <w:sz w:val="21"/>
      <w:szCs w:val="22"/>
    </w:rPr>
  </w:style>
  <w:style w:type="character" w:customStyle="1" w:styleId="18">
    <w:name w:val="批注主题 字符"/>
    <w:basedOn w:val="17"/>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47306c7e-fe8e-49a1-87ae-0193ac55acc3</errorID>
      <errorWord>(</errorWord>
      <group>L1_Format</group>
      <groupName>格式问题</groupName>
      <ability>L2_HalfPunc</ability>
      <abilityName>全半角检查</abilityName>
      <candidateList>
        <item>（</item>
      </candidateList>
      <explain>文本全半角错误。</explain>
      <paraID>181FE47F</paraID>
      <start>10</start>
      <end>11</end>
      <status>modified</status>
      <modifiedWord>（</modifiedWord>
      <trackRevisions>false</trackRevisions>
    </reviewItem>
    <reviewItem>
      <errorID>593c4b9d-376e-45d9-a2c0-4a2e5652f539</errorID>
      <errorWord>)</errorWord>
      <group>L1_Format</group>
      <groupName>格式问题</groupName>
      <ability>L2_HalfPunc</ability>
      <abilityName>全半角检查</abilityName>
      <candidateList>
        <item>）</item>
      </candidateList>
      <explain>文本全半角错误。</explain>
      <paraID>181FE47F</paraID>
      <start>14</start>
      <end>15</end>
      <status>modified</status>
      <modifiedWord>）</modifiedWord>
      <trackRevisions>false</trackRevisions>
    </reviewItem>
    <reviewItem>
      <errorID>f755aa9e-2e99-483a-b6a0-4bab51898346</errorID>
      <errorWord>在</errorWord>
      <group>L1_Grammar</group>
      <groupName>语法问题</groupName>
      <ability>L2_Order</ability>
      <abilityName>语序不当</abilityName>
      <candidateList>
        <item>公司在</item>
      </candidateList>
      <explain>句子可能没有遵循时空、逻辑顺序，或者介词、关联词等位置不当。</explain>
      <paraID> BA48F61</paraID>
      <start>73</start>
      <end>76</end>
      <status>modified</status>
      <modifiedWord>公司在</modifiedWord>
      <trackRevisions>false</trackRevisions>
    </reviewItem>
    <reviewItem>
      <errorID>6bbdf1bf-7c39-4eab-bd9b-6c440f68304e</errorID>
      <errorWord>双碳</errorWord>
      <group>L1_Political</group>
      <groupName>政治性问题</groupName>
      <ability>L2_Keyword</ability>
      <abilityName>固定表述</abilityName>
      <candidateList>
        <item>“双碳”</item>
      </candidateList>
      <explain>注意检查当前固定表述标点是否使用规范。</explain>
      <paraID>17BC3259</paraID>
      <start>23</start>
      <end>25</end>
      <status>unmodified</status>
      <modifiedWord/>
      <trackRevisions>false</trackRevisions>
    </reviewItem>
    <reviewItem>
      <errorID>436b2c95-c061-45c0-8084-a85512dd2439</errorID>
      <errorWord>科技创新与产业创新的深度融合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词汇“科技创新与产业创新深度融合”在特定场景下为固定表述形式，请确认此处的“科技创新与产业创新的深度融合”是否存在不当。</explain>
      <paraID>5C5F165C</paraID>
      <start>326</start>
      <end>340</end>
      <status>unmodified</status>
      <modifiedWord/>
      <trackRevisions>false</trackRevisions>
    </reviewItem>
    <reviewItem>
      <errorID>af95ef72-e6f2-454e-963e-e76e57448810</errorID>
      <errorWord>司</errorWord>
      <group>L1_Word</group>
      <groupName>字词问题</groupName>
      <ability>L2_Typo</ability>
      <abilityName>字词错误</abilityName>
      <candidateList>
        <item>司是</item>
      </candidateList>
      <explain/>
      <paraID> 7C2E270</paraID>
      <start>38</start>
      <end>39</end>
      <status>unmodified</status>
      <modifiedWord/>
      <trackRevisions>false</trackRevisions>
    </reviewItem>
    <reviewItem>
      <errorID>c547bdc5-fc55-4139-b4f7-3cf6f594964a</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71BEBF16</paraID>
      <start>74</start>
      <end>76</end>
      <status>unmodified</status>
      <modifiedWord/>
      <trackRevisions>false</trackRevisions>
    </reviewItem>
  </reviewItems>
  <config/>
</contractReview>
</file>

<file path=customXml/itemProps1.xml><?xml version="1.0" encoding="utf-8"?>
<ds:datastoreItem xmlns:ds="http://schemas.openxmlformats.org/officeDocument/2006/customXml" ds:itemID="{F272E045-4B6B-4093-A643-24130CE8304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4271</Words>
  <Characters>4398</Characters>
  <Lines>31</Lines>
  <Paragraphs>8</Paragraphs>
  <TotalTime>55</TotalTime>
  <ScaleCrop>false</ScaleCrop>
  <LinksUpToDate>false</LinksUpToDate>
  <CharactersWithSpaces>4428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2023-11-01T05:27:00Z</dcterms:created>
  <dc:creator>郭枫</dc:creator>
  <cp:lastModifiedBy>lijh</cp:lastModifiedBy>
  <cp:lastPrinted>2026-08-28T06:34:00Z</cp:lastPrinted>
  <dcterms:modified xsi:type="dcterms:W3CDTF">2026-08-28T10:15:52Z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eyJoZGlkIjoiNjhjMjM5NzdlMDliZGE2YWYzMWM2MmM5ZGQzYjIxOTMiLCJ1c2VySWQiOiIyMTM1MjgwMTYifQ==</vt:lpwstr>
  </property>
  <property fmtid="{D5CDD505-2E9C-101B-9397-08002B2CF9AE}" pid="4" name="ICV">
    <vt:lpwstr>436A2F53B3ED4609852CE9E4C60BA6F9_12</vt:lpwstr>
  </property>
</Properties>
</file>