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FDF07">
      <w:pPr>
        <w:spacing w:after="156" w:afterLines="50" w:line="400" w:lineRule="exact"/>
        <w:rPr>
          <w:bCs/>
          <w:iCs/>
          <w:color w:val="000000"/>
          <w:sz w:val="24"/>
        </w:rPr>
      </w:pPr>
      <w:r>
        <w:rPr>
          <w:bCs/>
          <w:iCs/>
          <w:color w:val="000000"/>
          <w:sz w:val="24"/>
        </w:rPr>
        <w:t>证券代码：</w:t>
      </w:r>
      <w:r>
        <w:rPr>
          <w:color w:val="000000"/>
          <w:sz w:val="24"/>
        </w:rPr>
        <w:t xml:space="preserve">600600                    </w:t>
      </w:r>
      <w:r>
        <w:rPr>
          <w:rFonts w:hint="eastAsia"/>
          <w:color w:val="000000"/>
          <w:sz w:val="24"/>
        </w:rPr>
        <w:t xml:space="preserve">       </w:t>
      </w:r>
      <w:r>
        <w:rPr>
          <w:color w:val="000000"/>
          <w:sz w:val="24"/>
        </w:rPr>
        <w:t xml:space="preserve">         </w:t>
      </w:r>
      <w:r>
        <w:rPr>
          <w:bCs/>
          <w:iCs/>
          <w:color w:val="000000"/>
          <w:sz w:val="24"/>
        </w:rPr>
        <w:t>证券简称：</w:t>
      </w:r>
      <w:r>
        <w:rPr>
          <w:color w:val="000000"/>
          <w:sz w:val="24"/>
        </w:rPr>
        <w:t>青岛啤酒</w:t>
      </w:r>
    </w:p>
    <w:p w14:paraId="2E7BDA3F">
      <w:pPr>
        <w:snapToGrid w:val="0"/>
        <w:spacing w:line="312" w:lineRule="auto"/>
        <w:jc w:val="center"/>
        <w:rPr>
          <w:b/>
          <w:bCs/>
          <w:iCs/>
          <w:color w:val="000000"/>
          <w:sz w:val="28"/>
          <w:szCs w:val="28"/>
        </w:rPr>
      </w:pPr>
    </w:p>
    <w:p w14:paraId="60708065">
      <w:pPr>
        <w:snapToGrid w:val="0"/>
        <w:spacing w:line="312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青岛啤酒股份有限公司</w:t>
      </w:r>
      <w:r>
        <w:rPr>
          <w:rFonts w:hint="eastAsia"/>
          <w:b/>
          <w:bCs/>
          <w:iCs/>
          <w:color w:val="000000"/>
          <w:sz w:val="28"/>
          <w:szCs w:val="28"/>
        </w:rPr>
        <w:t>投资者关系活动记录表</w:t>
      </w:r>
    </w:p>
    <w:p w14:paraId="56FA96E7">
      <w:pPr>
        <w:snapToGrid w:val="0"/>
        <w:spacing w:line="312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2026</w:t>
      </w:r>
      <w:r>
        <w:rPr>
          <w:rFonts w:hint="eastAsia"/>
          <w:b/>
          <w:bCs/>
          <w:iCs/>
          <w:color w:val="000000"/>
          <w:sz w:val="28"/>
          <w:szCs w:val="28"/>
        </w:rPr>
        <w:t>年半</w:t>
      </w:r>
      <w:r>
        <w:rPr>
          <w:b/>
          <w:bCs/>
          <w:iCs/>
          <w:color w:val="000000"/>
          <w:sz w:val="28"/>
          <w:szCs w:val="28"/>
        </w:rPr>
        <w:t>年</w:t>
      </w:r>
      <w:r>
        <w:rPr>
          <w:rFonts w:hint="eastAsia"/>
          <w:b/>
          <w:bCs/>
          <w:iCs/>
          <w:color w:val="000000"/>
          <w:sz w:val="28"/>
          <w:szCs w:val="28"/>
        </w:rPr>
        <w:t>度业绩说明会</w:t>
      </w:r>
    </w:p>
    <w:tbl>
      <w:tblPr>
        <w:tblStyle w:val="5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8"/>
        <w:gridCol w:w="6391"/>
      </w:tblGrid>
      <w:tr w14:paraId="3DA9CECB"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C118E">
            <w:pPr>
              <w:snapToGrid w:val="0"/>
              <w:spacing w:line="312" w:lineRule="auto"/>
              <w:rPr>
                <w:b/>
                <w:iCs/>
                <w:color w:val="000000"/>
                <w:kern w:val="0"/>
                <w:sz w:val="24"/>
              </w:rPr>
            </w:pPr>
          </w:p>
          <w:p w14:paraId="40BA552B">
            <w:pPr>
              <w:snapToGrid w:val="0"/>
              <w:spacing w:line="312" w:lineRule="auto"/>
              <w:rPr>
                <w:b/>
                <w:iCs/>
                <w:color w:val="000000"/>
                <w:sz w:val="24"/>
              </w:rPr>
            </w:pPr>
            <w:r>
              <w:rPr>
                <w:b/>
                <w:iCs/>
                <w:color w:val="000000"/>
                <w:kern w:val="0"/>
                <w:sz w:val="24"/>
              </w:rPr>
              <w:t>投资者关系活动类别</w:t>
            </w:r>
          </w:p>
        </w:tc>
        <w:tc>
          <w:tcPr>
            <w:tcW w:w="6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231A1">
            <w:pPr>
              <w:snapToGrid w:val="0"/>
              <w:spacing w:line="312" w:lineRule="auto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特定对象调研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分析师会议</w:t>
            </w:r>
          </w:p>
          <w:p w14:paraId="1D16D39E">
            <w:pPr>
              <w:snapToGrid w:val="0"/>
              <w:spacing w:line="312" w:lineRule="auto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媒体采访            </w:t>
            </w:r>
            <w:r>
              <w:rPr>
                <w:b/>
                <w:iCs/>
                <w:color w:val="000000"/>
                <w:kern w:val="0"/>
                <w:sz w:val="24"/>
              </w:rPr>
              <w:t>√</w:t>
            </w:r>
            <w:r>
              <w:rPr>
                <w:rFonts w:hint="eastAsia"/>
                <w:b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b/>
                <w:kern w:val="0"/>
                <w:sz w:val="24"/>
              </w:rPr>
              <w:t>业绩说明会</w:t>
            </w:r>
          </w:p>
          <w:p w14:paraId="0FC11DFB">
            <w:pPr>
              <w:snapToGrid w:val="0"/>
              <w:spacing w:line="312" w:lineRule="auto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新闻发布会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路演活动</w:t>
            </w:r>
          </w:p>
          <w:p w14:paraId="7EA7E7E4">
            <w:pPr>
              <w:tabs>
                <w:tab w:val="left" w:pos="3045"/>
                <w:tab w:val="center" w:pos="3199"/>
              </w:tabs>
              <w:snapToGrid w:val="0"/>
              <w:spacing w:line="312" w:lineRule="auto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现场参观</w:t>
            </w:r>
          </w:p>
          <w:p w14:paraId="0A782180">
            <w:pPr>
              <w:tabs>
                <w:tab w:val="center" w:pos="3199"/>
              </w:tabs>
              <w:snapToGrid w:val="0"/>
              <w:spacing w:line="312" w:lineRule="auto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其他 （</w:t>
            </w:r>
            <w:r>
              <w:rPr>
                <w:kern w:val="0"/>
                <w:sz w:val="24"/>
                <w:u w:val="single"/>
              </w:rPr>
              <w:t>请文字说明其他活动内容）</w:t>
            </w:r>
          </w:p>
        </w:tc>
      </w:tr>
      <w:tr w14:paraId="785C3AAF"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F0A6D">
            <w:pPr>
              <w:snapToGrid w:val="0"/>
              <w:spacing w:before="156" w:beforeLines="50" w:line="312" w:lineRule="auto"/>
              <w:rPr>
                <w:b/>
                <w:iCs/>
                <w:color w:val="000000"/>
                <w:kern w:val="0"/>
                <w:sz w:val="24"/>
              </w:rPr>
            </w:pPr>
            <w:r>
              <w:rPr>
                <w:b/>
                <w:iCs/>
                <w:color w:val="000000"/>
                <w:kern w:val="0"/>
                <w:sz w:val="24"/>
              </w:rPr>
              <w:t>参与单位名称及人员姓名</w:t>
            </w:r>
          </w:p>
        </w:tc>
        <w:tc>
          <w:tcPr>
            <w:tcW w:w="6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FD8C7">
            <w:pPr>
              <w:snapToGrid w:val="0"/>
              <w:spacing w:before="156" w:beforeLines="50" w:line="312" w:lineRule="auto"/>
              <w:rPr>
                <w:bCs/>
                <w:iCs/>
                <w:color w:val="000000"/>
                <w:sz w:val="24"/>
                <w:lang w:val="en-GB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海内外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投资者</w:t>
            </w:r>
          </w:p>
        </w:tc>
      </w:tr>
      <w:tr w14:paraId="6CF7AD2A"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4371A">
            <w:pPr>
              <w:snapToGrid w:val="0"/>
              <w:spacing w:before="156" w:beforeLines="50" w:line="312" w:lineRule="auto"/>
              <w:rPr>
                <w:b/>
                <w:iCs/>
                <w:color w:val="000000"/>
                <w:kern w:val="0"/>
                <w:sz w:val="24"/>
              </w:rPr>
            </w:pPr>
            <w:r>
              <w:rPr>
                <w:b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6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286BC">
            <w:pPr>
              <w:snapToGrid w:val="0"/>
              <w:spacing w:before="156" w:beforeLines="50" w:line="312" w:lineRule="auto"/>
              <w:jc w:val="left"/>
              <w:rPr>
                <w:bCs/>
                <w:iCs/>
                <w:color w:val="000000"/>
                <w:sz w:val="24"/>
                <w:highlight w:val="yellow"/>
              </w:rPr>
            </w:pPr>
            <w:r>
              <w:rPr>
                <w:bCs/>
                <w:iCs/>
                <w:color w:val="000000"/>
                <w:sz w:val="24"/>
              </w:rPr>
              <w:t>2026年8月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2</w:t>
            </w:r>
            <w:r>
              <w:rPr>
                <w:bCs/>
                <w:iCs/>
                <w:color w:val="000000"/>
                <w:sz w:val="24"/>
              </w:rPr>
              <w:t>8日1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5</w:t>
            </w:r>
            <w:r>
              <w:rPr>
                <w:bCs/>
                <w:iCs/>
                <w:color w:val="000000"/>
                <w:sz w:val="24"/>
              </w:rPr>
              <w:t>: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</w:t>
            </w:r>
            <w:r>
              <w:rPr>
                <w:bCs/>
                <w:iCs/>
                <w:color w:val="000000"/>
                <w:sz w:val="24"/>
              </w:rPr>
              <w:t>0~1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6</w:t>
            </w:r>
            <w:r>
              <w:rPr>
                <w:bCs/>
                <w:iCs/>
                <w:color w:val="000000"/>
                <w:sz w:val="24"/>
              </w:rPr>
              <w:t>: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</w:t>
            </w:r>
            <w:r>
              <w:rPr>
                <w:bCs/>
                <w:iCs/>
                <w:color w:val="000000"/>
                <w:sz w:val="24"/>
              </w:rPr>
              <w:t>0</w:t>
            </w:r>
          </w:p>
        </w:tc>
      </w:tr>
      <w:tr w14:paraId="65E1D55F"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B2069">
            <w:pPr>
              <w:snapToGrid w:val="0"/>
              <w:spacing w:before="156" w:beforeLines="50" w:line="312" w:lineRule="auto"/>
              <w:rPr>
                <w:b/>
                <w:iCs/>
                <w:color w:val="000000"/>
                <w:kern w:val="0"/>
                <w:sz w:val="24"/>
              </w:rPr>
            </w:pPr>
            <w:r>
              <w:rPr>
                <w:b/>
                <w:i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6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75B99">
            <w:pPr>
              <w:snapToGrid w:val="0"/>
              <w:spacing w:before="156" w:beforeLines="50" w:line="312" w:lineRule="auto"/>
              <w:jc w:val="left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sz w:val="24"/>
              </w:rPr>
              <w:t>全景网“</w:t>
            </w:r>
            <w:r>
              <w:rPr>
                <w:rFonts w:cs="宋体"/>
                <w:sz w:val="24"/>
              </w:rPr>
              <w:t>投资者关系互动平台</w:t>
            </w:r>
            <w:r>
              <w:rPr>
                <w:rFonts w:hint="eastAsia"/>
                <w:bCs/>
                <w:sz w:val="24"/>
              </w:rPr>
              <w:t>”（http</w:t>
            </w:r>
            <w:r>
              <w:rPr>
                <w:bCs/>
                <w:sz w:val="24"/>
              </w:rPr>
              <w:t>s</w:t>
            </w:r>
            <w:r>
              <w:rPr>
                <w:rFonts w:hint="eastAsia"/>
                <w:bCs/>
                <w:sz w:val="24"/>
              </w:rPr>
              <w:t>://ir.p5w.net）</w:t>
            </w:r>
          </w:p>
        </w:tc>
      </w:tr>
      <w:tr w14:paraId="5FF268DF"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380B8">
            <w:pPr>
              <w:snapToGrid w:val="0"/>
              <w:spacing w:before="156" w:beforeLines="50" w:line="312" w:lineRule="auto"/>
              <w:rPr>
                <w:b/>
                <w:iCs/>
                <w:color w:val="000000"/>
                <w:kern w:val="0"/>
                <w:sz w:val="24"/>
              </w:rPr>
            </w:pPr>
            <w:r>
              <w:rPr>
                <w:b/>
                <w:iCs/>
                <w:color w:val="000000"/>
                <w:kern w:val="0"/>
                <w:sz w:val="24"/>
              </w:rPr>
              <w:t>上市公司接待人员姓名</w:t>
            </w:r>
          </w:p>
        </w:tc>
        <w:tc>
          <w:tcPr>
            <w:tcW w:w="6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DD934">
            <w:pPr>
              <w:snapToGrid w:val="0"/>
              <w:spacing w:before="156" w:beforeLines="50" w:line="312" w:lineRule="auto"/>
              <w:rPr>
                <w:bCs/>
                <w:sz w:val="24"/>
              </w:rPr>
            </w:pPr>
            <w:r>
              <w:rPr>
                <w:bCs/>
                <w:sz w:val="24"/>
              </w:rPr>
              <w:t>党委书记、董事长姜宗祥</w:t>
            </w:r>
            <w:r>
              <w:rPr>
                <w:rFonts w:hint="eastAsia"/>
                <w:bCs/>
                <w:sz w:val="24"/>
              </w:rPr>
              <w:t>先生，</w:t>
            </w:r>
            <w:r>
              <w:rPr>
                <w:bCs/>
                <w:sz w:val="24"/>
              </w:rPr>
              <w:t>党委委员、执行董事、财务总监</w:t>
            </w:r>
            <w:r>
              <w:rPr>
                <w:rFonts w:hint="eastAsia"/>
                <w:bCs/>
                <w:sz w:val="24"/>
              </w:rPr>
              <w:t>、董事会秘书</w:t>
            </w:r>
            <w:r>
              <w:rPr>
                <w:bCs/>
                <w:sz w:val="24"/>
              </w:rPr>
              <w:t>侯秋燕</w:t>
            </w:r>
            <w:r>
              <w:rPr>
                <w:rFonts w:hint="eastAsia"/>
                <w:bCs/>
                <w:sz w:val="24"/>
              </w:rPr>
              <w:t>先生，</w:t>
            </w:r>
            <w:r>
              <w:rPr>
                <w:bCs/>
                <w:sz w:val="24"/>
              </w:rPr>
              <w:t>独立董事</w:t>
            </w:r>
            <w:r>
              <w:rPr>
                <w:rFonts w:hint="eastAsia"/>
                <w:bCs/>
                <w:sz w:val="24"/>
              </w:rPr>
              <w:t>王亚平先生</w:t>
            </w:r>
          </w:p>
        </w:tc>
      </w:tr>
      <w:tr w14:paraId="07E85D32"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E09B3">
            <w:pPr>
              <w:snapToGrid w:val="0"/>
              <w:spacing w:before="156" w:beforeLines="50" w:line="312" w:lineRule="auto"/>
              <w:rPr>
                <w:b/>
                <w:iCs/>
                <w:color w:val="000000"/>
                <w:kern w:val="0"/>
                <w:sz w:val="24"/>
              </w:rPr>
            </w:pPr>
            <w:r>
              <w:rPr>
                <w:b/>
                <w:iCs/>
                <w:color w:val="000000"/>
                <w:kern w:val="0"/>
                <w:sz w:val="24"/>
              </w:rPr>
              <w:t>投资者关系活动主要内容介绍</w:t>
            </w:r>
          </w:p>
          <w:p w14:paraId="3CB71E4D">
            <w:pPr>
              <w:snapToGrid w:val="0"/>
              <w:spacing w:before="156" w:beforeLines="50" w:line="312" w:lineRule="auto"/>
              <w:rPr>
                <w:b/>
                <w:iCs/>
                <w:color w:val="000000"/>
                <w:sz w:val="24"/>
              </w:rPr>
            </w:pPr>
          </w:p>
        </w:tc>
        <w:tc>
          <w:tcPr>
            <w:tcW w:w="6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9DB13">
            <w:pPr>
              <w:pStyle w:val="8"/>
              <w:widowControl/>
              <w:snapToGrid w:val="0"/>
              <w:spacing w:before="156" w:beforeLines="50" w:line="360" w:lineRule="auto"/>
              <w:ind w:firstLine="480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  <w:t>青啤公司于2026年</w:t>
            </w:r>
            <w:r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  <w:t>月27日披露了202</w:t>
            </w:r>
            <w:r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  <w:t>年半年度报告。为进一步加强与投资者的互动交流，公司召开了202</w:t>
            </w:r>
            <w:r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  <w:t>年半年度业绩说明会。在信息披露允许的范围内，以在线交流形式就投资者关注的公司业绩表现、经营情况等问题进行沟通和交流。投资者提问及公司回复情况如下：</w:t>
            </w:r>
          </w:p>
          <w:p w14:paraId="24EC46D4">
            <w:pPr>
              <w:pStyle w:val="8"/>
              <w:widowControl/>
              <w:snapToGrid w:val="0"/>
              <w:spacing w:before="156" w:beforeLines="50" w:line="360" w:lineRule="auto"/>
              <w:ind w:firstLine="482"/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1.公司账上有大量现金，为什么不学其他同行国企回购注销股份</w:t>
            </w:r>
          </w:p>
          <w:p w14:paraId="355E1A02">
            <w:pPr>
              <w:pStyle w:val="8"/>
              <w:widowControl/>
              <w:snapToGrid w:val="0"/>
              <w:spacing w:before="156" w:beforeLines="50" w:line="360" w:lineRule="auto"/>
              <w:ind w:firstLine="480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答：尊敬的投资者，您好！感谢对本公司的关注。公司将继续做强做优啤酒主业，积极开拓市场，提升公司运营能力，推动高质量发展；同时，公司也将综合运用现金分红、信息披露、投资者关系管理及其他举措加大市值管理力度，为投资者创造更多回报。7月25日，公司披露《控股股东及其一致行动人增持公司股份暨后续增持股份计划公告》，体现了控股股东对公司未来发展信心以及长期价值的认可。谢谢。</w:t>
            </w:r>
          </w:p>
          <w:p w14:paraId="6C363873">
            <w:pPr>
              <w:pStyle w:val="8"/>
              <w:widowControl/>
              <w:snapToGrid w:val="0"/>
              <w:spacing w:before="156" w:beforeLines="50" w:line="360" w:lineRule="auto"/>
              <w:ind w:firstLine="482"/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2.</w:t>
            </w: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姜总您好！请问公司有无制定未来分红计划，有无提高分红金额的规划。谢谢？</w:t>
            </w:r>
          </w:p>
          <w:p w14:paraId="772077BB">
            <w:pPr>
              <w:pStyle w:val="8"/>
              <w:widowControl/>
              <w:snapToGrid w:val="0"/>
              <w:spacing w:before="156" w:beforeLines="50" w:line="360" w:lineRule="auto"/>
              <w:ind w:firstLine="480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答：尊敬的投资者，您好！感谢对本公司的关注。公司高度重视股东合理投资回报，秉承积极回报股东的发展理念，实行持续、稳定的利润分配政策。伴随公司经营业绩的提升，公司已逐年加大对投资者的现金分红力度，2023至2025年度公司每股派发现金红利分别为2.00元（含税）、2.20元（含税）、2.35元（含税）。2025年度分红率已达69%，总金额超32亿元（含税）。谢谢。</w:t>
            </w:r>
          </w:p>
          <w:p w14:paraId="339E26C3">
            <w:pPr>
              <w:pStyle w:val="8"/>
              <w:widowControl/>
              <w:snapToGrid w:val="0"/>
              <w:spacing w:before="156" w:beforeLines="50" w:line="360" w:lineRule="auto"/>
              <w:ind w:firstLine="482"/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3</w:t>
            </w: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.青岛啤酒股份尤其是H股股价大幅波动，请问公司有何市值管理举措？今年分红率是否可以提升呢？不少投资者希望能够有中期分红，把每年1次分红改为2次，可否实现呢？</w:t>
            </w:r>
          </w:p>
          <w:p w14:paraId="784C69BC">
            <w:pPr>
              <w:pStyle w:val="8"/>
              <w:widowControl/>
              <w:snapToGrid w:val="0"/>
              <w:spacing w:before="156" w:beforeLines="50" w:line="360" w:lineRule="auto"/>
              <w:ind w:firstLine="480"/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答：尊敬的投资者，您好！感谢对本公司的关注。公司在做好经营发展的同时，也高度关注在资本市场的表现。公司始终坚定不移做强做优啤酒主业，积极开拓海内外市场，推动生产运营能力的提升。2026年7月25日，公司披露《控股股东及其一致行动人增持公司股份暨后续增持股份计划公告》。未来，公司将持续通过加强与投资者的沟通，加大现金分红等举措，维护广大股东利益。公司秉承积极回报股东的发展理念，实行持续、稳定的利润分配政策。2024年已修订《公司章程》，增加了中期分红的相关条款。伴随公司经营业绩的提升，已逐年加大对投资者的现金分红力度，2023至2025年度公司每股派发现金红利分别为2.00元（含税）、2.20元（含税）、2.35元（含税）。2025年度分红率已达69%，总金额超32亿元（含税）。谢谢。</w:t>
            </w:r>
            <w:bookmarkStart w:id="0" w:name="_GoBack"/>
            <w:bookmarkEnd w:id="0"/>
          </w:p>
          <w:p w14:paraId="5A7ACEB6">
            <w:pPr>
              <w:pStyle w:val="8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line="360" w:lineRule="auto"/>
              <w:ind w:firstLine="482"/>
              <w:textAlignment w:val="auto"/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4</w:t>
            </w: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.公司后续是否有投资收购计划？</w:t>
            </w:r>
          </w:p>
          <w:p w14:paraId="3458FBCD">
            <w:pPr>
              <w:pStyle w:val="8"/>
              <w:widowControl/>
              <w:snapToGrid w:val="0"/>
              <w:spacing w:before="156" w:beforeLines="50" w:line="360" w:lineRule="auto"/>
              <w:ind w:firstLine="480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答：尊敬的投资者，您好！感谢对本公司的关注。当前，国内啤酒行业已进入存量竞争阶段，行业集中度高，行业发展由规模扩张转向结构及盈利能力提升。近年来，公司不断加快新质生产力发展，优化产能提升，加快推进老厂合并、搬迁及智能化工厂建设，已建立较为完善的全国生产及市场布局。未来，若有合适的并购对象及时机，公司也将予以考虑。谢谢。</w:t>
            </w:r>
          </w:p>
          <w:p w14:paraId="54C0BF96">
            <w:pPr>
              <w:pStyle w:val="8"/>
              <w:widowControl/>
              <w:snapToGrid w:val="0"/>
              <w:spacing w:before="156" w:beforeLines="50" w:line="360" w:lineRule="auto"/>
              <w:ind w:firstLine="482"/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5.</w:t>
            </w: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）</w:t>
            </w: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即时零售商和大行商超集团，现在都推出自有品牌的啤酒，公司未来怎么和这些产品竞争中胜出</w:t>
            </w: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；（</w:t>
            </w: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）</w:t>
            </w: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最近两年铝价的在高位，如果持续高位，对于公司成本端的影响有多大</w:t>
            </w:r>
          </w:p>
          <w:p w14:paraId="0182CEB7">
            <w:pPr>
              <w:pStyle w:val="8"/>
              <w:widowControl/>
              <w:snapToGrid w:val="0"/>
              <w:spacing w:before="156" w:beforeLines="50" w:line="360" w:lineRule="auto"/>
              <w:ind w:firstLine="480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答：尊敬的投资者，您好！感谢对本公司的关注。公司与大型商超和即时零售平台均有良好的合作，积极推进青岛啤酒系列产品的销售，上半年，公司在这些渠道的产品销量实现了较高增速。同时，我们也关注到这些渠道都在发展自有品牌，目前公司也与这些渠道合作开发并生产渠道自有品牌，满足消费者多元化需求。今年上半年铝价高位运行，目前来看有回落趋势。公司通过年度协议锁定结合相对低点点价等模式，控制成本上涨幅度。公司也根据铝包装和玻璃瓶包装的原材料价格变化趋势，动态优化产品包装结构比例，对冲铝材价格上涨影响。谢谢。</w:t>
            </w:r>
          </w:p>
          <w:p w14:paraId="1240E134">
            <w:pPr>
              <w:pStyle w:val="8"/>
              <w:widowControl/>
              <w:snapToGrid w:val="0"/>
              <w:spacing w:before="156" w:beforeLines="50" w:line="360" w:lineRule="auto"/>
              <w:ind w:firstLine="482"/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6.</w:t>
            </w: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存款和理财收益并不能带给公司相应回报。公司自身的资本回报，2025年公司总资产回报率9.11，净资产回报率13.83，公司的资本回报远远高于公司存款利息和理财收益，对于回购注销可以增加长期股东利益，不回购注销是对于公司未来没有信心吗</w:t>
            </w:r>
          </w:p>
          <w:p w14:paraId="5E0C4D80">
            <w:pPr>
              <w:pStyle w:val="8"/>
              <w:widowControl/>
              <w:snapToGrid w:val="0"/>
              <w:spacing w:before="156" w:beforeLines="50" w:line="360" w:lineRule="auto"/>
              <w:ind w:firstLine="480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答：尊敬的投资者，您好！感谢对本公司的关注。公司2025年11月28日披露了《关于使用自有资金认购理财产品的公告》（详见上海证券交易所网站），以提升公司闲置自有资金的使用效率、实现公司资本的有效保值增值。2026年上半年，公司资金管理收益较同期增长明显。公司高度重视市值管理，综合运用现金分红、信息披露、投资者关系管理及其他举措加大市值管理力度，为投资者创造更多回报。7月25日，公司披露《控股股东及其一致行动人增持公司股份暨后续增持股份计划公告》，体现了控股股东对公司未来发展信心以及长期价值的认可。谢谢。</w:t>
            </w:r>
          </w:p>
          <w:p w14:paraId="19060307">
            <w:pPr>
              <w:pStyle w:val="8"/>
              <w:widowControl/>
              <w:snapToGrid w:val="0"/>
              <w:spacing w:before="156" w:beforeLines="50" w:line="360" w:lineRule="auto"/>
              <w:ind w:firstLine="482"/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7</w:t>
            </w: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.是否有可能与古茗、瑞幸等企业开展合作拓展鲜啤营销网络，咖啡奶茶店有现成的门面、人员设备，可以有效复用。</w:t>
            </w:r>
          </w:p>
          <w:p w14:paraId="16AEE555">
            <w:pPr>
              <w:pStyle w:val="8"/>
              <w:widowControl/>
              <w:snapToGrid w:val="0"/>
              <w:spacing w:before="156" w:beforeLines="50" w:line="360" w:lineRule="auto"/>
              <w:ind w:firstLine="480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答：尊敬的投资者，您好！公司当前正在与相关具有市场竞争力的企业进行洽谈合作，以进一步拓展生鲜等产品的营销网络，丰富更多消费场景，优化渠道布局，推动传统与新兴渠道协同发力、双向赋能，精准触达多元化消费需求。感谢对本公司的关注，谢谢。</w:t>
            </w:r>
          </w:p>
          <w:p w14:paraId="4EA0B3C9">
            <w:pPr>
              <w:pStyle w:val="8"/>
              <w:widowControl/>
              <w:snapToGrid w:val="0"/>
              <w:spacing w:before="156" w:beforeLines="50" w:line="360" w:lineRule="auto"/>
              <w:ind w:firstLine="482"/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8</w:t>
            </w: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.每年去青岛啤酒博物馆有几百万人，是否有机会增加一些场景和互动，使用更好的体验，使青岛啤酒占领更多消费者心智。</w:t>
            </w:r>
          </w:p>
          <w:p w14:paraId="65159455">
            <w:pPr>
              <w:pStyle w:val="8"/>
              <w:widowControl/>
              <w:snapToGrid w:val="0"/>
              <w:spacing w:before="156" w:beforeLines="50" w:line="360" w:lineRule="auto"/>
              <w:ind w:firstLine="480"/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答：尊敬的投资者，您好！感谢对本公司的关注。青岛啤酒博物馆运营23年以来，已接待超过两千万游客，为消费者打造了集啤酒文化创新体验展陈、特色产品品鉴、沉浸式剧游、科普研学、啤酒文化衍生品创意开发等的深度体验场景；未来仍会不断开发更多的沉浸式体验互动项目。除青岛啤酒博物馆之外，从全国150余家TSINGTAO1903青岛酒馆，到时光海岸精酿啤酒花园、啤酒加油站、啤酒速递局等多元业态，青岛啤酒构建起了覆盖文化体验、即时消费、社交互动的立体场景。谢谢。</w:t>
            </w:r>
          </w:p>
          <w:p w14:paraId="0BBA8F64">
            <w:pPr>
              <w:pStyle w:val="8"/>
              <w:widowControl/>
              <w:snapToGrid w:val="0"/>
              <w:spacing w:before="156" w:beforeLines="50" w:line="360" w:lineRule="auto"/>
              <w:ind w:firstLine="480"/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9.姜总，您好！从年中的财报看，国内啤酒市场已经进入存量竞争的时代，是否有可能与古茗、瑞幸等企业开展合作拓展鲜啤营销网络，咖啡奶茶店有现成的门面、人员设备，可以有效复用渠道，在头部啤酒企业的竞争中取的优势？</w:t>
            </w:r>
          </w:p>
          <w:p w14:paraId="393D733B">
            <w:pPr>
              <w:pStyle w:val="8"/>
              <w:widowControl/>
              <w:snapToGrid w:val="0"/>
              <w:spacing w:before="156" w:beforeLines="50" w:line="360" w:lineRule="auto"/>
              <w:ind w:firstLine="480"/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答：尊敬的投资者，您好！公司当前正在与相关具有市场竞争力的企业进行洽谈合作，以进一步拓展生鲜等产品的营销网络，丰富更多消费场景，优化渠道布局，推动传统与新兴渠道协同发力、双向赋能，精准触达多元化消费需求。感谢对本公司的关注，谢谢。</w:t>
            </w:r>
          </w:p>
          <w:p w14:paraId="02C79088">
            <w:pPr>
              <w:pStyle w:val="8"/>
              <w:widowControl/>
              <w:snapToGrid w:val="0"/>
              <w:spacing w:before="156" w:beforeLines="50" w:line="360" w:lineRule="auto"/>
              <w:ind w:firstLine="480"/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10.侯总监好，请问截止到8月25日，公司股东总数是多少？为什么有的公司能公布有的公司就用各种理由拒绝回答呢？</w:t>
            </w:r>
          </w:p>
          <w:p w14:paraId="65AD82C3">
            <w:pPr>
              <w:pStyle w:val="8"/>
              <w:widowControl/>
              <w:snapToGrid w:val="0"/>
              <w:spacing w:before="156" w:beforeLines="50" w:line="360" w:lineRule="auto"/>
              <w:ind w:firstLine="480"/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答：尊敬的投资者，您好！感谢对本公司的关注。截至8月20日，公司A股股东户数约为11.10万户。谢谢。</w:t>
            </w:r>
          </w:p>
          <w:p w14:paraId="6C06F424">
            <w:pPr>
              <w:pStyle w:val="8"/>
              <w:widowControl/>
              <w:snapToGrid w:val="0"/>
              <w:spacing w:before="156" w:beforeLines="50" w:line="360" w:lineRule="auto"/>
              <w:ind w:firstLine="480"/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11.公司有大量现金，这部分投资收益很低，大幅拉低了公司的净资产收益率，为什么不加大分红或者回购注销</w:t>
            </w:r>
          </w:p>
          <w:p w14:paraId="2A315A90">
            <w:pPr>
              <w:pStyle w:val="8"/>
              <w:widowControl/>
              <w:snapToGrid w:val="0"/>
              <w:spacing w:before="156" w:beforeLines="50" w:line="360" w:lineRule="auto"/>
              <w:ind w:firstLine="480"/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答：尊敬的投资者，您好！感谢对本公司的关注。公司使用部分自有资金认购理财产品，提升了公司闲置自有资金的使用效率、实现了公司资本的有效保值增值。2026年上半年，公司资金管理收益较同期增长明显。近年来，公司实行持续、稳定的利润分配政策。2025年度，公司每股派发现金股利人民币2.35元（含税），分红率约为当年可分配利润的70%。公司将持续聚焦啤酒主业提升运营能力，继续积极开展市值管理工作，为广大股东创造更多价值和回报。谢谢。</w:t>
            </w:r>
          </w:p>
          <w:p w14:paraId="3BFF3E74">
            <w:pPr>
              <w:pStyle w:val="8"/>
              <w:widowControl/>
              <w:snapToGrid w:val="0"/>
              <w:spacing w:before="156" w:beforeLines="50" w:line="360" w:lineRule="auto"/>
              <w:ind w:firstLine="480"/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12.姜总，您好！新国标落地，公司是否考虑推出全麦高端大单品呢？ 奥古特A6老酒友口感反馈好，奥古特是青啤第一位酿酒师，可宣传青啤百年历史底蕴。A系列麦芽优中选优，啤酒花选用“贵族酒花”捷克萨兹酒花（软黄金），酵母是1903年的酵母保藏传代，可以彰显青啤的与众不同，包材设计高端，可作为礼品。若A6加大宣传力度，也可带动A3和奥古特经典（世锦赛金奖卖点）销量，奥古特A6可大幅提升品牌形象和消费者品牌心智。</w:t>
            </w:r>
          </w:p>
          <w:p w14:paraId="360BFCAA">
            <w:pPr>
              <w:pStyle w:val="8"/>
              <w:widowControl/>
              <w:snapToGrid w:val="0"/>
              <w:spacing w:before="156" w:beforeLines="50" w:line="360" w:lineRule="auto"/>
              <w:ind w:firstLine="480"/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答：尊敬的投资者，您好！感谢您对公司的关注及建议。青岛啤酒形成了覆盖不同口味、多品类的产品矩阵，近年来陆续推出全麦、生鲜、0 糖轻卡、精酿、低醇无醇等创新产品，满足了消费者多元化、个性化需求。其中，奥古特系列产品包括奥古特A6全麦啤酒、奥古特A3全麦啤酒、奥古特经典等产品；今年上半年青岛啤酒经典全麦1903实现焕新升级，为消费者带来更加浓郁饱满的经典麦芽香。公司将继续加强产品创新升级、新产品研发及宣传推广力度，不断提升青岛啤酒品牌影响力。谢谢。</w:t>
            </w:r>
          </w:p>
          <w:p w14:paraId="693E6527">
            <w:pPr>
              <w:pStyle w:val="8"/>
              <w:widowControl/>
              <w:snapToGrid w:val="0"/>
              <w:spacing w:before="156" w:beforeLines="50" w:line="360" w:lineRule="auto"/>
              <w:ind w:firstLine="480"/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13.姜总，您好！整体大环境下行下，公司大量现金，建议加大分红力度，推进公司回购注销股份，提高股东回报，促进客户品牌认可度，提升产品销量。</w:t>
            </w:r>
          </w:p>
          <w:p w14:paraId="104D9EFC">
            <w:pPr>
              <w:pStyle w:val="8"/>
              <w:widowControl/>
              <w:snapToGrid w:val="0"/>
              <w:spacing w:before="156" w:beforeLines="50" w:line="360" w:lineRule="auto"/>
              <w:ind w:firstLine="480"/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答：尊敬的投资者，您好！公司坚定不移实施高质量发展战略，聚焦做强做优啤酒主业，提升运营管理质量，为广大股东创造更多价值和回报。近年来，公司实行持续、稳定的利润分配政策。2025年度，公司每股派发现金股利人民币2.35元（含税），分红率约为当年可分配利润的70%。谢谢。</w:t>
            </w:r>
          </w:p>
          <w:p w14:paraId="462AE70E">
            <w:pPr>
              <w:pStyle w:val="8"/>
              <w:widowControl/>
              <w:snapToGrid w:val="0"/>
              <w:spacing w:before="156" w:beforeLines="50" w:line="360" w:lineRule="auto"/>
              <w:ind w:firstLine="480"/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14.建议公司管理层认真考虑公司帐户这么多现金的问题，留够足够发展的资金，每年或者几年拿出一部分资金回购注销，这个是利国利民的好事。国家政策也对于这类非常支持。管理层是为股东经营的，希望能有回复。</w:t>
            </w:r>
          </w:p>
          <w:p w14:paraId="579B5A97">
            <w:pPr>
              <w:pStyle w:val="8"/>
              <w:widowControl/>
              <w:snapToGrid w:val="0"/>
              <w:spacing w:before="156" w:beforeLines="50" w:line="360" w:lineRule="auto"/>
              <w:ind w:firstLine="480"/>
              <w:rPr>
                <w:rFonts w:hint="default" w:ascii="Times New Roman" w:hAnsi="Times New Roman" w:cs="宋体"/>
                <w:color w:val="000000"/>
                <w:kern w:val="0"/>
                <w:sz w:val="24"/>
                <w:szCs w:val="24"/>
                <w:highlight w:val="yellow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答：尊敬的投资者，您好！非常感谢您的关注及建议。公司将持续综合运用现金分红、加大信息披露和投资者关系管理力度及其他举措，积极开展市值管理工作，聚焦啤酒主业提升运营能力，为广大股东创造更多价值和回报。谢谢。</w:t>
            </w:r>
          </w:p>
        </w:tc>
      </w:tr>
      <w:tr w14:paraId="57151809"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BF23F">
            <w:pPr>
              <w:snapToGrid w:val="0"/>
              <w:spacing w:before="156" w:beforeLines="50" w:line="312" w:lineRule="auto"/>
              <w:rPr>
                <w:b/>
                <w:iCs/>
                <w:color w:val="000000"/>
                <w:kern w:val="0"/>
                <w:sz w:val="24"/>
              </w:rPr>
            </w:pPr>
            <w:r>
              <w:rPr>
                <w:b/>
                <w:iCs/>
                <w:color w:val="000000"/>
                <w:kern w:val="0"/>
                <w:sz w:val="24"/>
              </w:rPr>
              <w:t>附件清单（如有）</w:t>
            </w:r>
          </w:p>
        </w:tc>
        <w:tc>
          <w:tcPr>
            <w:tcW w:w="6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945BD">
            <w:pPr>
              <w:snapToGrid w:val="0"/>
              <w:spacing w:before="156" w:beforeLines="50" w:line="312" w:lineRule="auto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/</w:t>
            </w:r>
          </w:p>
        </w:tc>
      </w:tr>
      <w:tr w14:paraId="6116C9B7"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7E9D5">
            <w:pPr>
              <w:snapToGrid w:val="0"/>
              <w:spacing w:before="156" w:beforeLines="50" w:line="312" w:lineRule="auto"/>
              <w:rPr>
                <w:b/>
                <w:iCs/>
                <w:color w:val="000000"/>
                <w:kern w:val="0"/>
                <w:sz w:val="24"/>
              </w:rPr>
            </w:pPr>
            <w:r>
              <w:rPr>
                <w:b/>
                <w:i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6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E2850A">
            <w:pPr>
              <w:snapToGrid w:val="0"/>
              <w:spacing w:before="156" w:beforeLines="50" w:line="312" w:lineRule="auto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</w:t>
            </w:r>
            <w:r>
              <w:rPr>
                <w:bCs/>
                <w:iCs/>
                <w:color w:val="000000"/>
                <w:sz w:val="24"/>
              </w:rPr>
              <w:t>6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年</w:t>
            </w:r>
            <w:r>
              <w:rPr>
                <w:bCs/>
                <w:iCs/>
                <w:color w:val="000000"/>
                <w:sz w:val="24"/>
              </w:rPr>
              <w:t>8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月</w:t>
            </w:r>
            <w:r>
              <w:rPr>
                <w:bCs/>
                <w:iCs/>
                <w:color w:val="000000"/>
                <w:sz w:val="24"/>
              </w:rPr>
              <w:t>28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日</w:t>
            </w:r>
          </w:p>
        </w:tc>
      </w:tr>
    </w:tbl>
    <w:p w14:paraId="42455FB3"/>
    <w:sectPr>
      <w:headerReference r:id="rId3" w:type="default"/>
      <w:footerReference r:id="rId4" w:type="default"/>
      <w:pgSz w:w="11906" w:h="16838"/>
      <w:pgMar w:top="1440" w:right="1576" w:bottom="1440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DC7C98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2D042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2D042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FD79FA">
    <w:pPr>
      <w:pStyle w:val="3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4ZmIyNjQwY2M4Mzc4ZGFiNGMxMTg3NGVhMjQ4MWMifQ=="/>
  </w:docVars>
  <w:rsids>
    <w:rsidRoot w:val="006861C7"/>
    <w:rsid w:val="000268C0"/>
    <w:rsid w:val="000363B5"/>
    <w:rsid w:val="000375D7"/>
    <w:rsid w:val="00043015"/>
    <w:rsid w:val="00046DDE"/>
    <w:rsid w:val="00047EB9"/>
    <w:rsid w:val="00060A74"/>
    <w:rsid w:val="00067110"/>
    <w:rsid w:val="0009298A"/>
    <w:rsid w:val="000A2808"/>
    <w:rsid w:val="000A3BAC"/>
    <w:rsid w:val="000C26FD"/>
    <w:rsid w:val="000C2D85"/>
    <w:rsid w:val="000E5700"/>
    <w:rsid w:val="000F0C4B"/>
    <w:rsid w:val="000F0E22"/>
    <w:rsid w:val="00105A04"/>
    <w:rsid w:val="001169A9"/>
    <w:rsid w:val="00125EB2"/>
    <w:rsid w:val="00142A4C"/>
    <w:rsid w:val="00144279"/>
    <w:rsid w:val="001452FF"/>
    <w:rsid w:val="0016617A"/>
    <w:rsid w:val="00167E99"/>
    <w:rsid w:val="001975AB"/>
    <w:rsid w:val="001A00F5"/>
    <w:rsid w:val="001A1F65"/>
    <w:rsid w:val="001A5CE9"/>
    <w:rsid w:val="001C50AD"/>
    <w:rsid w:val="001D22EE"/>
    <w:rsid w:val="001D4C89"/>
    <w:rsid w:val="001E1838"/>
    <w:rsid w:val="001E3145"/>
    <w:rsid w:val="001E6509"/>
    <w:rsid w:val="001E7968"/>
    <w:rsid w:val="0022180A"/>
    <w:rsid w:val="00223ABC"/>
    <w:rsid w:val="002241B9"/>
    <w:rsid w:val="002274D9"/>
    <w:rsid w:val="0023455A"/>
    <w:rsid w:val="00237994"/>
    <w:rsid w:val="00251D58"/>
    <w:rsid w:val="002530EE"/>
    <w:rsid w:val="002549E6"/>
    <w:rsid w:val="00256602"/>
    <w:rsid w:val="00271C8D"/>
    <w:rsid w:val="00273B53"/>
    <w:rsid w:val="0028080C"/>
    <w:rsid w:val="00295257"/>
    <w:rsid w:val="00297703"/>
    <w:rsid w:val="002A0826"/>
    <w:rsid w:val="002A0984"/>
    <w:rsid w:val="002A589B"/>
    <w:rsid w:val="002B1184"/>
    <w:rsid w:val="002B71B8"/>
    <w:rsid w:val="002B7469"/>
    <w:rsid w:val="002C22C6"/>
    <w:rsid w:val="002C6568"/>
    <w:rsid w:val="002C723B"/>
    <w:rsid w:val="002D39BC"/>
    <w:rsid w:val="002E1B15"/>
    <w:rsid w:val="002E1D3A"/>
    <w:rsid w:val="003005F0"/>
    <w:rsid w:val="003030BF"/>
    <w:rsid w:val="00304F89"/>
    <w:rsid w:val="00306023"/>
    <w:rsid w:val="00327D5D"/>
    <w:rsid w:val="00344914"/>
    <w:rsid w:val="00346917"/>
    <w:rsid w:val="00354A7B"/>
    <w:rsid w:val="00360FDA"/>
    <w:rsid w:val="00363075"/>
    <w:rsid w:val="00367D18"/>
    <w:rsid w:val="00372A1C"/>
    <w:rsid w:val="0037435A"/>
    <w:rsid w:val="00377D8F"/>
    <w:rsid w:val="00383679"/>
    <w:rsid w:val="003A1E68"/>
    <w:rsid w:val="003B0122"/>
    <w:rsid w:val="003B0BE5"/>
    <w:rsid w:val="003B3117"/>
    <w:rsid w:val="003D18F1"/>
    <w:rsid w:val="003E001E"/>
    <w:rsid w:val="003F7C4D"/>
    <w:rsid w:val="0040075F"/>
    <w:rsid w:val="00403300"/>
    <w:rsid w:val="004118C0"/>
    <w:rsid w:val="00417A31"/>
    <w:rsid w:val="0042004B"/>
    <w:rsid w:val="00433384"/>
    <w:rsid w:val="0043777D"/>
    <w:rsid w:val="0045767F"/>
    <w:rsid w:val="00463E9B"/>
    <w:rsid w:val="00467414"/>
    <w:rsid w:val="00473F30"/>
    <w:rsid w:val="0048591A"/>
    <w:rsid w:val="00486D86"/>
    <w:rsid w:val="0048721A"/>
    <w:rsid w:val="004A0BD5"/>
    <w:rsid w:val="004A1BBF"/>
    <w:rsid w:val="004A73E5"/>
    <w:rsid w:val="004C19BF"/>
    <w:rsid w:val="004D7640"/>
    <w:rsid w:val="004E1A9B"/>
    <w:rsid w:val="00500AB6"/>
    <w:rsid w:val="005155FB"/>
    <w:rsid w:val="00523907"/>
    <w:rsid w:val="00525AFB"/>
    <w:rsid w:val="00537C53"/>
    <w:rsid w:val="005438F5"/>
    <w:rsid w:val="00544901"/>
    <w:rsid w:val="005474D3"/>
    <w:rsid w:val="00550737"/>
    <w:rsid w:val="00555DD2"/>
    <w:rsid w:val="00565ED9"/>
    <w:rsid w:val="005760C6"/>
    <w:rsid w:val="00585A1B"/>
    <w:rsid w:val="00591260"/>
    <w:rsid w:val="00591314"/>
    <w:rsid w:val="00593D40"/>
    <w:rsid w:val="00595F1B"/>
    <w:rsid w:val="005A242B"/>
    <w:rsid w:val="005A3BE0"/>
    <w:rsid w:val="005B1026"/>
    <w:rsid w:val="005B642F"/>
    <w:rsid w:val="005C04C1"/>
    <w:rsid w:val="005C1785"/>
    <w:rsid w:val="005D2D87"/>
    <w:rsid w:val="005D6A09"/>
    <w:rsid w:val="005E2B4B"/>
    <w:rsid w:val="005E5F63"/>
    <w:rsid w:val="005E6BA1"/>
    <w:rsid w:val="0060779A"/>
    <w:rsid w:val="00622F13"/>
    <w:rsid w:val="00625503"/>
    <w:rsid w:val="0062662D"/>
    <w:rsid w:val="00632E78"/>
    <w:rsid w:val="006344F1"/>
    <w:rsid w:val="00637186"/>
    <w:rsid w:val="00646DF4"/>
    <w:rsid w:val="00651DE6"/>
    <w:rsid w:val="006523BB"/>
    <w:rsid w:val="0065347E"/>
    <w:rsid w:val="00654B49"/>
    <w:rsid w:val="00662505"/>
    <w:rsid w:val="0066674C"/>
    <w:rsid w:val="006760F7"/>
    <w:rsid w:val="00676B33"/>
    <w:rsid w:val="006861C7"/>
    <w:rsid w:val="00686DDF"/>
    <w:rsid w:val="0069277E"/>
    <w:rsid w:val="00697B12"/>
    <w:rsid w:val="006A55BB"/>
    <w:rsid w:val="006A7613"/>
    <w:rsid w:val="006B661A"/>
    <w:rsid w:val="006B7D00"/>
    <w:rsid w:val="006C6BC5"/>
    <w:rsid w:val="006D61A2"/>
    <w:rsid w:val="006E1DB4"/>
    <w:rsid w:val="006F741C"/>
    <w:rsid w:val="00753DB6"/>
    <w:rsid w:val="00763847"/>
    <w:rsid w:val="00765662"/>
    <w:rsid w:val="00771FE3"/>
    <w:rsid w:val="00776BDE"/>
    <w:rsid w:val="00786870"/>
    <w:rsid w:val="00792237"/>
    <w:rsid w:val="0079272A"/>
    <w:rsid w:val="007A1DA9"/>
    <w:rsid w:val="007B2252"/>
    <w:rsid w:val="007B79D9"/>
    <w:rsid w:val="007C67B1"/>
    <w:rsid w:val="007E354A"/>
    <w:rsid w:val="007E69C8"/>
    <w:rsid w:val="0080525B"/>
    <w:rsid w:val="008062C5"/>
    <w:rsid w:val="0080741A"/>
    <w:rsid w:val="00814B5B"/>
    <w:rsid w:val="008165D7"/>
    <w:rsid w:val="00836F34"/>
    <w:rsid w:val="00843E73"/>
    <w:rsid w:val="00844EBF"/>
    <w:rsid w:val="00854F61"/>
    <w:rsid w:val="00864202"/>
    <w:rsid w:val="00873B59"/>
    <w:rsid w:val="0087701F"/>
    <w:rsid w:val="0089283D"/>
    <w:rsid w:val="008A0ADC"/>
    <w:rsid w:val="008A1BAB"/>
    <w:rsid w:val="008B38B7"/>
    <w:rsid w:val="008B458E"/>
    <w:rsid w:val="008C4BA8"/>
    <w:rsid w:val="008C4D4A"/>
    <w:rsid w:val="008E11AE"/>
    <w:rsid w:val="008E1708"/>
    <w:rsid w:val="008E4844"/>
    <w:rsid w:val="00904492"/>
    <w:rsid w:val="00904DFB"/>
    <w:rsid w:val="0091457B"/>
    <w:rsid w:val="00923763"/>
    <w:rsid w:val="00930ED6"/>
    <w:rsid w:val="0093293F"/>
    <w:rsid w:val="00933105"/>
    <w:rsid w:val="009474EF"/>
    <w:rsid w:val="00962626"/>
    <w:rsid w:val="009767DD"/>
    <w:rsid w:val="00977AF2"/>
    <w:rsid w:val="00985FC5"/>
    <w:rsid w:val="00993BDD"/>
    <w:rsid w:val="009A6DFB"/>
    <w:rsid w:val="009B6EC0"/>
    <w:rsid w:val="009C7FAF"/>
    <w:rsid w:val="009D4199"/>
    <w:rsid w:val="009E5E6A"/>
    <w:rsid w:val="009F0DD5"/>
    <w:rsid w:val="009F1B95"/>
    <w:rsid w:val="009F6C05"/>
    <w:rsid w:val="00A13CB6"/>
    <w:rsid w:val="00A14A1A"/>
    <w:rsid w:val="00A22CDD"/>
    <w:rsid w:val="00A25AEE"/>
    <w:rsid w:val="00A31EB1"/>
    <w:rsid w:val="00A33AEA"/>
    <w:rsid w:val="00A461CD"/>
    <w:rsid w:val="00A469C5"/>
    <w:rsid w:val="00A5317D"/>
    <w:rsid w:val="00A6284E"/>
    <w:rsid w:val="00A63E81"/>
    <w:rsid w:val="00A8775A"/>
    <w:rsid w:val="00AA5998"/>
    <w:rsid w:val="00AB07E7"/>
    <w:rsid w:val="00AD1BA8"/>
    <w:rsid w:val="00B02A29"/>
    <w:rsid w:val="00B03522"/>
    <w:rsid w:val="00B04AD6"/>
    <w:rsid w:val="00B14CAA"/>
    <w:rsid w:val="00B257CE"/>
    <w:rsid w:val="00B4746C"/>
    <w:rsid w:val="00B65354"/>
    <w:rsid w:val="00B71A0E"/>
    <w:rsid w:val="00B81765"/>
    <w:rsid w:val="00B832F5"/>
    <w:rsid w:val="00BA2FAB"/>
    <w:rsid w:val="00BB5E28"/>
    <w:rsid w:val="00BD15F3"/>
    <w:rsid w:val="00BD7986"/>
    <w:rsid w:val="00BD79D3"/>
    <w:rsid w:val="00C04F82"/>
    <w:rsid w:val="00C15AC0"/>
    <w:rsid w:val="00C22BC1"/>
    <w:rsid w:val="00C26030"/>
    <w:rsid w:val="00C41091"/>
    <w:rsid w:val="00C63056"/>
    <w:rsid w:val="00C661D1"/>
    <w:rsid w:val="00C775BA"/>
    <w:rsid w:val="00C85331"/>
    <w:rsid w:val="00C85A50"/>
    <w:rsid w:val="00C94D46"/>
    <w:rsid w:val="00CA443A"/>
    <w:rsid w:val="00CB2461"/>
    <w:rsid w:val="00CB37FD"/>
    <w:rsid w:val="00CC4D65"/>
    <w:rsid w:val="00CC61E7"/>
    <w:rsid w:val="00CD25AD"/>
    <w:rsid w:val="00CD3FFC"/>
    <w:rsid w:val="00CE004A"/>
    <w:rsid w:val="00CF565C"/>
    <w:rsid w:val="00D016A3"/>
    <w:rsid w:val="00D47229"/>
    <w:rsid w:val="00D512E3"/>
    <w:rsid w:val="00D602C9"/>
    <w:rsid w:val="00DA26A9"/>
    <w:rsid w:val="00DB01FF"/>
    <w:rsid w:val="00DC5981"/>
    <w:rsid w:val="00DC7778"/>
    <w:rsid w:val="00DE7391"/>
    <w:rsid w:val="00DF2DB5"/>
    <w:rsid w:val="00DF6560"/>
    <w:rsid w:val="00E04CC0"/>
    <w:rsid w:val="00E136FF"/>
    <w:rsid w:val="00E32528"/>
    <w:rsid w:val="00E35F26"/>
    <w:rsid w:val="00E53165"/>
    <w:rsid w:val="00E61EF7"/>
    <w:rsid w:val="00E663B4"/>
    <w:rsid w:val="00E80CEB"/>
    <w:rsid w:val="00EA5103"/>
    <w:rsid w:val="00EA6FB9"/>
    <w:rsid w:val="00EB5E6A"/>
    <w:rsid w:val="00EC2AD7"/>
    <w:rsid w:val="00ED7DE0"/>
    <w:rsid w:val="00EE7891"/>
    <w:rsid w:val="00EF49FE"/>
    <w:rsid w:val="00EF5341"/>
    <w:rsid w:val="00F04908"/>
    <w:rsid w:val="00F07C21"/>
    <w:rsid w:val="00F12EF6"/>
    <w:rsid w:val="00F21065"/>
    <w:rsid w:val="00F24CB4"/>
    <w:rsid w:val="00F43465"/>
    <w:rsid w:val="00F45475"/>
    <w:rsid w:val="00F64E72"/>
    <w:rsid w:val="00F70C7D"/>
    <w:rsid w:val="00F9272E"/>
    <w:rsid w:val="00F97743"/>
    <w:rsid w:val="00FA6DAF"/>
    <w:rsid w:val="00FB3012"/>
    <w:rsid w:val="00FC6884"/>
    <w:rsid w:val="00FE62F3"/>
    <w:rsid w:val="00FF71D2"/>
    <w:rsid w:val="01AA792D"/>
    <w:rsid w:val="19794BD2"/>
    <w:rsid w:val="1B2418A5"/>
    <w:rsid w:val="1DBB58C9"/>
    <w:rsid w:val="1FBFC074"/>
    <w:rsid w:val="289A6A25"/>
    <w:rsid w:val="2EF618CC"/>
    <w:rsid w:val="36FB9E1F"/>
    <w:rsid w:val="3BF26B40"/>
    <w:rsid w:val="3BFA3B96"/>
    <w:rsid w:val="3CEF3472"/>
    <w:rsid w:val="3ED53680"/>
    <w:rsid w:val="3EFF16E9"/>
    <w:rsid w:val="42924867"/>
    <w:rsid w:val="4C0F5A59"/>
    <w:rsid w:val="521D1B55"/>
    <w:rsid w:val="5BC34A2B"/>
    <w:rsid w:val="62917095"/>
    <w:rsid w:val="77CF73AC"/>
    <w:rsid w:val="78FF0116"/>
    <w:rsid w:val="7B673C5E"/>
    <w:rsid w:val="B7DDD54D"/>
    <w:rsid w:val="E3FFE6ED"/>
    <w:rsid w:val="F5DB8A63"/>
    <w:rsid w:val="F797912E"/>
    <w:rsid w:val="FB5D92B9"/>
    <w:rsid w:val="FE7B4896"/>
    <w:rsid w:val="FFBF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paragraph" w:customStyle="1" w:styleId="8">
    <w:name w:val="_Style 6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9">
    <w:name w:val="Char Char Char"/>
    <w:basedOn w:val="1"/>
    <w:autoRedefine/>
    <w:qFormat/>
    <w:uiPriority w:val="0"/>
    <w:rPr>
      <w:szCs w:val="21"/>
    </w:rPr>
  </w:style>
  <w:style w:type="paragraph" w:customStyle="1" w:styleId="10">
    <w:name w:val="Char Char Char Char Char Char Char Char Char Char Char Char Char Char Char Char"/>
    <w:basedOn w:val="1"/>
    <w:autoRedefine/>
    <w:qFormat/>
    <w:uiPriority w:val="0"/>
  </w:style>
  <w:style w:type="paragraph" w:customStyle="1" w:styleId="11">
    <w:name w:val="Char Char Char1"/>
    <w:basedOn w:val="1"/>
    <w:autoRedefine/>
    <w:qFormat/>
    <w:uiPriority w:val="0"/>
  </w:style>
  <w:style w:type="character" w:customStyle="1" w:styleId="12">
    <w:name w:val="页脚 字符"/>
    <w:basedOn w:val="6"/>
    <w:link w:val="2"/>
    <w:autoRedefine/>
    <w:qFormat/>
    <w:uiPriority w:val="0"/>
    <w:rPr>
      <w:kern w:val="2"/>
      <w:sz w:val="18"/>
      <w:szCs w:val="18"/>
    </w:rPr>
  </w:style>
  <w:style w:type="character" w:customStyle="1" w:styleId="13">
    <w:name w:val="页眉 字符"/>
    <w:basedOn w:val="6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113</Words>
  <Characters>649</Characters>
  <Lines>5</Lines>
  <Paragraphs>1</Paragraphs>
  <TotalTime>50</TotalTime>
  <ScaleCrop>false</ScaleCrop>
  <LinksUpToDate>false</LinksUpToDate>
  <CharactersWithSpaces>761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2012-09-10T00:59:00Z</dcterms:created>
  <dc:creator>微软用户</dc:creator>
  <cp:lastModifiedBy>是星落哈</cp:lastModifiedBy>
  <cp:lastPrinted>2014-02-21T21:34:00Z</cp:lastPrinted>
  <dcterms:modified xsi:type="dcterms:W3CDTF">2026-08-28T17:17:18Z</dcterms:modified>
  <cp:revision>272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F0C26830FCD0468E929BA9F6C4FA09C4_13</vt:lpwstr>
  </property>
  <property fmtid="{D5CDD505-2E9C-101B-9397-08002B2CF9AE}" pid="4" name="KSOTemplateDocerSaveRecord">
    <vt:lpwstr>eyJoZGlkIjoiOTM0NTQ3NjhlMzVkNDhmYjQ1YjQyODAxMWZkODRjNWUiLCJ1c2VySWQiOiIyNTAwOTAxODMifQ==</vt:lpwstr>
  </property>
</Properties>
</file>