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211C62">
      <w:pPr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证券代码：</w:t>
      </w:r>
      <w:r>
        <w:rPr>
          <w:rFonts w:ascii="宋体" w:hAnsi="宋体" w:eastAsia="宋体"/>
          <w:sz w:val="24"/>
          <w:szCs w:val="24"/>
        </w:rPr>
        <w:t xml:space="preserve">600332                                     </w:t>
      </w:r>
      <w:r>
        <w:rPr>
          <w:rFonts w:hint="eastAsia" w:ascii="宋体" w:hAnsi="宋体" w:eastAsia="宋体"/>
          <w:sz w:val="24"/>
          <w:szCs w:val="24"/>
        </w:rPr>
        <w:t>证券简称：白云山</w:t>
      </w:r>
    </w:p>
    <w:p w14:paraId="127F6F20">
      <w:pPr>
        <w:rPr>
          <w:rFonts w:ascii="宋体" w:hAnsi="宋体" w:eastAsia="宋体"/>
          <w:sz w:val="24"/>
          <w:szCs w:val="24"/>
        </w:rPr>
      </w:pPr>
    </w:p>
    <w:p w14:paraId="65BCB62A">
      <w:pPr>
        <w:jc w:val="center"/>
        <w:rPr>
          <w:rFonts w:ascii="宋体" w:hAnsi="宋体" w:eastAsia="宋体"/>
          <w:b/>
          <w:sz w:val="28"/>
          <w:szCs w:val="24"/>
        </w:rPr>
      </w:pPr>
      <w:r>
        <w:rPr>
          <w:rFonts w:hint="eastAsia" w:ascii="宋体" w:hAnsi="宋体" w:eastAsia="宋体"/>
          <w:b/>
          <w:sz w:val="28"/>
          <w:szCs w:val="24"/>
        </w:rPr>
        <w:t>广州白云山医药集团股份有限公司</w:t>
      </w:r>
    </w:p>
    <w:p w14:paraId="27289ED4">
      <w:pPr>
        <w:jc w:val="center"/>
        <w:rPr>
          <w:rFonts w:ascii="宋体" w:hAnsi="宋体" w:eastAsia="宋体"/>
          <w:b/>
          <w:sz w:val="28"/>
          <w:szCs w:val="24"/>
        </w:rPr>
      </w:pPr>
      <w:r>
        <w:rPr>
          <w:rFonts w:hint="eastAsia" w:ascii="宋体" w:hAnsi="宋体" w:eastAsia="宋体"/>
          <w:b/>
          <w:sz w:val="28"/>
          <w:szCs w:val="24"/>
        </w:rPr>
        <w:t>投资者关系活动记录表</w:t>
      </w:r>
    </w:p>
    <w:p w14:paraId="35A40147">
      <w:pPr>
        <w:rPr>
          <w:rFonts w:ascii="宋体" w:hAnsi="宋体" w:eastAsia="宋体"/>
          <w:sz w:val="24"/>
          <w:szCs w:val="24"/>
        </w:rPr>
      </w:pP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6600"/>
      </w:tblGrid>
      <w:tr w14:paraId="4A24A3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1" w:hRule="atLeast"/>
        </w:trPr>
        <w:tc>
          <w:tcPr>
            <w:tcW w:w="1696" w:type="dxa"/>
            <w:vAlign w:val="center"/>
          </w:tcPr>
          <w:p w14:paraId="0E6775B3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投资者关系活动类别</w:t>
            </w:r>
          </w:p>
        </w:tc>
        <w:tc>
          <w:tcPr>
            <w:tcW w:w="6600" w:type="dxa"/>
          </w:tcPr>
          <w:p w14:paraId="085E8532">
            <w:pPr>
              <w:spacing w:line="360" w:lineRule="auto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sym w:font="Wingdings 2" w:char="0052"/>
            </w:r>
            <w:r>
              <w:rPr>
                <w:rFonts w:ascii="宋体" w:hAnsi="宋体" w:eastAsia="宋体"/>
                <w:sz w:val="24"/>
                <w:szCs w:val="24"/>
              </w:rPr>
              <w:t xml:space="preserve">特定对象调研 </w:t>
            </w:r>
            <w:r>
              <w:rPr>
                <w:rFonts w:ascii="宋体" w:hAnsi="宋体" w:eastAsia="宋体"/>
                <w:sz w:val="24"/>
                <w:szCs w:val="24"/>
              </w:rPr>
              <w:sym w:font="Wingdings 2" w:char="00A3"/>
            </w:r>
            <w:r>
              <w:rPr>
                <w:rFonts w:ascii="宋体" w:hAnsi="宋体" w:eastAsia="宋体"/>
                <w:sz w:val="24"/>
                <w:szCs w:val="24"/>
              </w:rPr>
              <w:t xml:space="preserve">分析师会议 </w:t>
            </w:r>
          </w:p>
          <w:p w14:paraId="06C7171F">
            <w:pPr>
              <w:spacing w:line="360" w:lineRule="auto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sym w:font="Wingdings 2" w:char="00A3"/>
            </w:r>
            <w:r>
              <w:rPr>
                <w:rFonts w:ascii="宋体" w:hAnsi="宋体" w:eastAsia="宋体"/>
                <w:sz w:val="24"/>
                <w:szCs w:val="24"/>
              </w:rPr>
              <w:t xml:space="preserve">媒体采访 </w:t>
            </w:r>
            <w:r>
              <w:rPr>
                <w:rFonts w:ascii="宋体" w:hAnsi="宋体" w:eastAsia="宋体"/>
                <w:sz w:val="24"/>
                <w:szCs w:val="24"/>
              </w:rPr>
              <w:sym w:font="Wingdings 2" w:char="00A3"/>
            </w:r>
            <w:r>
              <w:rPr>
                <w:rFonts w:ascii="宋体" w:hAnsi="宋体" w:eastAsia="宋体"/>
                <w:sz w:val="24"/>
                <w:szCs w:val="24"/>
              </w:rPr>
              <w:t xml:space="preserve">业绩说明会 </w:t>
            </w:r>
          </w:p>
          <w:p w14:paraId="22D3BE0A">
            <w:pPr>
              <w:spacing w:line="360" w:lineRule="auto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□新闻发布会</w:t>
            </w:r>
            <w:r>
              <w:rPr>
                <w:rFonts w:hint="eastAsia" w:ascii="宋体" w:hAnsi="宋体" w:eastAsia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/>
                <w:sz w:val="24"/>
                <w:szCs w:val="24"/>
              </w:rPr>
              <w:sym w:font="Wingdings 2" w:char="00A3"/>
            </w:r>
            <w:r>
              <w:rPr>
                <w:rFonts w:ascii="宋体" w:hAnsi="宋体" w:eastAsia="宋体"/>
                <w:sz w:val="24"/>
                <w:szCs w:val="24"/>
              </w:rPr>
              <w:t xml:space="preserve">路演活动 </w:t>
            </w:r>
          </w:p>
          <w:p w14:paraId="5CE86780">
            <w:pPr>
              <w:spacing w:line="360" w:lineRule="auto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sym w:font="Wingdings 2" w:char="00A3"/>
            </w:r>
            <w:r>
              <w:rPr>
                <w:rFonts w:ascii="宋体" w:hAnsi="宋体" w:eastAsia="宋体"/>
                <w:sz w:val="24"/>
                <w:szCs w:val="24"/>
              </w:rPr>
              <w:t>现场参观</w:t>
            </w:r>
            <w:r>
              <w:rPr>
                <w:rFonts w:hint="eastAsia" w:ascii="宋体" w:hAnsi="宋体" w:eastAsia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/>
                <w:sz w:val="24"/>
                <w:szCs w:val="24"/>
              </w:rPr>
              <w:sym w:font="Wingdings 2" w:char="00A3"/>
            </w:r>
            <w:r>
              <w:rPr>
                <w:rFonts w:ascii="宋体" w:hAnsi="宋体" w:eastAsia="宋体"/>
                <w:sz w:val="24"/>
                <w:szCs w:val="24"/>
              </w:rPr>
              <w:t>其他</w:t>
            </w:r>
          </w:p>
        </w:tc>
      </w:tr>
      <w:tr w14:paraId="02393F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center"/>
          </w:tcPr>
          <w:p w14:paraId="5E5F811C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召开方式</w:t>
            </w:r>
          </w:p>
        </w:tc>
        <w:tc>
          <w:tcPr>
            <w:tcW w:w="6600" w:type="dxa"/>
          </w:tcPr>
          <w:p w14:paraId="2F42643B">
            <w:pPr>
              <w:spacing w:line="360" w:lineRule="auto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现场会议</w:t>
            </w:r>
          </w:p>
        </w:tc>
      </w:tr>
      <w:tr w14:paraId="3935CC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center"/>
          </w:tcPr>
          <w:p w14:paraId="5955FDB2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时间</w:t>
            </w:r>
          </w:p>
        </w:tc>
        <w:tc>
          <w:tcPr>
            <w:tcW w:w="6600" w:type="dxa"/>
          </w:tcPr>
          <w:p w14:paraId="36786B79">
            <w:pPr>
              <w:spacing w:line="360" w:lineRule="auto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202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6</w:t>
            </w:r>
            <w:r>
              <w:rPr>
                <w:rFonts w:ascii="宋体" w:hAnsi="宋体" w:eastAsia="宋体"/>
                <w:sz w:val="24"/>
                <w:szCs w:val="24"/>
              </w:rPr>
              <w:t>年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月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25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日</w:t>
            </w:r>
          </w:p>
        </w:tc>
      </w:tr>
      <w:tr w14:paraId="18EA97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center"/>
          </w:tcPr>
          <w:p w14:paraId="181ECF82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地点</w:t>
            </w:r>
          </w:p>
        </w:tc>
        <w:tc>
          <w:tcPr>
            <w:tcW w:w="6600" w:type="dxa"/>
          </w:tcPr>
          <w:p w14:paraId="3FC3FCF1">
            <w:pPr>
              <w:spacing w:line="360" w:lineRule="auto"/>
              <w:rPr>
                <w:rFonts w:hint="default" w:ascii="宋体" w:hAnsi="宋体" w:eastAsia="宋体"/>
                <w:sz w:val="24"/>
                <w:szCs w:val="24"/>
                <w:lang w:val="en-US" w:eastAsia="zh-Hans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公司会议室</w:t>
            </w:r>
          </w:p>
        </w:tc>
      </w:tr>
      <w:tr w14:paraId="38458D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1696" w:type="dxa"/>
            <w:vAlign w:val="center"/>
          </w:tcPr>
          <w:p w14:paraId="339140B8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公司参与人员</w:t>
            </w:r>
          </w:p>
        </w:tc>
        <w:tc>
          <w:tcPr>
            <w:tcW w:w="6600" w:type="dxa"/>
          </w:tcPr>
          <w:p w14:paraId="071A9704">
            <w:pPr>
              <w:spacing w:line="360" w:lineRule="auto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广药白云山董事长陈杰辉</w:t>
            </w:r>
            <w:r>
              <w:rPr>
                <w:rFonts w:hint="eastAsia" w:ascii="宋体" w:hAnsi="宋体" w:eastAsia="宋体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广药白云山执行董事程洪进</w:t>
            </w:r>
            <w:r>
              <w:rPr>
                <w:rFonts w:hint="eastAsia" w:ascii="宋体" w:hAnsi="宋体" w:eastAsia="宋体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唐和平</w:t>
            </w:r>
            <w:r>
              <w:rPr>
                <w:rFonts w:hint="eastAsia" w:ascii="宋体" w:hAnsi="宋体" w:eastAsia="宋体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刘漤</w:t>
            </w:r>
            <w:r>
              <w:rPr>
                <w:rFonts w:hint="eastAsia" w:ascii="宋体" w:hAnsi="宋体" w:eastAsia="宋体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广药白云山副总经理郑浩珊</w:t>
            </w:r>
            <w:r>
              <w:rPr>
                <w:rFonts w:hint="eastAsia" w:ascii="宋体" w:hAnsi="宋体" w:eastAsia="宋体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刘艳平</w:t>
            </w:r>
            <w:r>
              <w:rPr>
                <w:rFonts w:hint="eastAsia" w:ascii="宋体" w:hAnsi="宋体" w:eastAsia="宋体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王健松</w:t>
            </w:r>
            <w:r>
              <w:rPr>
                <w:rFonts w:hint="eastAsia" w:ascii="宋体" w:hAnsi="宋体" w:eastAsia="宋体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广药白云山董事会秘书黄雪贞</w:t>
            </w:r>
            <w:r>
              <w:rPr>
                <w:rFonts w:hint="eastAsia" w:ascii="宋体" w:hAnsi="宋体" w:eastAsia="宋体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广药白云山财务总监刘菲</w:t>
            </w:r>
            <w:r>
              <w:rPr>
                <w:rFonts w:hint="eastAsia" w:ascii="宋体" w:hAnsi="宋体" w:eastAsia="宋体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王老吉大健康党委副书记、工会主席吴桃生</w:t>
            </w:r>
            <w:r>
              <w:rPr>
                <w:rFonts w:hint="eastAsia" w:ascii="宋体" w:hAnsi="宋体" w:eastAsia="宋体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董秘室副主任陈文霞</w:t>
            </w:r>
            <w:r>
              <w:rPr>
                <w:rFonts w:hint="eastAsia" w:ascii="宋体" w:hAnsi="宋体" w:eastAsia="宋体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董秘室经理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李莉、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李春瑶</w:t>
            </w:r>
          </w:p>
        </w:tc>
      </w:tr>
      <w:tr w14:paraId="39CA6D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1696" w:type="dxa"/>
            <w:vAlign w:val="center"/>
          </w:tcPr>
          <w:p w14:paraId="6C1FA352"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  <w:lang w:eastAsia="zh-Hans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eastAsia="zh-Hans"/>
              </w:rPr>
              <w:t>接待人员</w:t>
            </w:r>
          </w:p>
        </w:tc>
        <w:tc>
          <w:tcPr>
            <w:tcW w:w="6600" w:type="dxa"/>
          </w:tcPr>
          <w:p w14:paraId="450BBB20">
            <w:pPr>
              <w:spacing w:line="360" w:lineRule="auto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8月25日：招商基金、博裕资本、广发证券、东方财富证券、中金公司、华泰证券、中信证券、浙商证券、中信建投、国联民生</w:t>
            </w:r>
          </w:p>
        </w:tc>
      </w:tr>
      <w:tr w14:paraId="20F58E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8" w:hRule="atLeast"/>
        </w:trPr>
        <w:tc>
          <w:tcPr>
            <w:tcW w:w="1696" w:type="dxa"/>
            <w:vAlign w:val="center"/>
          </w:tcPr>
          <w:p w14:paraId="616F96AF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投资者关系活动主要内容介绍</w:t>
            </w:r>
          </w:p>
        </w:tc>
        <w:tc>
          <w:tcPr>
            <w:tcW w:w="6600" w:type="dxa"/>
          </w:tcPr>
          <w:p w14:paraId="64015FF5">
            <w:pPr>
              <w:widowControl/>
              <w:spacing w:line="500" w:lineRule="exact"/>
              <w:ind w:firstLine="480" w:firstLineChars="200"/>
              <w:jc w:val="left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主要内容包括：</w:t>
            </w:r>
          </w:p>
          <w:p w14:paraId="7CC2B05C">
            <w:pPr>
              <w:pStyle w:val="2"/>
              <w:spacing w:line="500" w:lineRule="exact"/>
              <w:ind w:firstLine="482" w:firstLineChars="200"/>
              <w:rPr>
                <w:rFonts w:ascii="Times New Roman" w:hAnsi="Times New Roman" w:eastAsia="仿宋_GB2312"/>
                <w:kern w:val="0"/>
                <w:sz w:val="24"/>
                <w:szCs w:val="24"/>
                <w:lang w:bidi="ar"/>
              </w:rPr>
            </w:pPr>
            <w:bookmarkStart w:id="0" w:name="OLE_LINK8"/>
            <w:bookmarkStart w:id="1" w:name="OLE_LINK7"/>
            <w:r>
              <w:rPr>
                <w:rFonts w:ascii="Times New Roman" w:hAnsi="Times New Roman" w:eastAsia="仿宋_GB2312"/>
                <w:b/>
                <w:bCs/>
                <w:kern w:val="0"/>
                <w:sz w:val="24"/>
                <w:szCs w:val="24"/>
                <w:lang w:bidi="ar"/>
              </w:rPr>
              <w:t>（一）公司202</w:t>
            </w:r>
            <w:r>
              <w:rPr>
                <w:rFonts w:hint="eastAsia" w:ascii="Times New Roman" w:hAnsi="Times New Roman" w:eastAsia="仿宋_GB2312"/>
                <w:b/>
                <w:bCs/>
                <w:kern w:val="0"/>
                <w:sz w:val="24"/>
                <w:szCs w:val="24"/>
                <w:lang w:val="en-US" w:eastAsia="zh-CN" w:bidi="ar"/>
              </w:rPr>
              <w:t>6</w:t>
            </w:r>
            <w:r>
              <w:rPr>
                <w:rFonts w:ascii="Times New Roman" w:hAnsi="Times New Roman" w:eastAsia="仿宋_GB2312"/>
                <w:b/>
                <w:bCs/>
                <w:kern w:val="0"/>
                <w:sz w:val="24"/>
                <w:szCs w:val="24"/>
                <w:lang w:bidi="ar"/>
              </w:rPr>
              <w:t>年</w:t>
            </w:r>
            <w:r>
              <w:rPr>
                <w:rFonts w:hint="eastAsia" w:ascii="Times New Roman" w:hAnsi="Times New Roman" w:eastAsia="仿宋_GB2312"/>
                <w:b/>
                <w:bCs/>
                <w:kern w:val="0"/>
                <w:sz w:val="24"/>
                <w:szCs w:val="24"/>
                <w:lang w:val="en-US" w:eastAsia="zh-CN" w:bidi="ar"/>
              </w:rPr>
              <w:t>上半年</w:t>
            </w:r>
            <w:r>
              <w:rPr>
                <w:rFonts w:ascii="Times New Roman" w:hAnsi="Times New Roman" w:eastAsia="仿宋_GB2312"/>
                <w:b/>
                <w:bCs/>
                <w:kern w:val="0"/>
                <w:sz w:val="24"/>
                <w:szCs w:val="24"/>
                <w:lang w:bidi="ar"/>
              </w:rPr>
              <w:t>经营业绩情况如何？</w:t>
            </w:r>
          </w:p>
          <w:bookmarkEnd w:id="0"/>
          <w:bookmarkEnd w:id="1"/>
          <w:p w14:paraId="5256482E">
            <w:pPr>
              <w:pStyle w:val="2"/>
              <w:spacing w:line="500" w:lineRule="exact"/>
              <w:ind w:firstLine="480" w:firstLineChars="200"/>
              <w:rPr>
                <w:rFonts w:hint="default" w:ascii="Times New Roman" w:hAnsi="Times New Roman" w:eastAsia="仿宋_GB2312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  <w:lang w:bidi="ar"/>
              </w:rPr>
              <w:t>答：2026年上半年，公司实现营业收入约420.91亿元，同比增长0.61%；归属于本公司股东的净利润为20.96亿元，同比下降16.70%；扣非后归属于本公司股东的净利润约19.39亿元，同比下降12.10%。</w:t>
            </w: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  <w:lang w:val="en-US" w:eastAsia="zh-CN" w:bidi="ar"/>
              </w:rPr>
              <w:t>公司持续盘活内部资源与资产，统筹推进生产经营全链条各项重点任务，助力各项业务稳步发展：聚焦恶性肿瘤、慢病管理、大呼吸、免疫系统及男科用药五大优势领域，强化研发投入力度，加快在研项目进度；医药产品与天然饮品不断深化与国际企业的合作，医药商业一体化跨境供应链综合服务能力持续提升，公司国际化布局进一步拓展；医药流通业务相关收购项目已完成交割，外用药新型透皮贴剂收购项目顺利落地，资本运作有序开展；设立数科公司，推动人工智能、大数据等前沿技术与医药健康产业深度融合，加快公司数字化转型进程。</w:t>
            </w:r>
          </w:p>
          <w:p w14:paraId="74A86682">
            <w:pPr>
              <w:pStyle w:val="2"/>
              <w:spacing w:line="500" w:lineRule="exact"/>
              <w:ind w:firstLine="480" w:firstLineChars="200"/>
              <w:rPr>
                <w:rFonts w:hint="eastAsia" w:ascii="Times New Roman" w:hAnsi="Times New Roman" w:eastAsia="仿宋_GB2312"/>
                <w:kern w:val="0"/>
                <w:sz w:val="24"/>
                <w:szCs w:val="24"/>
                <w:lang w:bidi="ar"/>
              </w:rPr>
            </w:pPr>
          </w:p>
          <w:p w14:paraId="2907F46C">
            <w:pPr>
              <w:pStyle w:val="2"/>
              <w:spacing w:line="500" w:lineRule="exact"/>
              <w:ind w:firstLine="482" w:firstLineChars="200"/>
              <w:rPr>
                <w:rFonts w:hint="eastAsia" w:ascii="Times New Roman" w:hAnsi="Times New Roman" w:eastAsia="仿宋_GB2312"/>
                <w:b/>
                <w:bCs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kern w:val="0"/>
                <w:sz w:val="24"/>
                <w:szCs w:val="24"/>
                <w:lang w:eastAsia="zh-CN" w:bidi="ar"/>
              </w:rPr>
              <w:t>（</w:t>
            </w:r>
            <w:r>
              <w:rPr>
                <w:rFonts w:hint="eastAsia" w:ascii="Times New Roman" w:hAnsi="Times New Roman" w:eastAsia="仿宋_GB2312"/>
                <w:b/>
                <w:bCs/>
                <w:kern w:val="0"/>
                <w:sz w:val="24"/>
                <w:szCs w:val="24"/>
                <w:lang w:val="en-US" w:eastAsia="zh-CN" w:bidi="ar"/>
              </w:rPr>
              <w:t>二</w:t>
            </w:r>
            <w:r>
              <w:rPr>
                <w:rFonts w:hint="eastAsia" w:ascii="Times New Roman" w:hAnsi="Times New Roman" w:eastAsia="仿宋_GB2312"/>
                <w:b/>
                <w:bCs/>
                <w:kern w:val="0"/>
                <w:sz w:val="24"/>
                <w:szCs w:val="24"/>
                <w:lang w:eastAsia="zh-CN" w:bidi="ar"/>
              </w:rPr>
              <w:t>）</w:t>
            </w:r>
            <w:r>
              <w:rPr>
                <w:rFonts w:hint="eastAsia" w:ascii="Times New Roman" w:hAnsi="Times New Roman" w:eastAsia="仿宋_GB2312"/>
                <w:b/>
                <w:bCs/>
                <w:kern w:val="0"/>
                <w:sz w:val="24"/>
                <w:szCs w:val="24"/>
                <w:lang w:val="en-US" w:eastAsia="zh-CN" w:bidi="ar"/>
              </w:rPr>
              <w:t>未来，公司的发展规划是怎么样的？</w:t>
            </w:r>
          </w:p>
          <w:p w14:paraId="2EF41690">
            <w:pPr>
              <w:pStyle w:val="2"/>
              <w:spacing w:line="500" w:lineRule="exact"/>
              <w:ind w:firstLine="480" w:firstLineChars="200"/>
              <w:rPr>
                <w:rFonts w:hint="eastAsia" w:ascii="Times New Roman" w:hAnsi="Times New Roman" w:eastAsia="仿宋_GB2312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  <w:lang w:val="en-US" w:eastAsia="zh-CN" w:bidi="ar"/>
              </w:rPr>
              <w:t>答：未来，公司一方面将推动现代中药、化药科技、天然饮品、医药商业四大基石业务板块稳中求进、提质增效；另一方面，积蓄动能，促进消费健康、生物创新、医疗服务等业务提速增势，推动公司现代化、数字化、科技化、国际化发展。</w:t>
            </w:r>
          </w:p>
          <w:p w14:paraId="04AC832E">
            <w:pPr>
              <w:pStyle w:val="2"/>
              <w:spacing w:line="500" w:lineRule="exact"/>
              <w:ind w:firstLine="480" w:firstLineChars="200"/>
              <w:rPr>
                <w:rFonts w:hint="eastAsia" w:ascii="Times New Roman" w:hAnsi="Times New Roman" w:eastAsia="仿宋_GB2312"/>
                <w:kern w:val="0"/>
                <w:sz w:val="24"/>
                <w:szCs w:val="24"/>
                <w:lang w:val="en-US" w:eastAsia="zh-CN" w:bidi="ar"/>
              </w:rPr>
            </w:pPr>
            <w:bookmarkStart w:id="2" w:name="_GoBack"/>
            <w:bookmarkEnd w:id="2"/>
          </w:p>
          <w:p w14:paraId="06898AEB">
            <w:pPr>
              <w:pStyle w:val="2"/>
              <w:spacing w:line="500" w:lineRule="exact"/>
              <w:ind w:firstLine="482" w:firstLineChars="200"/>
              <w:rPr>
                <w:rFonts w:hint="default" w:ascii="Times New Roman" w:hAnsi="Times New Roman" w:eastAsia="仿宋_GB2312"/>
                <w:b/>
                <w:bCs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kern w:val="0"/>
                <w:sz w:val="24"/>
                <w:szCs w:val="24"/>
                <w:lang w:val="en-US" w:eastAsia="zh-CN" w:bidi="ar"/>
              </w:rPr>
              <w:t>（三）公司将如何推动创新转型？</w:t>
            </w:r>
          </w:p>
          <w:p w14:paraId="45991695">
            <w:pPr>
              <w:pStyle w:val="2"/>
              <w:spacing w:line="500" w:lineRule="exact"/>
              <w:ind w:firstLine="480" w:firstLineChars="200"/>
              <w:rPr>
                <w:rFonts w:hint="eastAsia" w:ascii="Times New Roman" w:hAnsi="Times New Roman" w:eastAsia="仿宋_GB2312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  <w:lang w:val="en-US" w:eastAsia="zh-CN" w:bidi="ar"/>
              </w:rPr>
              <w:t>答：公司将聚焦抗体、小分子、核酸、多肽等重点领域，通过自研、校企共建、管线引进、股权并购等方式，大力推进公司创新转型。</w:t>
            </w:r>
          </w:p>
          <w:p w14:paraId="0AF6B5A1">
            <w:pPr>
              <w:pStyle w:val="2"/>
              <w:spacing w:line="500" w:lineRule="exact"/>
              <w:ind w:firstLine="480" w:firstLineChars="200"/>
              <w:rPr>
                <w:rFonts w:hint="eastAsia" w:ascii="Times New Roman" w:hAnsi="Times New Roman" w:eastAsia="仿宋_GB2312"/>
                <w:kern w:val="0"/>
                <w:sz w:val="24"/>
                <w:szCs w:val="24"/>
                <w:lang w:val="en-US" w:eastAsia="zh-CN" w:bidi="ar"/>
              </w:rPr>
            </w:pPr>
          </w:p>
          <w:p w14:paraId="4EABDC33">
            <w:pPr>
              <w:pStyle w:val="2"/>
              <w:spacing w:line="500" w:lineRule="exact"/>
              <w:ind w:firstLine="482" w:firstLineChars="200"/>
              <w:rPr>
                <w:rFonts w:hint="eastAsia" w:ascii="Times New Roman" w:hAnsi="Times New Roman" w:eastAsia="仿宋_GB2312"/>
                <w:b/>
                <w:bCs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kern w:val="0"/>
                <w:sz w:val="24"/>
                <w:szCs w:val="24"/>
                <w:lang w:val="en-US" w:eastAsia="zh-CN" w:bidi="ar"/>
              </w:rPr>
              <w:t>（四）公司对于创新型项目的选取会有哪些考量？</w:t>
            </w:r>
          </w:p>
          <w:p w14:paraId="019F2D2E">
            <w:pPr>
              <w:pStyle w:val="2"/>
              <w:spacing w:line="500" w:lineRule="exact"/>
              <w:ind w:firstLine="480" w:firstLineChars="200"/>
              <w:rPr>
                <w:rFonts w:hint="eastAsia" w:ascii="Times New Roman" w:hAnsi="Times New Roman" w:eastAsia="仿宋_GB2312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  <w:lang w:val="en-US" w:eastAsia="zh-CN" w:bidi="ar"/>
              </w:rPr>
              <w:t>答：在引进方面，公司建立超百项BD管线库，超60项意向管线完成初步研判并跟进洽谈，其中近10项创新药管线已进入尽职调查和谈判等阶段，治疗领域覆盖内分泌、皮肤科、抗肿瘤及肿瘤联合用药、呼吸系统等临床重点需求方向及前沿领域。</w:t>
            </w:r>
          </w:p>
          <w:p w14:paraId="28EB0FF9">
            <w:pPr>
              <w:pStyle w:val="2"/>
              <w:spacing w:line="500" w:lineRule="exact"/>
              <w:ind w:firstLine="480" w:firstLineChars="200"/>
              <w:rPr>
                <w:rFonts w:hint="eastAsia" w:eastAsia="等线"/>
                <w:lang w:eastAsia="zh-CN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  <w:lang w:val="en-US" w:eastAsia="zh-CN" w:bidi="ar"/>
              </w:rPr>
              <w:t>公司已建立系统化、科学化的项目评估与决策机制，重点聚焦于能够补强公司在慢性病、生殖健康、抗感染及大呼吸等优势领域的项目，同时加强布局生物制药以及依托先进技术的前沿领域项目。此外，公司亦将项目的规模、盈利能力和技术壁垒纳入综合考量范围。</w:t>
            </w:r>
          </w:p>
          <w:p w14:paraId="744426D8">
            <w:pPr>
              <w:pStyle w:val="2"/>
              <w:spacing w:line="500" w:lineRule="exact"/>
              <w:ind w:firstLine="480" w:firstLineChars="200"/>
              <w:rPr>
                <w:rFonts w:hint="eastAsia" w:ascii="Times New Roman" w:hAnsi="Times New Roman" w:eastAsia="仿宋_GB2312"/>
                <w:kern w:val="0"/>
                <w:sz w:val="24"/>
                <w:szCs w:val="24"/>
                <w:lang w:val="en-US" w:eastAsia="zh-CN" w:bidi="ar"/>
              </w:rPr>
            </w:pPr>
          </w:p>
          <w:p w14:paraId="4C7F71F0">
            <w:pPr>
              <w:pStyle w:val="2"/>
              <w:spacing w:line="500" w:lineRule="exact"/>
              <w:ind w:firstLine="482" w:firstLineChars="200"/>
              <w:rPr>
                <w:rFonts w:hint="eastAsia" w:ascii="Times New Roman" w:hAnsi="Times New Roman" w:eastAsia="仿宋_GB2312"/>
                <w:b/>
                <w:bCs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kern w:val="0"/>
                <w:sz w:val="24"/>
                <w:szCs w:val="24"/>
                <w:lang w:val="en-US" w:eastAsia="zh-CN" w:bidi="ar"/>
              </w:rPr>
              <w:t>（五）公司在科研人员激励方面有何举措？</w:t>
            </w:r>
          </w:p>
          <w:p w14:paraId="166C3B7B">
            <w:pPr>
              <w:pStyle w:val="2"/>
              <w:spacing w:line="500" w:lineRule="exact"/>
              <w:ind w:firstLine="480" w:firstLineChars="200"/>
              <w:rPr>
                <w:rFonts w:hint="eastAsia" w:ascii="Times New Roman" w:hAnsi="Times New Roman" w:eastAsia="仿宋_GB2312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  <w:lang w:val="en-US" w:eastAsia="zh-CN" w:bidi="ar"/>
              </w:rPr>
              <w:t>答：公司持续强化科技创新体制机制保障，完善考核评价体系，提升科研治理效能；同时，积极探索契合自身实际需求的激励工具，构建科学有效的科研人才激励与保障机制，优化创新考评、多元激励及科学容错机制，稳定核心科研团队，保障公司创新研发工作持续推进。</w:t>
            </w:r>
          </w:p>
          <w:p w14:paraId="5CFFEB2A">
            <w:pPr>
              <w:pStyle w:val="2"/>
              <w:spacing w:line="500" w:lineRule="exact"/>
              <w:ind w:firstLine="480" w:firstLineChars="200"/>
              <w:rPr>
                <w:rFonts w:hint="eastAsia" w:ascii="Times New Roman" w:hAnsi="Times New Roman" w:eastAsia="仿宋_GB2312"/>
                <w:kern w:val="0"/>
                <w:sz w:val="24"/>
                <w:szCs w:val="24"/>
                <w:lang w:val="en-US" w:eastAsia="zh-CN" w:bidi="ar"/>
              </w:rPr>
            </w:pPr>
          </w:p>
          <w:p w14:paraId="70BEC80A">
            <w:pPr>
              <w:pStyle w:val="2"/>
              <w:spacing w:line="500" w:lineRule="exact"/>
              <w:ind w:firstLine="482" w:firstLineChars="200"/>
              <w:rPr>
                <w:rFonts w:hint="eastAsia" w:ascii="Times New Roman" w:hAnsi="Times New Roman" w:eastAsia="仿宋_GB2312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kern w:val="0"/>
                <w:sz w:val="24"/>
                <w:szCs w:val="24"/>
                <w:lang w:val="en-US" w:eastAsia="zh-CN" w:bidi="ar"/>
              </w:rPr>
              <w:t>（六）面对当前的挑战，公司计划如何稳住基石业务</w:t>
            </w: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  <w:lang w:val="en-US" w:eastAsia="zh-CN" w:bidi="ar"/>
              </w:rPr>
              <w:t>？</w:t>
            </w:r>
          </w:p>
          <w:p w14:paraId="26AD945A">
            <w:pPr>
              <w:pStyle w:val="2"/>
              <w:spacing w:line="500" w:lineRule="exact"/>
              <w:ind w:firstLine="480" w:firstLineChars="200"/>
              <w:rPr>
                <w:rFonts w:hint="eastAsia" w:ascii="Times New Roman" w:hAnsi="Times New Roman" w:eastAsia="仿宋_GB2312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  <w:lang w:val="en-US" w:eastAsia="zh-CN" w:bidi="ar"/>
              </w:rPr>
              <w:t>答：针对上半年公司业绩承压的情况，公司将依托数字化手段，加快推动营销体系改革与大单品培育工程，促进现代中药及化药科技存量业务持续发展；同时，重点推进即饮餐饮终端拓展、新品开发及国际化布局，在巩固天然饮品业务既有优势的基础上，积极打造新的增长点。</w:t>
            </w:r>
          </w:p>
          <w:p w14:paraId="7BAABC4D">
            <w:pPr>
              <w:pStyle w:val="2"/>
              <w:spacing w:line="500" w:lineRule="exact"/>
              <w:ind w:firstLine="480" w:firstLineChars="200"/>
              <w:rPr>
                <w:rFonts w:hint="eastAsia" w:ascii="Times New Roman" w:hAnsi="Times New Roman" w:eastAsia="仿宋_GB2312"/>
                <w:kern w:val="0"/>
                <w:sz w:val="24"/>
                <w:szCs w:val="24"/>
                <w:lang w:val="en-US" w:eastAsia="zh-CN" w:bidi="ar"/>
              </w:rPr>
            </w:pPr>
          </w:p>
          <w:p w14:paraId="6CABABBF">
            <w:pPr>
              <w:pStyle w:val="2"/>
              <w:spacing w:line="500" w:lineRule="exact"/>
              <w:ind w:firstLine="482" w:firstLineChars="200"/>
              <w:rPr>
                <w:rFonts w:hint="default" w:ascii="Times New Roman" w:hAnsi="Times New Roman" w:eastAsia="仿宋_GB2312"/>
                <w:b/>
                <w:bCs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kern w:val="0"/>
                <w:sz w:val="24"/>
                <w:szCs w:val="24"/>
                <w:lang w:val="en-US" w:eastAsia="zh-CN" w:bidi="ar"/>
              </w:rPr>
              <w:t>（七）公司计划如何推进国际化布局？</w:t>
            </w:r>
          </w:p>
          <w:p w14:paraId="1FF38793">
            <w:pPr>
              <w:pStyle w:val="2"/>
              <w:spacing w:line="500" w:lineRule="exact"/>
              <w:ind w:firstLine="480" w:firstLineChars="200"/>
              <w:rPr>
                <w:rFonts w:hint="default" w:ascii="Times New Roman" w:hAnsi="Times New Roman" w:eastAsia="仿宋_GB2312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  <w:lang w:val="en-US" w:eastAsia="zh-CN" w:bidi="ar"/>
              </w:rPr>
              <w:t>答：公司将分类分步、有序推进国际化布局。一方面，按照天然饮品与消费健康、原料药、中成药、化药等品类，全面推进产品出海、产能出海与品牌出海；另一方面，依托越南专班、中亚专班等海外实体平台，在东南亚、东亚及港澳、中亚及非洲等重点区域，梯次实施国际化布局工作。</w:t>
            </w:r>
          </w:p>
          <w:p w14:paraId="2DFAAD37">
            <w:pPr>
              <w:pStyle w:val="2"/>
              <w:spacing w:line="500" w:lineRule="exact"/>
              <w:ind w:firstLine="480" w:firstLineChars="200"/>
              <w:rPr>
                <w:rFonts w:hint="eastAsia" w:ascii="Times New Roman" w:hAnsi="Times New Roman" w:eastAsia="仿宋_GB2312"/>
                <w:kern w:val="0"/>
                <w:sz w:val="24"/>
                <w:szCs w:val="24"/>
                <w:lang w:val="en-US" w:eastAsia="zh-CN" w:bidi="ar"/>
              </w:rPr>
            </w:pPr>
          </w:p>
          <w:p w14:paraId="64435093">
            <w:pPr>
              <w:pStyle w:val="2"/>
              <w:spacing w:line="500" w:lineRule="exact"/>
              <w:ind w:firstLine="482" w:firstLineChars="200"/>
              <w:rPr>
                <w:rFonts w:hint="eastAsia" w:ascii="Times New Roman" w:hAnsi="Times New Roman" w:eastAsia="仿宋_GB2312"/>
                <w:b/>
                <w:bCs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kern w:val="0"/>
                <w:sz w:val="24"/>
                <w:szCs w:val="24"/>
                <w:lang w:val="en-US" w:eastAsia="zh-CN" w:bidi="ar"/>
              </w:rPr>
              <w:t>（八）公司天然饮品布局在东南亚的生产基地目前进展如何？</w:t>
            </w:r>
          </w:p>
          <w:p w14:paraId="3BC820EF">
            <w:pPr>
              <w:pStyle w:val="2"/>
              <w:spacing w:line="500" w:lineRule="exact"/>
              <w:ind w:firstLine="480" w:firstLineChars="200"/>
              <w:rPr>
                <w:rFonts w:hint="eastAsia" w:ascii="Times New Roman" w:hAnsi="Times New Roman" w:eastAsia="仿宋_GB2312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  <w:lang w:val="en-US" w:eastAsia="zh-CN" w:bidi="ar"/>
              </w:rPr>
              <w:t>答：公司正积极推进天然饮品从产品出海向产能出海的战略布局。在东南亚市场，公司采用轻资产OEM合作模式推进马来西亚本土化产能建设，目前已与宝钢制罐、P.C.I.专业罐装公司构建起“供应链+生产+分销”协同体系，低糖版产品配方已获得清真认证，试产工作顺利推进，项目整体按计划有序实施。后续投产节奏将结合市场需求、商务条件等多重因素稳步安排。</w:t>
            </w:r>
          </w:p>
          <w:p w14:paraId="75201FD3">
            <w:pPr>
              <w:pStyle w:val="2"/>
              <w:spacing w:line="500" w:lineRule="exact"/>
              <w:ind w:firstLine="480" w:firstLineChars="200"/>
              <w:rPr>
                <w:rFonts w:hint="eastAsia" w:ascii="Times New Roman" w:hAnsi="Times New Roman" w:eastAsia="仿宋_GB2312"/>
                <w:kern w:val="0"/>
                <w:sz w:val="24"/>
                <w:szCs w:val="24"/>
                <w:lang w:val="en-US" w:eastAsia="zh-CN" w:bidi="ar"/>
              </w:rPr>
            </w:pPr>
          </w:p>
          <w:p w14:paraId="0AD4BCAE">
            <w:pPr>
              <w:pStyle w:val="2"/>
              <w:spacing w:line="500" w:lineRule="exact"/>
              <w:ind w:firstLine="482" w:firstLineChars="200"/>
              <w:rPr>
                <w:rFonts w:hint="eastAsia" w:ascii="Times New Roman" w:hAnsi="Times New Roman" w:eastAsia="仿宋_GB2312"/>
                <w:b/>
                <w:bCs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kern w:val="0"/>
                <w:sz w:val="24"/>
                <w:szCs w:val="24"/>
                <w:lang w:eastAsia="zh-CN" w:bidi="ar"/>
              </w:rPr>
              <w:t>（</w:t>
            </w:r>
            <w:r>
              <w:rPr>
                <w:rFonts w:hint="eastAsia" w:ascii="Times New Roman" w:hAnsi="Times New Roman" w:eastAsia="仿宋_GB2312"/>
                <w:b/>
                <w:bCs/>
                <w:kern w:val="0"/>
                <w:sz w:val="24"/>
                <w:szCs w:val="24"/>
                <w:lang w:val="en-US" w:eastAsia="zh-CN" w:bidi="ar"/>
              </w:rPr>
              <w:t>九</w:t>
            </w:r>
            <w:r>
              <w:rPr>
                <w:rFonts w:hint="eastAsia" w:ascii="Times New Roman" w:hAnsi="Times New Roman" w:eastAsia="仿宋_GB2312"/>
                <w:b/>
                <w:bCs/>
                <w:kern w:val="0"/>
                <w:sz w:val="24"/>
                <w:szCs w:val="24"/>
                <w:lang w:eastAsia="zh-CN" w:bidi="ar"/>
              </w:rPr>
              <w:t>）</w:t>
            </w:r>
            <w:r>
              <w:rPr>
                <w:rFonts w:hint="eastAsia" w:ascii="Times New Roman" w:hAnsi="Times New Roman" w:eastAsia="仿宋_GB2312"/>
                <w:b/>
                <w:bCs/>
                <w:kern w:val="0"/>
                <w:sz w:val="24"/>
                <w:szCs w:val="24"/>
                <w:lang w:val="en-US" w:eastAsia="zh-CN" w:bidi="ar"/>
              </w:rPr>
              <w:t>公司在数字化建设方面有何推进计划？</w:t>
            </w:r>
          </w:p>
          <w:p w14:paraId="1A65B4F2">
            <w:pPr>
              <w:pStyle w:val="2"/>
              <w:spacing w:line="500" w:lineRule="exact"/>
              <w:ind w:firstLine="480" w:firstLineChars="200"/>
              <w:rPr>
                <w:rFonts w:hint="eastAsia" w:ascii="Times New Roman" w:hAnsi="Times New Roman" w:eastAsia="仿宋_GB2312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  <w:lang w:val="en-US" w:eastAsia="zh-CN" w:bidi="ar"/>
              </w:rPr>
              <w:t>答：2026年，公司与广州数字科技集团有限公司共同出资设立数科公司，致力于推动人工智能、大数据等前沿技术与医药健康产业的深度融合；随后，由数科公司牵头申报的《国产算力驱动的新药创制AI智能体研发与应用》项目成功入选国家工信部发布的《人工智能高价值场景应用案例集》，成为该案例集中国内制药行业唯一入选项目。</w:t>
            </w:r>
          </w:p>
          <w:p w14:paraId="212AF80E">
            <w:pPr>
              <w:pStyle w:val="2"/>
              <w:spacing w:line="500" w:lineRule="exact"/>
              <w:ind w:firstLine="480" w:firstLineChars="200"/>
              <w:rPr>
                <w:rFonts w:hint="eastAsia" w:eastAsia="等线"/>
                <w:lang w:eastAsia="zh-CN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  <w:lang w:val="en-US" w:eastAsia="zh-CN" w:bidi="ar"/>
              </w:rPr>
              <w:t>公司正全力构建一体化数字底座，将数字化深度融入研发、供应链、生产、营销及管理等全产业链环节，为各项业务的持续发展与稳健增长注入全新动力。</w:t>
            </w:r>
          </w:p>
          <w:p w14:paraId="74FB6315">
            <w:pPr>
              <w:pStyle w:val="2"/>
              <w:spacing w:line="500" w:lineRule="exact"/>
              <w:ind w:firstLine="480" w:firstLineChars="200"/>
              <w:rPr>
                <w:rFonts w:ascii="Times New Roman" w:hAnsi="Times New Roman" w:eastAsia="仿宋_GB2312"/>
                <w:kern w:val="0"/>
                <w:sz w:val="24"/>
                <w:szCs w:val="24"/>
                <w:lang w:bidi="ar"/>
              </w:rPr>
            </w:pPr>
          </w:p>
          <w:p w14:paraId="33A9E021">
            <w:pPr>
              <w:pStyle w:val="2"/>
              <w:spacing w:line="500" w:lineRule="exact"/>
              <w:ind w:firstLine="482" w:firstLineChars="200"/>
              <w:rPr>
                <w:rFonts w:hint="eastAsia" w:ascii="Times New Roman" w:hAnsi="Times New Roman" w:eastAsia="仿宋_GB2312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kern w:val="0"/>
                <w:sz w:val="24"/>
                <w:szCs w:val="24"/>
                <w:lang w:eastAsia="zh-CN" w:bidi="ar"/>
              </w:rPr>
              <w:t>（</w:t>
            </w:r>
            <w:r>
              <w:rPr>
                <w:rFonts w:hint="eastAsia" w:ascii="Times New Roman" w:hAnsi="Times New Roman" w:eastAsia="仿宋_GB2312"/>
                <w:b/>
                <w:bCs/>
                <w:kern w:val="0"/>
                <w:sz w:val="24"/>
                <w:szCs w:val="24"/>
                <w:lang w:val="en-US" w:eastAsia="zh-CN" w:bidi="ar"/>
              </w:rPr>
              <w:t>十</w:t>
            </w:r>
            <w:r>
              <w:rPr>
                <w:rFonts w:hint="eastAsia" w:ascii="Times New Roman" w:hAnsi="Times New Roman" w:eastAsia="仿宋_GB2312"/>
                <w:b/>
                <w:bCs/>
                <w:kern w:val="0"/>
                <w:sz w:val="24"/>
                <w:szCs w:val="24"/>
                <w:lang w:eastAsia="zh-CN" w:bidi="ar"/>
              </w:rPr>
              <w:t>）</w:t>
            </w:r>
            <w:r>
              <w:rPr>
                <w:rFonts w:hint="eastAsia" w:ascii="Times New Roman" w:hAnsi="Times New Roman" w:eastAsia="仿宋_GB2312"/>
                <w:b/>
                <w:bCs/>
                <w:kern w:val="0"/>
                <w:sz w:val="24"/>
                <w:szCs w:val="24"/>
                <w:lang w:val="en-US" w:eastAsia="zh-CN" w:bidi="ar"/>
              </w:rPr>
              <w:t>公司业务结构多元，子公司较多，是否有整合计划？</w:t>
            </w:r>
          </w:p>
          <w:p w14:paraId="0ADCED88">
            <w:pPr>
              <w:pStyle w:val="2"/>
              <w:spacing w:line="500" w:lineRule="exact"/>
              <w:ind w:firstLine="480" w:firstLineChars="200"/>
              <w:rPr>
                <w:rFonts w:hint="eastAsia" w:ascii="Times New Roman" w:hAnsi="Times New Roman" w:eastAsia="仿宋_GB2312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  <w:lang w:val="en-US" w:eastAsia="zh-CN" w:bidi="ar"/>
              </w:rPr>
              <w:t>答：公司将深化产业重组整合，有序推进业务优化整合、集采供应链资源等方面整合，不断夯实公司长期发展基础，提升整体经营质量与盈利能力。</w:t>
            </w:r>
          </w:p>
          <w:p w14:paraId="0D97339D">
            <w:pPr>
              <w:pStyle w:val="2"/>
              <w:spacing w:line="500" w:lineRule="exact"/>
              <w:ind w:firstLine="480" w:firstLineChars="200"/>
              <w:rPr>
                <w:rFonts w:hint="default" w:ascii="Times New Roman" w:hAnsi="Times New Roman" w:eastAsia="仿宋_GB2312"/>
                <w:kern w:val="0"/>
                <w:sz w:val="24"/>
                <w:szCs w:val="24"/>
                <w:lang w:val="en-US" w:eastAsia="zh-CN" w:bidi="ar"/>
              </w:rPr>
            </w:pPr>
          </w:p>
          <w:p w14:paraId="259EAB4E">
            <w:pPr>
              <w:pStyle w:val="2"/>
              <w:spacing w:line="500" w:lineRule="exact"/>
              <w:ind w:firstLine="482" w:firstLineChars="200"/>
              <w:rPr>
                <w:rFonts w:hint="eastAsia" w:ascii="Times New Roman" w:hAnsi="Times New Roman" w:eastAsia="仿宋_GB2312"/>
                <w:b/>
                <w:bCs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kern w:val="0"/>
                <w:sz w:val="24"/>
                <w:szCs w:val="24"/>
                <w:lang w:eastAsia="zh-CN" w:bidi="ar"/>
              </w:rPr>
              <w:t>（</w:t>
            </w:r>
            <w:r>
              <w:rPr>
                <w:rFonts w:hint="eastAsia" w:ascii="Times New Roman" w:hAnsi="Times New Roman" w:eastAsia="仿宋_GB2312"/>
                <w:b/>
                <w:bCs/>
                <w:kern w:val="0"/>
                <w:sz w:val="24"/>
                <w:szCs w:val="24"/>
                <w:lang w:val="en-US" w:eastAsia="zh-CN" w:bidi="ar"/>
              </w:rPr>
              <w:t>十一</w:t>
            </w:r>
            <w:r>
              <w:rPr>
                <w:rFonts w:hint="eastAsia" w:ascii="Times New Roman" w:hAnsi="Times New Roman" w:eastAsia="仿宋_GB2312"/>
                <w:b/>
                <w:bCs/>
                <w:kern w:val="0"/>
                <w:sz w:val="24"/>
                <w:szCs w:val="24"/>
                <w:lang w:eastAsia="zh-CN" w:bidi="ar"/>
              </w:rPr>
              <w:t>）</w:t>
            </w:r>
            <w:r>
              <w:rPr>
                <w:rFonts w:hint="eastAsia" w:ascii="Times New Roman" w:hAnsi="Times New Roman" w:eastAsia="仿宋_GB2312"/>
                <w:b/>
                <w:bCs/>
                <w:kern w:val="0"/>
                <w:sz w:val="24"/>
                <w:szCs w:val="24"/>
                <w:lang w:bidi="ar"/>
              </w:rPr>
              <w:t>公司是否会考虑提高分红？</w:t>
            </w:r>
          </w:p>
          <w:p w14:paraId="00A20B99">
            <w:pPr>
              <w:pStyle w:val="2"/>
              <w:spacing w:line="500" w:lineRule="exact"/>
              <w:ind w:firstLine="480" w:firstLineChars="200"/>
              <w:rPr>
                <w:rFonts w:ascii="宋体" w:hAnsi="宋体" w:eastAsia="宋体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  <w:lang w:bidi="ar"/>
              </w:rPr>
              <w:t>答：公司已制定2026年中期现金分红</w:t>
            </w: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  <w:lang w:val="en-US" w:eastAsia="zh-CN" w:bidi="ar"/>
              </w:rPr>
              <w:t>方案</w:t>
            </w: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  <w:lang w:bidi="ar"/>
              </w:rPr>
              <w:t>，</w:t>
            </w: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  <w:lang w:val="en-US" w:eastAsia="zh-CN" w:bidi="ar"/>
              </w:rPr>
              <w:t>拟</w:t>
            </w: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  <w:lang w:bidi="ar"/>
              </w:rPr>
              <w:t>每股派发现金红利</w:t>
            </w: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  <w:lang w:val="en-US" w:eastAsia="zh-CN" w:bidi="ar"/>
              </w:rPr>
              <w:t>人民币</w:t>
            </w: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  <w:lang w:bidi="ar"/>
              </w:rPr>
              <w:t>0.</w:t>
            </w: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  <w:lang w:val="en-US" w:eastAsia="zh-CN" w:bidi="ar"/>
              </w:rPr>
              <w:t>30</w:t>
            </w: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  <w:lang w:bidi="ar"/>
              </w:rPr>
              <w:t>元（含税）</w:t>
            </w: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  <w:lang w:eastAsia="zh-CN" w:bidi="ar"/>
              </w:rPr>
              <w:t>，合计拟派发现金红利人民币</w:t>
            </w: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  <w:lang w:val="en-US" w:eastAsia="zh-CN" w:bidi="ar"/>
              </w:rPr>
              <w:t>约4.88亿元</w:t>
            </w: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  <w:lang w:bidi="ar"/>
              </w:rPr>
              <w:t>。未来，公司将继续保证利润分配政策的连续性和稳定性，平衡业务发展和股东回报，积极提升回报投资者的能力和水平，同时统筹兼顾公司长远发展、全体股东整体利益与可持续发展需要，实现股东回报与企业长期价值的协同统一。</w:t>
            </w:r>
          </w:p>
        </w:tc>
      </w:tr>
    </w:tbl>
    <w:p w14:paraId="49E92A37">
      <w:pPr>
        <w:rPr>
          <w:rFonts w:ascii="宋体" w:hAnsi="宋体" w:eastAsia="宋体"/>
          <w:sz w:val="24"/>
          <w:szCs w:val="24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9B27B9"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3E8D152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3E8D152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2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FhMmVlNzFjNDI0ZTliMTBjN2NmZDYxODZkZGVmMDcifQ=="/>
  </w:docVars>
  <w:rsids>
    <w:rsidRoot w:val="00172A27"/>
    <w:rsid w:val="00025CB0"/>
    <w:rsid w:val="00026AD9"/>
    <w:rsid w:val="00032329"/>
    <w:rsid w:val="000423CF"/>
    <w:rsid w:val="00044D1C"/>
    <w:rsid w:val="00050DF4"/>
    <w:rsid w:val="0005752C"/>
    <w:rsid w:val="00061C18"/>
    <w:rsid w:val="0008758C"/>
    <w:rsid w:val="000C455F"/>
    <w:rsid w:val="00150AE8"/>
    <w:rsid w:val="001512EA"/>
    <w:rsid w:val="00162AF3"/>
    <w:rsid w:val="00172A27"/>
    <w:rsid w:val="00181A29"/>
    <w:rsid w:val="00190A5F"/>
    <w:rsid w:val="00192476"/>
    <w:rsid w:val="0019375C"/>
    <w:rsid w:val="001A7C3F"/>
    <w:rsid w:val="001B2FA5"/>
    <w:rsid w:val="001D5B13"/>
    <w:rsid w:val="001D6CF4"/>
    <w:rsid w:val="001E2434"/>
    <w:rsid w:val="001E2B27"/>
    <w:rsid w:val="001E5849"/>
    <w:rsid w:val="001F0D8E"/>
    <w:rsid w:val="001F644B"/>
    <w:rsid w:val="002030C7"/>
    <w:rsid w:val="00227682"/>
    <w:rsid w:val="00234F62"/>
    <w:rsid w:val="0023523C"/>
    <w:rsid w:val="00237154"/>
    <w:rsid w:val="0023740A"/>
    <w:rsid w:val="00244BDD"/>
    <w:rsid w:val="002A55F9"/>
    <w:rsid w:val="002D34CA"/>
    <w:rsid w:val="002D719D"/>
    <w:rsid w:val="002F071F"/>
    <w:rsid w:val="0031151B"/>
    <w:rsid w:val="00333576"/>
    <w:rsid w:val="003638D2"/>
    <w:rsid w:val="00372AEC"/>
    <w:rsid w:val="00372E22"/>
    <w:rsid w:val="003843DA"/>
    <w:rsid w:val="00393833"/>
    <w:rsid w:val="003B20EB"/>
    <w:rsid w:val="003D4A24"/>
    <w:rsid w:val="003E2611"/>
    <w:rsid w:val="00416276"/>
    <w:rsid w:val="00417D16"/>
    <w:rsid w:val="0042267D"/>
    <w:rsid w:val="00426DE7"/>
    <w:rsid w:val="00430C9F"/>
    <w:rsid w:val="00440515"/>
    <w:rsid w:val="00444319"/>
    <w:rsid w:val="004508A9"/>
    <w:rsid w:val="00454DB9"/>
    <w:rsid w:val="004575B0"/>
    <w:rsid w:val="004629A5"/>
    <w:rsid w:val="00464276"/>
    <w:rsid w:val="004830A0"/>
    <w:rsid w:val="004A0494"/>
    <w:rsid w:val="004D0DC3"/>
    <w:rsid w:val="004D7C37"/>
    <w:rsid w:val="00535815"/>
    <w:rsid w:val="005666FB"/>
    <w:rsid w:val="0058744F"/>
    <w:rsid w:val="005A0C6A"/>
    <w:rsid w:val="005A6D48"/>
    <w:rsid w:val="005D695F"/>
    <w:rsid w:val="005E6EA6"/>
    <w:rsid w:val="005F2058"/>
    <w:rsid w:val="005F2987"/>
    <w:rsid w:val="005F4FCF"/>
    <w:rsid w:val="005F6069"/>
    <w:rsid w:val="00624602"/>
    <w:rsid w:val="00631DD3"/>
    <w:rsid w:val="006366B1"/>
    <w:rsid w:val="00641E4D"/>
    <w:rsid w:val="00643621"/>
    <w:rsid w:val="00653716"/>
    <w:rsid w:val="00672B6C"/>
    <w:rsid w:val="00676F1A"/>
    <w:rsid w:val="0068760B"/>
    <w:rsid w:val="00690627"/>
    <w:rsid w:val="00694DCE"/>
    <w:rsid w:val="006A31C5"/>
    <w:rsid w:val="006B399C"/>
    <w:rsid w:val="006C7988"/>
    <w:rsid w:val="006D3077"/>
    <w:rsid w:val="006E36C1"/>
    <w:rsid w:val="006F0129"/>
    <w:rsid w:val="006F78C2"/>
    <w:rsid w:val="007118FE"/>
    <w:rsid w:val="00711D0F"/>
    <w:rsid w:val="00711D80"/>
    <w:rsid w:val="007137B8"/>
    <w:rsid w:val="00716CD9"/>
    <w:rsid w:val="007616A5"/>
    <w:rsid w:val="007636A3"/>
    <w:rsid w:val="007802B8"/>
    <w:rsid w:val="00795FD5"/>
    <w:rsid w:val="007A2E2D"/>
    <w:rsid w:val="007C124C"/>
    <w:rsid w:val="007C2D01"/>
    <w:rsid w:val="007E76DC"/>
    <w:rsid w:val="008000EC"/>
    <w:rsid w:val="00806304"/>
    <w:rsid w:val="00812351"/>
    <w:rsid w:val="00816522"/>
    <w:rsid w:val="008534FA"/>
    <w:rsid w:val="00861A58"/>
    <w:rsid w:val="008F5BDD"/>
    <w:rsid w:val="00900532"/>
    <w:rsid w:val="00916D30"/>
    <w:rsid w:val="0092138B"/>
    <w:rsid w:val="00924CFF"/>
    <w:rsid w:val="00926D52"/>
    <w:rsid w:val="00940C21"/>
    <w:rsid w:val="00941BE8"/>
    <w:rsid w:val="00954ADF"/>
    <w:rsid w:val="00957621"/>
    <w:rsid w:val="00965600"/>
    <w:rsid w:val="00981F53"/>
    <w:rsid w:val="009846E6"/>
    <w:rsid w:val="009917D2"/>
    <w:rsid w:val="009A2F93"/>
    <w:rsid w:val="009B2D59"/>
    <w:rsid w:val="009D1231"/>
    <w:rsid w:val="009E4068"/>
    <w:rsid w:val="00A04B95"/>
    <w:rsid w:val="00A055C7"/>
    <w:rsid w:val="00A27FC2"/>
    <w:rsid w:val="00A31AD1"/>
    <w:rsid w:val="00A42E7E"/>
    <w:rsid w:val="00A838B1"/>
    <w:rsid w:val="00AB16B9"/>
    <w:rsid w:val="00AB2E37"/>
    <w:rsid w:val="00AB78DB"/>
    <w:rsid w:val="00AD1DDC"/>
    <w:rsid w:val="00AE3836"/>
    <w:rsid w:val="00AF4F8E"/>
    <w:rsid w:val="00B10F38"/>
    <w:rsid w:val="00B2542A"/>
    <w:rsid w:val="00B34BCA"/>
    <w:rsid w:val="00B409FC"/>
    <w:rsid w:val="00B4791A"/>
    <w:rsid w:val="00B47DA0"/>
    <w:rsid w:val="00B82458"/>
    <w:rsid w:val="00B85224"/>
    <w:rsid w:val="00B85BF3"/>
    <w:rsid w:val="00B86058"/>
    <w:rsid w:val="00BA4FAB"/>
    <w:rsid w:val="00BD34F3"/>
    <w:rsid w:val="00BE71DD"/>
    <w:rsid w:val="00BF53F3"/>
    <w:rsid w:val="00BF6490"/>
    <w:rsid w:val="00C17FFD"/>
    <w:rsid w:val="00C30AEE"/>
    <w:rsid w:val="00C419EA"/>
    <w:rsid w:val="00C52639"/>
    <w:rsid w:val="00C618C3"/>
    <w:rsid w:val="00C6785D"/>
    <w:rsid w:val="00C67F92"/>
    <w:rsid w:val="00C74C1A"/>
    <w:rsid w:val="00C84386"/>
    <w:rsid w:val="00C90242"/>
    <w:rsid w:val="00CB14DC"/>
    <w:rsid w:val="00CC5714"/>
    <w:rsid w:val="00CE6791"/>
    <w:rsid w:val="00CF047B"/>
    <w:rsid w:val="00CF1631"/>
    <w:rsid w:val="00CF4DDB"/>
    <w:rsid w:val="00D075FA"/>
    <w:rsid w:val="00D132CA"/>
    <w:rsid w:val="00D15514"/>
    <w:rsid w:val="00D22970"/>
    <w:rsid w:val="00D22A15"/>
    <w:rsid w:val="00D25777"/>
    <w:rsid w:val="00D32B0B"/>
    <w:rsid w:val="00D4320B"/>
    <w:rsid w:val="00DA63E6"/>
    <w:rsid w:val="00DB1D0E"/>
    <w:rsid w:val="00DC5CB4"/>
    <w:rsid w:val="00DD7901"/>
    <w:rsid w:val="00DE1A21"/>
    <w:rsid w:val="00E00758"/>
    <w:rsid w:val="00E10DEB"/>
    <w:rsid w:val="00E163CE"/>
    <w:rsid w:val="00E24D7D"/>
    <w:rsid w:val="00E265BD"/>
    <w:rsid w:val="00E4048D"/>
    <w:rsid w:val="00E46AD2"/>
    <w:rsid w:val="00E735D9"/>
    <w:rsid w:val="00E7643E"/>
    <w:rsid w:val="00E863F3"/>
    <w:rsid w:val="00EA7ED8"/>
    <w:rsid w:val="00EC4BF3"/>
    <w:rsid w:val="00EC7D58"/>
    <w:rsid w:val="00ED3436"/>
    <w:rsid w:val="00F01C36"/>
    <w:rsid w:val="00F06EDA"/>
    <w:rsid w:val="00F22A2A"/>
    <w:rsid w:val="00F269D3"/>
    <w:rsid w:val="00F609E2"/>
    <w:rsid w:val="00FB5649"/>
    <w:rsid w:val="00FC6C8E"/>
    <w:rsid w:val="00FC7316"/>
    <w:rsid w:val="00FE79E5"/>
    <w:rsid w:val="010D427B"/>
    <w:rsid w:val="01201F55"/>
    <w:rsid w:val="01AD3A23"/>
    <w:rsid w:val="026B2CB8"/>
    <w:rsid w:val="0284384D"/>
    <w:rsid w:val="02C54724"/>
    <w:rsid w:val="03920A67"/>
    <w:rsid w:val="03C9092D"/>
    <w:rsid w:val="04212517"/>
    <w:rsid w:val="04917185"/>
    <w:rsid w:val="05BF3CB6"/>
    <w:rsid w:val="063D4CBA"/>
    <w:rsid w:val="06622973"/>
    <w:rsid w:val="07102EA3"/>
    <w:rsid w:val="07452CE3"/>
    <w:rsid w:val="074B4461"/>
    <w:rsid w:val="07852DBD"/>
    <w:rsid w:val="079E79DA"/>
    <w:rsid w:val="07A27EEC"/>
    <w:rsid w:val="07A836F4"/>
    <w:rsid w:val="07B03875"/>
    <w:rsid w:val="07B32739"/>
    <w:rsid w:val="0882554E"/>
    <w:rsid w:val="090C0028"/>
    <w:rsid w:val="091A677A"/>
    <w:rsid w:val="09EB2C7F"/>
    <w:rsid w:val="0A2F6341"/>
    <w:rsid w:val="0A764C3F"/>
    <w:rsid w:val="0A8344B4"/>
    <w:rsid w:val="0AA7304A"/>
    <w:rsid w:val="0AAA02B8"/>
    <w:rsid w:val="0ADD5073"/>
    <w:rsid w:val="0AE71698"/>
    <w:rsid w:val="0AEC3153"/>
    <w:rsid w:val="0AF11EFA"/>
    <w:rsid w:val="0B801AF3"/>
    <w:rsid w:val="0BCE214B"/>
    <w:rsid w:val="0BE24FAD"/>
    <w:rsid w:val="0BFD6B61"/>
    <w:rsid w:val="0C17188A"/>
    <w:rsid w:val="0C9B098C"/>
    <w:rsid w:val="0CB240D8"/>
    <w:rsid w:val="0CCE789E"/>
    <w:rsid w:val="0D9E5A0B"/>
    <w:rsid w:val="0DB73065"/>
    <w:rsid w:val="0E1600BC"/>
    <w:rsid w:val="0E5928AD"/>
    <w:rsid w:val="0E6A2D0C"/>
    <w:rsid w:val="0EE20AF5"/>
    <w:rsid w:val="0F311A6F"/>
    <w:rsid w:val="0F5B1954"/>
    <w:rsid w:val="0FBF0E36"/>
    <w:rsid w:val="0FE85BEC"/>
    <w:rsid w:val="0FE91A0F"/>
    <w:rsid w:val="104C4D64"/>
    <w:rsid w:val="11976A68"/>
    <w:rsid w:val="11B36F2A"/>
    <w:rsid w:val="11BD6E3E"/>
    <w:rsid w:val="11E91587"/>
    <w:rsid w:val="12170AB5"/>
    <w:rsid w:val="12321767"/>
    <w:rsid w:val="12353631"/>
    <w:rsid w:val="124C4FD5"/>
    <w:rsid w:val="125A30C4"/>
    <w:rsid w:val="128D521B"/>
    <w:rsid w:val="12ED7A68"/>
    <w:rsid w:val="130152C1"/>
    <w:rsid w:val="133F476E"/>
    <w:rsid w:val="13482EF0"/>
    <w:rsid w:val="1363595C"/>
    <w:rsid w:val="14123C2A"/>
    <w:rsid w:val="142D0E0E"/>
    <w:rsid w:val="148E15C6"/>
    <w:rsid w:val="15036C38"/>
    <w:rsid w:val="15507A24"/>
    <w:rsid w:val="16055DDA"/>
    <w:rsid w:val="161812FA"/>
    <w:rsid w:val="162219DC"/>
    <w:rsid w:val="16806CB1"/>
    <w:rsid w:val="16CA07EC"/>
    <w:rsid w:val="16D056D6"/>
    <w:rsid w:val="16DC407B"/>
    <w:rsid w:val="16EF1130"/>
    <w:rsid w:val="179E3A27"/>
    <w:rsid w:val="17C9137B"/>
    <w:rsid w:val="17CA65CA"/>
    <w:rsid w:val="17E54BD3"/>
    <w:rsid w:val="17F0126D"/>
    <w:rsid w:val="18090EA0"/>
    <w:rsid w:val="181E5365"/>
    <w:rsid w:val="18290801"/>
    <w:rsid w:val="18545F68"/>
    <w:rsid w:val="189360E5"/>
    <w:rsid w:val="18EE0096"/>
    <w:rsid w:val="18FC210A"/>
    <w:rsid w:val="19293B87"/>
    <w:rsid w:val="1940793F"/>
    <w:rsid w:val="19A215B9"/>
    <w:rsid w:val="19E70E0E"/>
    <w:rsid w:val="19FC104D"/>
    <w:rsid w:val="1A0E09F0"/>
    <w:rsid w:val="1A8707A2"/>
    <w:rsid w:val="1AB7210B"/>
    <w:rsid w:val="1AC65D6F"/>
    <w:rsid w:val="1B5B5EB7"/>
    <w:rsid w:val="1B6B70D8"/>
    <w:rsid w:val="1B6E62F4"/>
    <w:rsid w:val="1B8515C8"/>
    <w:rsid w:val="1BAB4AC5"/>
    <w:rsid w:val="1BD65A0D"/>
    <w:rsid w:val="1C051F94"/>
    <w:rsid w:val="1C3861F8"/>
    <w:rsid w:val="1C4A1A87"/>
    <w:rsid w:val="1C4B4A0F"/>
    <w:rsid w:val="1C5A6817"/>
    <w:rsid w:val="1C5B5A42"/>
    <w:rsid w:val="1CA94A00"/>
    <w:rsid w:val="1CD43639"/>
    <w:rsid w:val="1D494184"/>
    <w:rsid w:val="1D7B7E7D"/>
    <w:rsid w:val="1D8944E9"/>
    <w:rsid w:val="1DCE33A3"/>
    <w:rsid w:val="1DD333DB"/>
    <w:rsid w:val="1DDE150B"/>
    <w:rsid w:val="1E3C42D4"/>
    <w:rsid w:val="1ECB4267"/>
    <w:rsid w:val="1F3638AE"/>
    <w:rsid w:val="1F594E5D"/>
    <w:rsid w:val="1FBD2442"/>
    <w:rsid w:val="202D1DEC"/>
    <w:rsid w:val="20681567"/>
    <w:rsid w:val="20B348F3"/>
    <w:rsid w:val="20D075ED"/>
    <w:rsid w:val="210743EB"/>
    <w:rsid w:val="212D4142"/>
    <w:rsid w:val="21303941"/>
    <w:rsid w:val="21412810"/>
    <w:rsid w:val="215D5E73"/>
    <w:rsid w:val="217D46AD"/>
    <w:rsid w:val="218F236A"/>
    <w:rsid w:val="21D30E45"/>
    <w:rsid w:val="22121D98"/>
    <w:rsid w:val="222A5947"/>
    <w:rsid w:val="222F1E4B"/>
    <w:rsid w:val="223E68AF"/>
    <w:rsid w:val="2265586D"/>
    <w:rsid w:val="23361B69"/>
    <w:rsid w:val="233A223B"/>
    <w:rsid w:val="234B1C36"/>
    <w:rsid w:val="23563407"/>
    <w:rsid w:val="23CF4182"/>
    <w:rsid w:val="25C83F87"/>
    <w:rsid w:val="25DB0FD9"/>
    <w:rsid w:val="25F95EEC"/>
    <w:rsid w:val="261C0BF7"/>
    <w:rsid w:val="262275D1"/>
    <w:rsid w:val="266876DA"/>
    <w:rsid w:val="26862B41"/>
    <w:rsid w:val="26F61EFB"/>
    <w:rsid w:val="273A716C"/>
    <w:rsid w:val="2758774E"/>
    <w:rsid w:val="276237A8"/>
    <w:rsid w:val="278E4F1E"/>
    <w:rsid w:val="280D4603"/>
    <w:rsid w:val="287912E5"/>
    <w:rsid w:val="287C121A"/>
    <w:rsid w:val="292E501E"/>
    <w:rsid w:val="29512368"/>
    <w:rsid w:val="29B535B1"/>
    <w:rsid w:val="2A1A2444"/>
    <w:rsid w:val="2A3648F0"/>
    <w:rsid w:val="2A715156"/>
    <w:rsid w:val="2A790107"/>
    <w:rsid w:val="2A86447F"/>
    <w:rsid w:val="2ADF2513"/>
    <w:rsid w:val="2B075C65"/>
    <w:rsid w:val="2B447689"/>
    <w:rsid w:val="2B591E08"/>
    <w:rsid w:val="2BBB02AC"/>
    <w:rsid w:val="2BCF10A6"/>
    <w:rsid w:val="2C1300E8"/>
    <w:rsid w:val="2C575738"/>
    <w:rsid w:val="2C8B5ED0"/>
    <w:rsid w:val="2C960884"/>
    <w:rsid w:val="2CA973E9"/>
    <w:rsid w:val="2D210ADB"/>
    <w:rsid w:val="2D4521E4"/>
    <w:rsid w:val="2DD90EBD"/>
    <w:rsid w:val="2DF81343"/>
    <w:rsid w:val="2E6B2BC6"/>
    <w:rsid w:val="2E9E2CEF"/>
    <w:rsid w:val="2EE47B19"/>
    <w:rsid w:val="2F2D14C0"/>
    <w:rsid w:val="2F6A3570"/>
    <w:rsid w:val="2F964F05"/>
    <w:rsid w:val="2FE00052"/>
    <w:rsid w:val="2FEA11EA"/>
    <w:rsid w:val="3036293F"/>
    <w:rsid w:val="30896480"/>
    <w:rsid w:val="30963095"/>
    <w:rsid w:val="30A07565"/>
    <w:rsid w:val="30AB5BFC"/>
    <w:rsid w:val="31363720"/>
    <w:rsid w:val="314E47F2"/>
    <w:rsid w:val="315C308A"/>
    <w:rsid w:val="31807F66"/>
    <w:rsid w:val="31B118FD"/>
    <w:rsid w:val="32874D75"/>
    <w:rsid w:val="32A7158A"/>
    <w:rsid w:val="32AE46C6"/>
    <w:rsid w:val="32DE69D8"/>
    <w:rsid w:val="32EB2B64"/>
    <w:rsid w:val="334F6D3D"/>
    <w:rsid w:val="335C6172"/>
    <w:rsid w:val="336229E7"/>
    <w:rsid w:val="337F6B6E"/>
    <w:rsid w:val="33911F37"/>
    <w:rsid w:val="33E21C1A"/>
    <w:rsid w:val="34311A53"/>
    <w:rsid w:val="343230D5"/>
    <w:rsid w:val="346C48F4"/>
    <w:rsid w:val="346D766F"/>
    <w:rsid w:val="34E71972"/>
    <w:rsid w:val="34F9186F"/>
    <w:rsid w:val="3533084D"/>
    <w:rsid w:val="354D54A9"/>
    <w:rsid w:val="359679D1"/>
    <w:rsid w:val="35A23056"/>
    <w:rsid w:val="35AA0971"/>
    <w:rsid w:val="36D641AB"/>
    <w:rsid w:val="36E63C08"/>
    <w:rsid w:val="36E92225"/>
    <w:rsid w:val="372C6E7F"/>
    <w:rsid w:val="376D0754"/>
    <w:rsid w:val="376D1E36"/>
    <w:rsid w:val="3792602A"/>
    <w:rsid w:val="37DA313A"/>
    <w:rsid w:val="381B277F"/>
    <w:rsid w:val="3824770E"/>
    <w:rsid w:val="38545D10"/>
    <w:rsid w:val="38C43E25"/>
    <w:rsid w:val="399972E4"/>
    <w:rsid w:val="39F6132E"/>
    <w:rsid w:val="3A166BEF"/>
    <w:rsid w:val="3A1864B2"/>
    <w:rsid w:val="3A1F4445"/>
    <w:rsid w:val="3A3815D3"/>
    <w:rsid w:val="3A3E6C77"/>
    <w:rsid w:val="3A415891"/>
    <w:rsid w:val="3A591F82"/>
    <w:rsid w:val="3A6D7BE3"/>
    <w:rsid w:val="3ACC7DDF"/>
    <w:rsid w:val="3B225C51"/>
    <w:rsid w:val="3B3E3FA5"/>
    <w:rsid w:val="3B450930"/>
    <w:rsid w:val="3BA23236"/>
    <w:rsid w:val="3C1852A6"/>
    <w:rsid w:val="3C6A7383"/>
    <w:rsid w:val="3C74099D"/>
    <w:rsid w:val="3C7D054C"/>
    <w:rsid w:val="3CE8383B"/>
    <w:rsid w:val="3D605157"/>
    <w:rsid w:val="3D7A3C99"/>
    <w:rsid w:val="3DC512D0"/>
    <w:rsid w:val="3E5B4D46"/>
    <w:rsid w:val="3E66054B"/>
    <w:rsid w:val="3EC80C8D"/>
    <w:rsid w:val="3F040387"/>
    <w:rsid w:val="3F4C5993"/>
    <w:rsid w:val="3F8E5FAB"/>
    <w:rsid w:val="3FD10385"/>
    <w:rsid w:val="3FDB51DB"/>
    <w:rsid w:val="40871FB8"/>
    <w:rsid w:val="40CD253B"/>
    <w:rsid w:val="40E35B04"/>
    <w:rsid w:val="41413F6F"/>
    <w:rsid w:val="41990C37"/>
    <w:rsid w:val="41ED47FB"/>
    <w:rsid w:val="41F80C94"/>
    <w:rsid w:val="42537038"/>
    <w:rsid w:val="42835EF4"/>
    <w:rsid w:val="4298644F"/>
    <w:rsid w:val="42CE4911"/>
    <w:rsid w:val="430D7664"/>
    <w:rsid w:val="43190F58"/>
    <w:rsid w:val="43763100"/>
    <w:rsid w:val="437B2938"/>
    <w:rsid w:val="43FB0295"/>
    <w:rsid w:val="4427077C"/>
    <w:rsid w:val="44492474"/>
    <w:rsid w:val="44617BA5"/>
    <w:rsid w:val="44DC3315"/>
    <w:rsid w:val="44EE02A0"/>
    <w:rsid w:val="450137F0"/>
    <w:rsid w:val="45053792"/>
    <w:rsid w:val="4534527F"/>
    <w:rsid w:val="453D05C7"/>
    <w:rsid w:val="45516773"/>
    <w:rsid w:val="45BE5CA2"/>
    <w:rsid w:val="45FA1CE4"/>
    <w:rsid w:val="460C5E7C"/>
    <w:rsid w:val="46380A1F"/>
    <w:rsid w:val="467CFF17"/>
    <w:rsid w:val="469C0860"/>
    <w:rsid w:val="46A351E1"/>
    <w:rsid w:val="46BA58D8"/>
    <w:rsid w:val="47022DDB"/>
    <w:rsid w:val="470C1789"/>
    <w:rsid w:val="47327B17"/>
    <w:rsid w:val="473936A6"/>
    <w:rsid w:val="474F52FA"/>
    <w:rsid w:val="476B2748"/>
    <w:rsid w:val="47B440D5"/>
    <w:rsid w:val="47C841F6"/>
    <w:rsid w:val="47D77BA6"/>
    <w:rsid w:val="47E47B88"/>
    <w:rsid w:val="48166B3E"/>
    <w:rsid w:val="48307449"/>
    <w:rsid w:val="48742673"/>
    <w:rsid w:val="48764D34"/>
    <w:rsid w:val="48DA5496"/>
    <w:rsid w:val="48E32CA1"/>
    <w:rsid w:val="491F1A22"/>
    <w:rsid w:val="49574D12"/>
    <w:rsid w:val="495751DE"/>
    <w:rsid w:val="49C16F7D"/>
    <w:rsid w:val="4A34702F"/>
    <w:rsid w:val="4A710A83"/>
    <w:rsid w:val="4A714A31"/>
    <w:rsid w:val="4A832E71"/>
    <w:rsid w:val="4AEA31D4"/>
    <w:rsid w:val="4B406D17"/>
    <w:rsid w:val="4B4810FE"/>
    <w:rsid w:val="4B73153F"/>
    <w:rsid w:val="4B875393"/>
    <w:rsid w:val="4B977597"/>
    <w:rsid w:val="4C066EC9"/>
    <w:rsid w:val="4C3752D5"/>
    <w:rsid w:val="4C602AB7"/>
    <w:rsid w:val="4CBF7C75"/>
    <w:rsid w:val="4CD11285"/>
    <w:rsid w:val="4CE70AA9"/>
    <w:rsid w:val="4D0623E1"/>
    <w:rsid w:val="4D233AF8"/>
    <w:rsid w:val="4D3E1798"/>
    <w:rsid w:val="4D480730"/>
    <w:rsid w:val="4D571ED4"/>
    <w:rsid w:val="4DD40C5E"/>
    <w:rsid w:val="4DDC4A17"/>
    <w:rsid w:val="4E121B55"/>
    <w:rsid w:val="4E2A6F15"/>
    <w:rsid w:val="4E30647F"/>
    <w:rsid w:val="4E3432F4"/>
    <w:rsid w:val="4F6B3C13"/>
    <w:rsid w:val="4FBB7FCB"/>
    <w:rsid w:val="4FD42DC3"/>
    <w:rsid w:val="501D04CE"/>
    <w:rsid w:val="502D0E36"/>
    <w:rsid w:val="50333DEC"/>
    <w:rsid w:val="50414974"/>
    <w:rsid w:val="508F56DF"/>
    <w:rsid w:val="50E35EBB"/>
    <w:rsid w:val="50F46775"/>
    <w:rsid w:val="50FB0FC7"/>
    <w:rsid w:val="51404C2B"/>
    <w:rsid w:val="51F949B7"/>
    <w:rsid w:val="52985AF9"/>
    <w:rsid w:val="53505AE5"/>
    <w:rsid w:val="53830F02"/>
    <w:rsid w:val="53A316C5"/>
    <w:rsid w:val="53CE31DB"/>
    <w:rsid w:val="53FD9CDC"/>
    <w:rsid w:val="54327A61"/>
    <w:rsid w:val="54DC7AC6"/>
    <w:rsid w:val="5560764A"/>
    <w:rsid w:val="557F0100"/>
    <w:rsid w:val="55AC288F"/>
    <w:rsid w:val="55C8387E"/>
    <w:rsid w:val="55C86F8B"/>
    <w:rsid w:val="55D6790C"/>
    <w:rsid w:val="56D15A89"/>
    <w:rsid w:val="572C51A7"/>
    <w:rsid w:val="576C677A"/>
    <w:rsid w:val="57C661A5"/>
    <w:rsid w:val="57CB1AC4"/>
    <w:rsid w:val="58035059"/>
    <w:rsid w:val="587358E6"/>
    <w:rsid w:val="58805DBF"/>
    <w:rsid w:val="58AC2BA6"/>
    <w:rsid w:val="58E41B62"/>
    <w:rsid w:val="592D325B"/>
    <w:rsid w:val="59314761"/>
    <w:rsid w:val="593D2E59"/>
    <w:rsid w:val="59A87812"/>
    <w:rsid w:val="59D02FE6"/>
    <w:rsid w:val="59DC4EB6"/>
    <w:rsid w:val="5A2C6B69"/>
    <w:rsid w:val="5A497EFA"/>
    <w:rsid w:val="5A8D3D2B"/>
    <w:rsid w:val="5B697EEF"/>
    <w:rsid w:val="5B702511"/>
    <w:rsid w:val="5B913D4A"/>
    <w:rsid w:val="5C056287"/>
    <w:rsid w:val="5C1F32A6"/>
    <w:rsid w:val="5CA77A0B"/>
    <w:rsid w:val="5D311BE6"/>
    <w:rsid w:val="5D3B34D2"/>
    <w:rsid w:val="5D976B3F"/>
    <w:rsid w:val="5E024645"/>
    <w:rsid w:val="5E548B43"/>
    <w:rsid w:val="5E5B3ACA"/>
    <w:rsid w:val="5E780AE1"/>
    <w:rsid w:val="5EB3CE55"/>
    <w:rsid w:val="5F246A9A"/>
    <w:rsid w:val="5F2D68B1"/>
    <w:rsid w:val="5F8EA272"/>
    <w:rsid w:val="5FAE0644"/>
    <w:rsid w:val="5FAF52E8"/>
    <w:rsid w:val="5FE445C6"/>
    <w:rsid w:val="5FF7D567"/>
    <w:rsid w:val="5FFD5AB9"/>
    <w:rsid w:val="60844B35"/>
    <w:rsid w:val="60B92AAF"/>
    <w:rsid w:val="610F1255"/>
    <w:rsid w:val="612A6E3D"/>
    <w:rsid w:val="61572249"/>
    <w:rsid w:val="61813DF8"/>
    <w:rsid w:val="61930DA7"/>
    <w:rsid w:val="61D43888"/>
    <w:rsid w:val="62214605"/>
    <w:rsid w:val="6223212B"/>
    <w:rsid w:val="622C188E"/>
    <w:rsid w:val="623D38BB"/>
    <w:rsid w:val="62691F3E"/>
    <w:rsid w:val="62B75CC2"/>
    <w:rsid w:val="63604CB9"/>
    <w:rsid w:val="636D7E27"/>
    <w:rsid w:val="6393680E"/>
    <w:rsid w:val="63F447FA"/>
    <w:rsid w:val="642467FB"/>
    <w:rsid w:val="646B1ECE"/>
    <w:rsid w:val="65324045"/>
    <w:rsid w:val="653603C7"/>
    <w:rsid w:val="65420882"/>
    <w:rsid w:val="6553506E"/>
    <w:rsid w:val="65672E18"/>
    <w:rsid w:val="656C1155"/>
    <w:rsid w:val="65707DCC"/>
    <w:rsid w:val="658B309F"/>
    <w:rsid w:val="664A15ED"/>
    <w:rsid w:val="665600F0"/>
    <w:rsid w:val="66727C84"/>
    <w:rsid w:val="66876902"/>
    <w:rsid w:val="66A650D9"/>
    <w:rsid w:val="66BD5E1B"/>
    <w:rsid w:val="66CD2666"/>
    <w:rsid w:val="67087B42"/>
    <w:rsid w:val="67A27022"/>
    <w:rsid w:val="67E05496"/>
    <w:rsid w:val="680C559B"/>
    <w:rsid w:val="68686BBC"/>
    <w:rsid w:val="687A00C6"/>
    <w:rsid w:val="68934717"/>
    <w:rsid w:val="68ED6FEF"/>
    <w:rsid w:val="69043963"/>
    <w:rsid w:val="69044022"/>
    <w:rsid w:val="6907627A"/>
    <w:rsid w:val="69165080"/>
    <w:rsid w:val="696B304E"/>
    <w:rsid w:val="696B6C9C"/>
    <w:rsid w:val="697838DF"/>
    <w:rsid w:val="69C40A40"/>
    <w:rsid w:val="6A151116"/>
    <w:rsid w:val="6A293639"/>
    <w:rsid w:val="6A5777C2"/>
    <w:rsid w:val="6A6634FD"/>
    <w:rsid w:val="6B287AD5"/>
    <w:rsid w:val="6B7316A4"/>
    <w:rsid w:val="6B8B77E1"/>
    <w:rsid w:val="6B9C4F21"/>
    <w:rsid w:val="6BDA2AFA"/>
    <w:rsid w:val="6BE4317B"/>
    <w:rsid w:val="6C58469A"/>
    <w:rsid w:val="6C6E055C"/>
    <w:rsid w:val="6C740B5E"/>
    <w:rsid w:val="6CC57182"/>
    <w:rsid w:val="6CC7277A"/>
    <w:rsid w:val="6D1D1356"/>
    <w:rsid w:val="6DA74875"/>
    <w:rsid w:val="6DE8697B"/>
    <w:rsid w:val="6E1967C1"/>
    <w:rsid w:val="6EBC5114"/>
    <w:rsid w:val="6ED57945"/>
    <w:rsid w:val="6EF2710D"/>
    <w:rsid w:val="6F08090C"/>
    <w:rsid w:val="6F4E7113"/>
    <w:rsid w:val="6F541B76"/>
    <w:rsid w:val="6F8E7ECA"/>
    <w:rsid w:val="6F9D2C59"/>
    <w:rsid w:val="6FAE28B9"/>
    <w:rsid w:val="6FBB11B3"/>
    <w:rsid w:val="70096E04"/>
    <w:rsid w:val="70514307"/>
    <w:rsid w:val="70B12FF8"/>
    <w:rsid w:val="71141CBA"/>
    <w:rsid w:val="71F37B08"/>
    <w:rsid w:val="72127AC6"/>
    <w:rsid w:val="722F31E7"/>
    <w:rsid w:val="724F6669"/>
    <w:rsid w:val="72A5504C"/>
    <w:rsid w:val="72E363F2"/>
    <w:rsid w:val="734C133A"/>
    <w:rsid w:val="73722F12"/>
    <w:rsid w:val="73972904"/>
    <w:rsid w:val="73B788E7"/>
    <w:rsid w:val="742C183A"/>
    <w:rsid w:val="743E1047"/>
    <w:rsid w:val="74404DBF"/>
    <w:rsid w:val="74566577"/>
    <w:rsid w:val="748E5089"/>
    <w:rsid w:val="74DB23BF"/>
    <w:rsid w:val="74E1184F"/>
    <w:rsid w:val="74FC2BFE"/>
    <w:rsid w:val="74FD7D63"/>
    <w:rsid w:val="757F2329"/>
    <w:rsid w:val="75DE31F0"/>
    <w:rsid w:val="75E85E43"/>
    <w:rsid w:val="767E3A20"/>
    <w:rsid w:val="76AF7FDA"/>
    <w:rsid w:val="76CE593B"/>
    <w:rsid w:val="76F3B939"/>
    <w:rsid w:val="76FD4DCB"/>
    <w:rsid w:val="771222E8"/>
    <w:rsid w:val="77664B3C"/>
    <w:rsid w:val="77C4430A"/>
    <w:rsid w:val="77C82386"/>
    <w:rsid w:val="77E3785D"/>
    <w:rsid w:val="78457530"/>
    <w:rsid w:val="78C9620B"/>
    <w:rsid w:val="78CB7E81"/>
    <w:rsid w:val="790A14F7"/>
    <w:rsid w:val="790F2AC2"/>
    <w:rsid w:val="7923774A"/>
    <w:rsid w:val="79856F2C"/>
    <w:rsid w:val="799C441C"/>
    <w:rsid w:val="7A7237F8"/>
    <w:rsid w:val="7AA65250"/>
    <w:rsid w:val="7AFD1314"/>
    <w:rsid w:val="7B2F0256"/>
    <w:rsid w:val="7B926184"/>
    <w:rsid w:val="7C023D81"/>
    <w:rsid w:val="7C0A1A7E"/>
    <w:rsid w:val="7C3B688B"/>
    <w:rsid w:val="7C41491B"/>
    <w:rsid w:val="7C58305E"/>
    <w:rsid w:val="7C76098C"/>
    <w:rsid w:val="7C7F7042"/>
    <w:rsid w:val="7D2637C1"/>
    <w:rsid w:val="7D505977"/>
    <w:rsid w:val="7E0046E9"/>
    <w:rsid w:val="7E210840"/>
    <w:rsid w:val="7E325778"/>
    <w:rsid w:val="7E36681D"/>
    <w:rsid w:val="7FB6280C"/>
    <w:rsid w:val="7FFF0A28"/>
    <w:rsid w:val="7FFF3A7E"/>
    <w:rsid w:val="8FFF3353"/>
    <w:rsid w:val="9CBF896A"/>
    <w:rsid w:val="A33D4B8B"/>
    <w:rsid w:val="A75F56E0"/>
    <w:rsid w:val="BFFA55A4"/>
    <w:rsid w:val="BFFBAC19"/>
    <w:rsid w:val="CFF5705B"/>
    <w:rsid w:val="DC5ED6EA"/>
    <w:rsid w:val="E67FB003"/>
    <w:rsid w:val="EB7F9EED"/>
    <w:rsid w:val="EC6FF248"/>
    <w:rsid w:val="EEFF9DCC"/>
    <w:rsid w:val="EF3E74E9"/>
    <w:rsid w:val="F6BEE215"/>
    <w:rsid w:val="F97B3386"/>
    <w:rsid w:val="FA2F43F5"/>
    <w:rsid w:val="FD7D69D4"/>
    <w:rsid w:val="FDD7CDB6"/>
    <w:rsid w:val="FF2EA5B3"/>
    <w:rsid w:val="FFBF2C72"/>
    <w:rsid w:val="FFFFC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2"/>
    <w:autoRedefine/>
    <w:unhideWhenUsed/>
    <w:qFormat/>
    <w:uiPriority w:val="99"/>
    <w:pPr>
      <w:jc w:val="left"/>
    </w:pPr>
  </w:style>
  <w:style w:type="paragraph" w:styleId="3">
    <w:name w:val="Balloon Text"/>
    <w:basedOn w:val="1"/>
    <w:link w:val="13"/>
    <w:autoRedefine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4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5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6"/>
    <w:autoRedefine/>
    <w:unhideWhenUsed/>
    <w:qFormat/>
    <w:uiPriority w:val="99"/>
    <w:rPr>
      <w:b/>
      <w:bCs/>
    </w:rPr>
  </w:style>
  <w:style w:type="table" w:styleId="8">
    <w:name w:val="Table Grid"/>
    <w:basedOn w:val="7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autoRedefine/>
    <w:qFormat/>
    <w:uiPriority w:val="22"/>
    <w:rPr>
      <w:b/>
    </w:rPr>
  </w:style>
  <w:style w:type="character" w:styleId="11">
    <w:name w:val="annotation reference"/>
    <w:autoRedefine/>
    <w:unhideWhenUsed/>
    <w:qFormat/>
    <w:uiPriority w:val="99"/>
    <w:rPr>
      <w:sz w:val="21"/>
      <w:szCs w:val="21"/>
    </w:rPr>
  </w:style>
  <w:style w:type="character" w:customStyle="1" w:styleId="12">
    <w:name w:val="批注文字 字符"/>
    <w:link w:val="2"/>
    <w:autoRedefine/>
    <w:qFormat/>
    <w:uiPriority w:val="99"/>
    <w:rPr>
      <w:rFonts w:ascii="等线" w:hAnsi="等线" w:eastAsia="等线"/>
      <w:kern w:val="2"/>
      <w:sz w:val="21"/>
      <w:szCs w:val="22"/>
    </w:rPr>
  </w:style>
  <w:style w:type="character" w:customStyle="1" w:styleId="13">
    <w:name w:val="批注框文本 字符"/>
    <w:link w:val="3"/>
    <w:autoRedefine/>
    <w:semiHidden/>
    <w:qFormat/>
    <w:uiPriority w:val="99"/>
    <w:rPr>
      <w:sz w:val="18"/>
      <w:szCs w:val="18"/>
    </w:rPr>
  </w:style>
  <w:style w:type="character" w:customStyle="1" w:styleId="14">
    <w:name w:val="页脚 字符"/>
    <w:link w:val="4"/>
    <w:autoRedefine/>
    <w:qFormat/>
    <w:uiPriority w:val="99"/>
    <w:rPr>
      <w:sz w:val="18"/>
      <w:szCs w:val="18"/>
    </w:rPr>
  </w:style>
  <w:style w:type="character" w:customStyle="1" w:styleId="15">
    <w:name w:val="页眉 字符"/>
    <w:link w:val="5"/>
    <w:autoRedefine/>
    <w:qFormat/>
    <w:uiPriority w:val="99"/>
    <w:rPr>
      <w:sz w:val="18"/>
      <w:szCs w:val="18"/>
    </w:rPr>
  </w:style>
  <w:style w:type="character" w:customStyle="1" w:styleId="16">
    <w:name w:val="批注主题 字符"/>
    <w:link w:val="6"/>
    <w:autoRedefine/>
    <w:semiHidden/>
    <w:qFormat/>
    <w:uiPriority w:val="99"/>
    <w:rPr>
      <w:rFonts w:ascii="等线" w:hAnsi="等线" w:eastAsia="等线"/>
      <w:b/>
      <w:bCs/>
      <w:kern w:val="2"/>
      <w:sz w:val="21"/>
      <w:szCs w:val="22"/>
    </w:rPr>
  </w:style>
  <w:style w:type="paragraph" w:styleId="17">
    <w:name w:val="List Paragraph"/>
    <w:basedOn w:val="1"/>
    <w:autoRedefine/>
    <w:qFormat/>
    <w:uiPriority w:val="34"/>
    <w:pPr>
      <w:ind w:firstLine="420" w:firstLineChars="200"/>
    </w:pPr>
  </w:style>
  <w:style w:type="paragraph" w:customStyle="1" w:styleId="18">
    <w:name w:val="Default"/>
    <w:autoRedefine/>
    <w:unhideWhenUsed/>
    <w:qFormat/>
    <w:uiPriority w:val="99"/>
    <w:pPr>
      <w:widowControl w:val="0"/>
      <w:autoSpaceDE w:val="0"/>
      <w:autoSpaceDN w:val="0"/>
      <w:adjustRightInd w:val="0"/>
    </w:pPr>
    <w:rPr>
      <w:rFonts w:hint="eastAsia" w:ascii="宋体" w:hAnsi="宋体" w:eastAsia="宋体" w:cs="Times New Roman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6185d7d6-95b6-4876-a516-8a823991992c</errorID>
      <errorWord>提质增效、稳中求进</errorWord>
      <group>L1_Political</group>
      <groupName>政治性问题</groupName>
      <ability>L2_Unpolitical</ability>
      <abilityName>政治敏感错误</abilityName>
      <candidateList>
        <item>稳中求进、提质增效</item>
      </candidateList>
      <explain/>
      <paraID>2EF41690</paraID>
      <start>40</start>
      <end>49</end>
      <status>modified</status>
      <modifiedWord>稳中求进、提质增效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30e8845-7d1b-435a-9b52-a18e66d4e98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GYBYS</Company>
  <Pages>5</Pages>
  <Words>2330</Words>
  <Characters>2401</Characters>
  <Lines>22</Lines>
  <Paragraphs>6</Paragraphs>
  <TotalTime>0</TotalTime>
  <ScaleCrop>false</ScaleCrop>
  <LinksUpToDate>false</LinksUpToDate>
  <CharactersWithSpaces>2447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2023-09-13T22:13:00Z</dcterms:created>
  <dc:creator>Licy</dc:creator>
  <cp:lastModifiedBy>瑶</cp:lastModifiedBy>
  <cp:lastPrinted>2026-08-28T08:00:24Z</cp:lastPrinted>
  <dcterms:modified xsi:type="dcterms:W3CDTF">2026-08-28T08:23:20Z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1E246D53418949BE9EA0E6DCE8FCD4DD_13</vt:lpwstr>
  </property>
  <property fmtid="{D5CDD505-2E9C-101B-9397-08002B2CF9AE}" pid="4" name="KSOTemplateDocerSaveRecord">
    <vt:lpwstr>eyJoZGlkIjoiNmFhMmVlNzFjNDI0ZTliMTBjN2NmZDYxODZkZGVmMDciLCJ1c2VySWQiOiIzMzY0MjI1NDgifQ==</vt:lpwstr>
  </property>
</Properties>
</file>