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7CBF6">
      <w:pPr>
        <w:spacing w:line="360" w:lineRule="auto"/>
        <w:rPr>
          <w:rFonts w:ascii="Times New Roman" w:hAnsi="Times New Roman"/>
          <w:iCs/>
          <w:sz w:val="24"/>
        </w:rPr>
      </w:pPr>
      <w:r>
        <w:rPr>
          <w:rFonts w:ascii="Times New Roman" w:hAnsi="Times New Roman"/>
          <w:iCs/>
          <w:sz w:val="24"/>
        </w:rPr>
        <w:t xml:space="preserve">证券代码：603836 </w:t>
      </w:r>
      <w:r>
        <w:rPr>
          <w:rFonts w:ascii="Times New Roman" w:hAnsi="Times New Roman"/>
          <w:bCs/>
          <w:iCs/>
          <w:sz w:val="24"/>
        </w:rPr>
        <w:t xml:space="preserve">                                  </w:t>
      </w:r>
      <w:r>
        <w:rPr>
          <w:rFonts w:ascii="Times New Roman" w:hAnsi="Times New Roman"/>
          <w:iCs/>
          <w:sz w:val="24"/>
        </w:rPr>
        <w:t>证券简称：海程邦达</w:t>
      </w:r>
    </w:p>
    <w:p w14:paraId="4C488E8F">
      <w:pPr>
        <w:spacing w:line="360" w:lineRule="auto"/>
        <w:rPr>
          <w:rFonts w:ascii="Times New Roman" w:hAnsi="Times New Roman"/>
          <w:bCs/>
          <w:iCs/>
          <w:sz w:val="24"/>
        </w:rPr>
      </w:pPr>
    </w:p>
    <w:p w14:paraId="1691D6E6">
      <w:pPr>
        <w:spacing w:line="360" w:lineRule="auto"/>
        <w:jc w:val="center"/>
        <w:rPr>
          <w:rFonts w:ascii="Times New Roman" w:hAnsi="Times New Roman"/>
          <w:b/>
          <w:bCs/>
          <w:iCs/>
          <w:sz w:val="28"/>
          <w:szCs w:val="28"/>
        </w:rPr>
      </w:pPr>
      <w:r>
        <w:rPr>
          <w:rFonts w:ascii="Times New Roman" w:hAnsi="Times New Roman"/>
          <w:b/>
          <w:bCs/>
          <w:iCs/>
          <w:sz w:val="28"/>
          <w:szCs w:val="28"/>
        </w:rPr>
        <w:t>海程邦达供应链管理股份有限公司</w:t>
      </w:r>
    </w:p>
    <w:p w14:paraId="73EDEBF3">
      <w:pPr>
        <w:spacing w:line="360" w:lineRule="auto"/>
        <w:jc w:val="center"/>
        <w:rPr>
          <w:rFonts w:ascii="Times New Roman" w:hAnsi="Times New Roman"/>
          <w:b/>
          <w:bCs/>
          <w:iCs/>
          <w:sz w:val="28"/>
          <w:szCs w:val="28"/>
        </w:rPr>
      </w:pPr>
      <w:r>
        <w:rPr>
          <w:rFonts w:ascii="Times New Roman" w:hAnsi="Times New Roman"/>
          <w:b/>
          <w:bCs/>
          <w:iCs/>
          <w:sz w:val="28"/>
          <w:szCs w:val="28"/>
        </w:rPr>
        <w:t>2026</w:t>
      </w:r>
      <w:r>
        <w:rPr>
          <w:rFonts w:hint="eastAsia" w:ascii="Times New Roman" w:hAnsi="Times New Roman"/>
          <w:b/>
          <w:bCs/>
          <w:iCs/>
          <w:sz w:val="28"/>
          <w:szCs w:val="28"/>
        </w:rPr>
        <w:t>年</w:t>
      </w:r>
      <w:r>
        <w:rPr>
          <w:rFonts w:ascii="Times New Roman" w:hAnsi="Times New Roman"/>
          <w:b/>
          <w:bCs/>
          <w:iCs/>
          <w:sz w:val="28"/>
          <w:szCs w:val="28"/>
        </w:rPr>
        <w:t>半年度业绩说明会召开情况</w:t>
      </w:r>
    </w:p>
    <w:p w14:paraId="0981C48A">
      <w:pPr>
        <w:spacing w:line="360" w:lineRule="auto"/>
        <w:ind w:firstLine="480" w:firstLineChars="200"/>
        <w:rPr>
          <w:rFonts w:ascii="Times New Roman" w:hAnsi="Times New Roman"/>
          <w:bCs/>
          <w:iCs/>
          <w:sz w:val="24"/>
        </w:rPr>
      </w:pPr>
    </w:p>
    <w:p w14:paraId="525D8DF7">
      <w:pPr>
        <w:spacing w:line="360" w:lineRule="auto"/>
        <w:ind w:firstLine="480" w:firstLineChars="200"/>
        <w:rPr>
          <w:rFonts w:ascii="Times New Roman" w:hAnsi="Times New Roman"/>
          <w:bCs/>
          <w:iCs/>
          <w:sz w:val="24"/>
        </w:rPr>
      </w:pPr>
      <w:r>
        <w:rPr>
          <w:rFonts w:ascii="Times New Roman" w:hAnsi="Times New Roman"/>
          <w:bCs/>
          <w:iCs/>
          <w:sz w:val="24"/>
        </w:rPr>
        <w:t>海程邦达供应链管理股份有限公司（以下简称“公司”）于2026年8月31日上午11:00-12:00在上证路演中心以网络文字互动形式召开2026</w:t>
      </w:r>
      <w:r>
        <w:rPr>
          <w:rFonts w:hint="eastAsia" w:ascii="Times New Roman" w:hAnsi="Times New Roman"/>
          <w:bCs/>
          <w:iCs/>
          <w:sz w:val="24"/>
        </w:rPr>
        <w:t>年</w:t>
      </w:r>
      <w:r>
        <w:rPr>
          <w:rFonts w:ascii="Times New Roman" w:hAnsi="Times New Roman"/>
          <w:bCs/>
          <w:iCs/>
          <w:sz w:val="24"/>
        </w:rPr>
        <w:t>半年度业绩说明会。公司董事长兼总经理唐海先生、独立董事张英女士、财务总监殷海平先生、董事会秘书雷晨先生出席了本次业绩说明会，与广大投资者进行沟通和互动交流，并在信息披露允许的范围内就投资者普遍关注的问题进行了回答。</w:t>
      </w:r>
    </w:p>
    <w:p w14:paraId="6A1C2088">
      <w:pPr>
        <w:spacing w:line="360" w:lineRule="auto"/>
        <w:ind w:firstLine="480" w:firstLineChars="200"/>
        <w:rPr>
          <w:rFonts w:ascii="Times New Roman" w:hAnsi="Times New Roman"/>
          <w:bCs/>
          <w:iCs/>
          <w:sz w:val="22"/>
          <w:szCs w:val="22"/>
        </w:rPr>
      </w:pPr>
      <w:r>
        <w:rPr>
          <w:rFonts w:ascii="Times New Roman" w:hAnsi="Times New Roman"/>
          <w:bCs/>
          <w:iCs/>
          <w:sz w:val="24"/>
        </w:rPr>
        <w:t>本次会议投资者提出的主要问题及公司的回复情况如下：</w:t>
      </w:r>
    </w:p>
    <w:p w14:paraId="5418FF82">
      <w:pPr>
        <w:numPr>
          <w:ilvl w:val="0"/>
          <w:numId w:val="1"/>
        </w:numPr>
        <w:spacing w:line="360" w:lineRule="auto"/>
        <w:ind w:firstLine="480" w:firstLineChars="200"/>
        <w:rPr>
          <w:rFonts w:ascii="Times New Roman" w:hAnsi="Times New Roman"/>
          <w:bCs/>
          <w:iCs/>
          <w:sz w:val="24"/>
        </w:rPr>
      </w:pPr>
      <w:r>
        <w:rPr>
          <w:rFonts w:ascii="Times New Roman" w:hAnsi="Times New Roman"/>
          <w:bCs/>
          <w:iCs/>
          <w:sz w:val="24"/>
        </w:rPr>
        <w:t>结合最近半导体公司披露的业绩以及对后续业绩的预期（都非常好），请问您对公司未来两到三年主营业务半导体材料全产业链的发展与展望？有没有制定明确的目标？谢谢！</w:t>
      </w:r>
    </w:p>
    <w:p w14:paraId="5E0F12F7">
      <w:pPr>
        <w:spacing w:line="360" w:lineRule="auto"/>
        <w:ind w:firstLine="480" w:firstLineChars="200"/>
        <w:rPr>
          <w:rFonts w:ascii="Times New Roman" w:hAnsi="Times New Roman"/>
          <w:bCs/>
          <w:iCs/>
          <w:sz w:val="24"/>
        </w:rPr>
      </w:pPr>
      <w:r>
        <w:rPr>
          <w:rFonts w:ascii="Times New Roman" w:hAnsi="Times New Roman"/>
          <w:bCs/>
          <w:iCs/>
          <w:sz w:val="24"/>
        </w:rPr>
        <w:t>回复：尊敬的投资者，您好！半导体物流服务场景主要包括生产耗材、专用设备及备品备件、成品分销三大领域。公司自早年服务台积电开始在半导体物流行业深耕十余年，现已成长为中国领先的半导体专用设备合同物流服务商，服务客户包括应用材料、东京电子、韩国三星、长鑫科技、中芯国际等全球头部半导体设备及Fab厂商。公司同步也在积极补足另外两大半导体物流服务场景布局，特别在成品分销领域，公司已成立合资公司邦达智联，围绕运输、仓储、报关及产品代采、分销等环节努力打造从芯片采购到成品分销的全链路供应链体系。针对半导体分销物流业务，公司将继续紧随行业发展趋势，</w:t>
      </w:r>
      <w:bookmarkStart w:id="0" w:name="_GoBack"/>
      <w:bookmarkEnd w:id="0"/>
      <w:r>
        <w:rPr>
          <w:rFonts w:ascii="Times New Roman" w:hAnsi="Times New Roman"/>
          <w:bCs/>
          <w:iCs/>
          <w:sz w:val="24"/>
        </w:rPr>
        <w:t>搭建配套服务能力，推进相应业务布局，后续如达到信息披露标准，公司将严格按照监管规则及时履行信息披露义务。近年来，公司半导体合同物流业务实现稳步增长，该类业务对公司整体营收贡献也逐步提高。依托国内半导体产业发展机遇，公司对相关业务未来发展抱有信心。具体经营业绩请以公司后续披露的公告为准，敬请广大投资者注意投资风险。感谢您的关注。</w:t>
      </w:r>
    </w:p>
    <w:p w14:paraId="0357676C">
      <w:pPr>
        <w:numPr>
          <w:ilvl w:val="0"/>
          <w:numId w:val="1"/>
        </w:numPr>
        <w:spacing w:before="156" w:beforeLines="50" w:line="360" w:lineRule="auto"/>
        <w:ind w:firstLine="480" w:firstLineChars="200"/>
        <w:rPr>
          <w:rFonts w:ascii="Times New Roman" w:hAnsi="Times New Roman"/>
          <w:bCs/>
          <w:iCs/>
          <w:sz w:val="24"/>
        </w:rPr>
      </w:pPr>
      <w:r>
        <w:rPr>
          <w:rFonts w:ascii="Times New Roman" w:hAnsi="Times New Roman"/>
          <w:bCs/>
          <w:iCs/>
          <w:sz w:val="24"/>
        </w:rPr>
        <w:t>公司近期实施了股份回购，并启动了回购股份注销程序，请问目前的进展如何？回购注销对公司及股东有何影响？</w:t>
      </w:r>
    </w:p>
    <w:p w14:paraId="4B275DF8">
      <w:pPr>
        <w:spacing w:line="360" w:lineRule="auto"/>
        <w:ind w:firstLine="480" w:firstLineChars="200"/>
        <w:rPr>
          <w:rFonts w:ascii="Times New Roman" w:hAnsi="Times New Roman"/>
          <w:bCs/>
          <w:iCs/>
          <w:sz w:val="24"/>
        </w:rPr>
      </w:pPr>
      <w:r>
        <w:rPr>
          <w:rFonts w:ascii="Times New Roman" w:hAnsi="Times New Roman"/>
          <w:bCs/>
          <w:iCs/>
          <w:sz w:val="24"/>
        </w:rPr>
        <w:t>回复：尊敬的投资者，您好！公司于2026年7月推出了上市以来第三次回购计划，回购金额为5,500万元~11,000万元，回购的股份中预留300万股用于股权激励或员工持股计划，剩余部分全部注销。截至2026年8月20日，公司已耗资7,399万元回购了864.978万股，目前回购还在持续实施中。股份回购及后续注销对公司及股东具有积极意义：一是直接增厚每股收益，提升股东所持股份的含金量；二是向市场传递管理层信心，充分体现公司对自身内在价值的认可；三是优化资本结构，提升长期投资价值，构建业绩增长与股东回报的正向循环。感谢您的关注。</w:t>
      </w:r>
    </w:p>
    <w:p w14:paraId="404CD4BA">
      <w:pPr>
        <w:numPr>
          <w:ilvl w:val="0"/>
          <w:numId w:val="1"/>
        </w:numPr>
        <w:spacing w:before="156" w:beforeLines="50" w:line="360" w:lineRule="auto"/>
        <w:ind w:firstLine="480" w:firstLineChars="200"/>
        <w:rPr>
          <w:rFonts w:ascii="Times New Roman" w:hAnsi="Times New Roman"/>
          <w:bCs/>
          <w:iCs/>
          <w:sz w:val="24"/>
        </w:rPr>
      </w:pPr>
      <w:r>
        <w:rPr>
          <w:rFonts w:ascii="Times New Roman" w:hAnsi="Times New Roman"/>
          <w:bCs/>
          <w:iCs/>
          <w:sz w:val="24"/>
        </w:rPr>
        <w:t>公司股权激励考核要求全年净利润不低于1亿元，上半年已实现5,110万元。请问下半年如何保障目标达成？</w:t>
      </w:r>
    </w:p>
    <w:p w14:paraId="5E89B10B">
      <w:pPr>
        <w:spacing w:line="360" w:lineRule="auto"/>
        <w:ind w:firstLine="480" w:firstLineChars="200"/>
        <w:rPr>
          <w:rFonts w:ascii="Times New Roman" w:hAnsi="Times New Roman"/>
          <w:bCs/>
          <w:iCs/>
          <w:sz w:val="24"/>
        </w:rPr>
      </w:pPr>
      <w:r>
        <w:rPr>
          <w:rFonts w:ascii="Times New Roman" w:hAnsi="Times New Roman"/>
          <w:bCs/>
          <w:iCs/>
          <w:sz w:val="24"/>
        </w:rPr>
        <w:t>回复：尊敬的投资者，您好！上半年5,110万元的归母净利润业绩验证了公司业务调整方向的正确性，为全年目标达成奠定了坚实基础，结合当前行业情况和公司经营举措，目前公司三季度整体经营情况良好。下半年公司将重点通过以下举措全力以赴推进全年目标达成：一是空运业务巩固企稳回升态势，持续优化运力采购策略，提升高附加值直客占比；二是全球化布局持续贡献增量，东南亚及北美市场收入同比稳步提升；三是持续推进数智化转型，提升运营效率。具体经营业绩情况请以公司后续披露的公告为准，敬请广大投资者注意投资风险。感谢您的关注。</w:t>
      </w:r>
    </w:p>
    <w:p w14:paraId="6359EC27">
      <w:pPr>
        <w:spacing w:line="360" w:lineRule="auto"/>
        <w:ind w:firstLine="480" w:firstLineChars="200"/>
        <w:rPr>
          <w:rFonts w:ascii="Times New Roman" w:hAnsi="Times New Roman"/>
          <w:bCs/>
          <w:iCs/>
          <w:sz w:val="24"/>
        </w:rPr>
      </w:pPr>
    </w:p>
    <w:p w14:paraId="0BC5895C">
      <w:pPr>
        <w:spacing w:line="360" w:lineRule="auto"/>
        <w:ind w:firstLine="480" w:firstLineChars="200"/>
        <w:jc w:val="right"/>
        <w:rPr>
          <w:rFonts w:ascii="Times New Roman" w:hAnsi="Times New Roman"/>
          <w:bCs/>
          <w:iCs/>
          <w:sz w:val="24"/>
        </w:rPr>
      </w:pPr>
      <w:r>
        <w:rPr>
          <w:rFonts w:ascii="Times New Roman" w:hAnsi="Times New Roman"/>
          <w:bCs/>
          <w:iCs/>
          <w:sz w:val="24"/>
        </w:rPr>
        <w:t>海程邦达供应链管理股份有限公司</w:t>
      </w:r>
    </w:p>
    <w:p w14:paraId="34334532">
      <w:pPr>
        <w:widowControl/>
        <w:spacing w:line="360" w:lineRule="auto"/>
        <w:ind w:right="480" w:firstLine="5520" w:firstLineChars="2300"/>
        <w:jc w:val="right"/>
        <w:rPr>
          <w:rFonts w:ascii="Times New Roman" w:hAnsi="Times New Roman"/>
          <w:bCs/>
          <w:sz w:val="24"/>
        </w:rPr>
      </w:pPr>
      <w:r>
        <w:rPr>
          <w:rFonts w:ascii="Times New Roman" w:hAnsi="Times New Roman"/>
          <w:bCs/>
          <w:sz w:val="24"/>
        </w:rPr>
        <w:t>2026年8月31</w:t>
      </w:r>
      <w:r>
        <w:rPr>
          <w:rFonts w:hint="eastAsia" w:ascii="Times New Roman" w:hAnsi="Times New Roman"/>
          <w:bCs/>
          <w:sz w:val="24"/>
        </w:rPr>
        <w:t>日</w:t>
      </w:r>
    </w:p>
    <w:p w14:paraId="2DF2608A">
      <w:pPr>
        <w:widowControl/>
        <w:spacing w:line="360" w:lineRule="auto"/>
        <w:ind w:firstLine="5520" w:firstLineChars="2300"/>
        <w:jc w:val="right"/>
        <w:rPr>
          <w:rFonts w:ascii="Times New Roman" w:hAnsi="Times New Roman"/>
          <w:bCs/>
          <w:sz w:val="24"/>
        </w:rPr>
      </w:pPr>
    </w:p>
    <w:p w14:paraId="466E4BA6">
      <w:pPr>
        <w:widowControl/>
        <w:spacing w:line="360" w:lineRule="auto"/>
        <w:ind w:firstLine="5520" w:firstLineChars="2300"/>
        <w:jc w:val="right"/>
        <w:rPr>
          <w:rFonts w:ascii="Times New Roman" w:hAnsi="Times New Roman"/>
          <w:bCs/>
          <w:sz w:val="24"/>
        </w:rPr>
      </w:pPr>
    </w:p>
    <w:p w14:paraId="1058FE04">
      <w:pPr>
        <w:widowControl/>
        <w:spacing w:line="360" w:lineRule="auto"/>
        <w:ind w:firstLine="5520" w:firstLineChars="2300"/>
        <w:jc w:val="left"/>
        <w:rPr>
          <w:rFonts w:ascii="Times New Roman" w:hAnsi="Times New Roman"/>
          <w:bCs/>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37" w:footer="68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494866"/>
      <w:docPartObj>
        <w:docPartGallery w:val="AutoText"/>
      </w:docPartObj>
    </w:sdtPr>
    <w:sdtContent>
      <w:p w14:paraId="234C9543">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D13EF7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F112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BB28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AE9D">
    <w:pPr>
      <w:pStyle w:val="5"/>
      <w:jc w:val="both"/>
    </w:pPr>
    <w:r>
      <w:rPr>
        <w:rFonts w:ascii="宋体" w:hAnsi="宋体"/>
        <w:sz w:val="21"/>
        <w:szCs w:val="21"/>
      </w:rPr>
      <w:drawing>
        <wp:anchor distT="0" distB="0" distL="114300" distR="114300" simplePos="0" relativeHeight="251659264" behindDoc="0" locked="0" layoutInCell="1" allowOverlap="0">
          <wp:simplePos x="0" y="0"/>
          <wp:positionH relativeFrom="margin">
            <wp:posOffset>3996055</wp:posOffset>
          </wp:positionH>
          <wp:positionV relativeFrom="page">
            <wp:posOffset>319405</wp:posOffset>
          </wp:positionV>
          <wp:extent cx="1281430" cy="295275"/>
          <wp:effectExtent l="0" t="0" r="0" b="0"/>
          <wp:wrapNone/>
          <wp:docPr id="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81600" cy="2952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91A27">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7F92A">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B7F969"/>
    <w:multiLevelType w:val="singleLevel"/>
    <w:tmpl w:val="1FB7F96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167"/>
    <w:rsid w:val="00001523"/>
    <w:rsid w:val="00004450"/>
    <w:rsid w:val="00004E08"/>
    <w:rsid w:val="0003699D"/>
    <w:rsid w:val="00037382"/>
    <w:rsid w:val="00044A8C"/>
    <w:rsid w:val="00053C3D"/>
    <w:rsid w:val="00053C65"/>
    <w:rsid w:val="000557CB"/>
    <w:rsid w:val="00060EC2"/>
    <w:rsid w:val="0006462C"/>
    <w:rsid w:val="00086803"/>
    <w:rsid w:val="00087466"/>
    <w:rsid w:val="000935B7"/>
    <w:rsid w:val="000A194C"/>
    <w:rsid w:val="000A1F23"/>
    <w:rsid w:val="000B653A"/>
    <w:rsid w:val="000C40DB"/>
    <w:rsid w:val="000D0065"/>
    <w:rsid w:val="000E32FF"/>
    <w:rsid w:val="000F401F"/>
    <w:rsid w:val="000F5B41"/>
    <w:rsid w:val="00101ED7"/>
    <w:rsid w:val="00103A13"/>
    <w:rsid w:val="00113E0B"/>
    <w:rsid w:val="00114F28"/>
    <w:rsid w:val="00126D19"/>
    <w:rsid w:val="00130E2A"/>
    <w:rsid w:val="0016395E"/>
    <w:rsid w:val="00167DA1"/>
    <w:rsid w:val="0018174D"/>
    <w:rsid w:val="00192909"/>
    <w:rsid w:val="00193795"/>
    <w:rsid w:val="001B2413"/>
    <w:rsid w:val="001C20EA"/>
    <w:rsid w:val="001D0848"/>
    <w:rsid w:val="001D5BC7"/>
    <w:rsid w:val="001E043B"/>
    <w:rsid w:val="001E6F88"/>
    <w:rsid w:val="00233B70"/>
    <w:rsid w:val="0023486B"/>
    <w:rsid w:val="002915A4"/>
    <w:rsid w:val="002961B7"/>
    <w:rsid w:val="002A0533"/>
    <w:rsid w:val="002B3622"/>
    <w:rsid w:val="002C78FB"/>
    <w:rsid w:val="002D40E3"/>
    <w:rsid w:val="002F2014"/>
    <w:rsid w:val="00302659"/>
    <w:rsid w:val="003277C0"/>
    <w:rsid w:val="00340242"/>
    <w:rsid w:val="003448C7"/>
    <w:rsid w:val="0035341F"/>
    <w:rsid w:val="00377342"/>
    <w:rsid w:val="00386A5D"/>
    <w:rsid w:val="003A2980"/>
    <w:rsid w:val="003A3059"/>
    <w:rsid w:val="003B49E1"/>
    <w:rsid w:val="003C32D4"/>
    <w:rsid w:val="003C34DC"/>
    <w:rsid w:val="003E0DEE"/>
    <w:rsid w:val="00403DEC"/>
    <w:rsid w:val="00412B3C"/>
    <w:rsid w:val="00422B11"/>
    <w:rsid w:val="00431627"/>
    <w:rsid w:val="004356A6"/>
    <w:rsid w:val="00446372"/>
    <w:rsid w:val="00447317"/>
    <w:rsid w:val="00450316"/>
    <w:rsid w:val="004523E5"/>
    <w:rsid w:val="00454C4B"/>
    <w:rsid w:val="00470539"/>
    <w:rsid w:val="0048117D"/>
    <w:rsid w:val="0049046A"/>
    <w:rsid w:val="0049650C"/>
    <w:rsid w:val="004D086C"/>
    <w:rsid w:val="004D5BEA"/>
    <w:rsid w:val="004E34B5"/>
    <w:rsid w:val="004F049A"/>
    <w:rsid w:val="004F1C65"/>
    <w:rsid w:val="004F7478"/>
    <w:rsid w:val="0050763D"/>
    <w:rsid w:val="00507FFD"/>
    <w:rsid w:val="00522C42"/>
    <w:rsid w:val="005242D2"/>
    <w:rsid w:val="005263C2"/>
    <w:rsid w:val="0053020D"/>
    <w:rsid w:val="00535C6D"/>
    <w:rsid w:val="00550EA7"/>
    <w:rsid w:val="00552D48"/>
    <w:rsid w:val="00552E26"/>
    <w:rsid w:val="00554042"/>
    <w:rsid w:val="005618FB"/>
    <w:rsid w:val="005765A6"/>
    <w:rsid w:val="00583648"/>
    <w:rsid w:val="005A1819"/>
    <w:rsid w:val="005E77D5"/>
    <w:rsid w:val="00607E8B"/>
    <w:rsid w:val="00622609"/>
    <w:rsid w:val="00625065"/>
    <w:rsid w:val="00625BE0"/>
    <w:rsid w:val="006343BA"/>
    <w:rsid w:val="00642946"/>
    <w:rsid w:val="00657429"/>
    <w:rsid w:val="00686BF4"/>
    <w:rsid w:val="00694273"/>
    <w:rsid w:val="00695211"/>
    <w:rsid w:val="006A6F23"/>
    <w:rsid w:val="006E166A"/>
    <w:rsid w:val="006F0744"/>
    <w:rsid w:val="00700268"/>
    <w:rsid w:val="00702654"/>
    <w:rsid w:val="00713D20"/>
    <w:rsid w:val="00722A71"/>
    <w:rsid w:val="007274BF"/>
    <w:rsid w:val="00736A40"/>
    <w:rsid w:val="0076558C"/>
    <w:rsid w:val="00767BDC"/>
    <w:rsid w:val="0079344F"/>
    <w:rsid w:val="00795800"/>
    <w:rsid w:val="007A2886"/>
    <w:rsid w:val="007A652A"/>
    <w:rsid w:val="007B356F"/>
    <w:rsid w:val="007D4AC0"/>
    <w:rsid w:val="007F4707"/>
    <w:rsid w:val="007F550E"/>
    <w:rsid w:val="00801566"/>
    <w:rsid w:val="008127E3"/>
    <w:rsid w:val="00817613"/>
    <w:rsid w:val="0085799B"/>
    <w:rsid w:val="00860E21"/>
    <w:rsid w:val="00884B83"/>
    <w:rsid w:val="008B1C89"/>
    <w:rsid w:val="008B2181"/>
    <w:rsid w:val="008E0A42"/>
    <w:rsid w:val="008E1CA9"/>
    <w:rsid w:val="008F56B5"/>
    <w:rsid w:val="008F5F02"/>
    <w:rsid w:val="008F7D33"/>
    <w:rsid w:val="00902753"/>
    <w:rsid w:val="00924B56"/>
    <w:rsid w:val="00930F96"/>
    <w:rsid w:val="009310BD"/>
    <w:rsid w:val="00932938"/>
    <w:rsid w:val="00933396"/>
    <w:rsid w:val="00935F07"/>
    <w:rsid w:val="009429CA"/>
    <w:rsid w:val="00975059"/>
    <w:rsid w:val="009931E3"/>
    <w:rsid w:val="00997D5D"/>
    <w:rsid w:val="009A1FE6"/>
    <w:rsid w:val="009B4A4D"/>
    <w:rsid w:val="009F3634"/>
    <w:rsid w:val="00A212C7"/>
    <w:rsid w:val="00A27513"/>
    <w:rsid w:val="00A40DA0"/>
    <w:rsid w:val="00A5270B"/>
    <w:rsid w:val="00A55ECB"/>
    <w:rsid w:val="00A7063E"/>
    <w:rsid w:val="00A72166"/>
    <w:rsid w:val="00A727C5"/>
    <w:rsid w:val="00A92973"/>
    <w:rsid w:val="00A94D7A"/>
    <w:rsid w:val="00AA3E75"/>
    <w:rsid w:val="00AD15EB"/>
    <w:rsid w:val="00AF1AED"/>
    <w:rsid w:val="00B020A4"/>
    <w:rsid w:val="00B06FA1"/>
    <w:rsid w:val="00B30215"/>
    <w:rsid w:val="00B44423"/>
    <w:rsid w:val="00B5182F"/>
    <w:rsid w:val="00B647E3"/>
    <w:rsid w:val="00B663BF"/>
    <w:rsid w:val="00B67800"/>
    <w:rsid w:val="00B704AD"/>
    <w:rsid w:val="00B724A4"/>
    <w:rsid w:val="00B7635A"/>
    <w:rsid w:val="00B87438"/>
    <w:rsid w:val="00B8793F"/>
    <w:rsid w:val="00B97B92"/>
    <w:rsid w:val="00BA01FA"/>
    <w:rsid w:val="00BA277C"/>
    <w:rsid w:val="00BA4005"/>
    <w:rsid w:val="00BB0EE3"/>
    <w:rsid w:val="00BB6EAD"/>
    <w:rsid w:val="00BC324F"/>
    <w:rsid w:val="00BD1167"/>
    <w:rsid w:val="00BD5867"/>
    <w:rsid w:val="00BD68E5"/>
    <w:rsid w:val="00C05C68"/>
    <w:rsid w:val="00C06CC5"/>
    <w:rsid w:val="00C07E57"/>
    <w:rsid w:val="00C350C8"/>
    <w:rsid w:val="00C4503A"/>
    <w:rsid w:val="00C67C2A"/>
    <w:rsid w:val="00C77482"/>
    <w:rsid w:val="00C96909"/>
    <w:rsid w:val="00CA4615"/>
    <w:rsid w:val="00CA7A8B"/>
    <w:rsid w:val="00CC5678"/>
    <w:rsid w:val="00CC58C7"/>
    <w:rsid w:val="00CD4B6F"/>
    <w:rsid w:val="00CE2291"/>
    <w:rsid w:val="00CF7890"/>
    <w:rsid w:val="00D03C73"/>
    <w:rsid w:val="00D0464E"/>
    <w:rsid w:val="00D35B95"/>
    <w:rsid w:val="00D41239"/>
    <w:rsid w:val="00D4436E"/>
    <w:rsid w:val="00D44E5F"/>
    <w:rsid w:val="00D51EF7"/>
    <w:rsid w:val="00D54EA9"/>
    <w:rsid w:val="00D5707E"/>
    <w:rsid w:val="00D64054"/>
    <w:rsid w:val="00D64424"/>
    <w:rsid w:val="00D8222B"/>
    <w:rsid w:val="00D945BD"/>
    <w:rsid w:val="00DA6E7A"/>
    <w:rsid w:val="00DF1C74"/>
    <w:rsid w:val="00E05418"/>
    <w:rsid w:val="00E06D05"/>
    <w:rsid w:val="00E07246"/>
    <w:rsid w:val="00E3501F"/>
    <w:rsid w:val="00E41520"/>
    <w:rsid w:val="00E42B3E"/>
    <w:rsid w:val="00E552C1"/>
    <w:rsid w:val="00E55441"/>
    <w:rsid w:val="00E56F63"/>
    <w:rsid w:val="00E612AD"/>
    <w:rsid w:val="00E80D98"/>
    <w:rsid w:val="00E9271E"/>
    <w:rsid w:val="00E93AD7"/>
    <w:rsid w:val="00EA0D3E"/>
    <w:rsid w:val="00EA592F"/>
    <w:rsid w:val="00EA6812"/>
    <w:rsid w:val="00EC4DBE"/>
    <w:rsid w:val="00EC71EC"/>
    <w:rsid w:val="00ED3367"/>
    <w:rsid w:val="00EE33AB"/>
    <w:rsid w:val="00EF2C66"/>
    <w:rsid w:val="00EF7494"/>
    <w:rsid w:val="00F02389"/>
    <w:rsid w:val="00F064B2"/>
    <w:rsid w:val="00F130B0"/>
    <w:rsid w:val="00F17FD1"/>
    <w:rsid w:val="00F26997"/>
    <w:rsid w:val="00F32F27"/>
    <w:rsid w:val="00F34ED6"/>
    <w:rsid w:val="00F40147"/>
    <w:rsid w:val="00F424E0"/>
    <w:rsid w:val="00F7530C"/>
    <w:rsid w:val="00F81BB7"/>
    <w:rsid w:val="00F825B9"/>
    <w:rsid w:val="00F837C0"/>
    <w:rsid w:val="00F8725F"/>
    <w:rsid w:val="00FA214A"/>
    <w:rsid w:val="00FA689B"/>
    <w:rsid w:val="00FB3454"/>
    <w:rsid w:val="00FC634E"/>
    <w:rsid w:val="00FC6A5B"/>
    <w:rsid w:val="00FD3A9C"/>
    <w:rsid w:val="00FF05F1"/>
    <w:rsid w:val="00FF40F5"/>
    <w:rsid w:val="0580192D"/>
    <w:rsid w:val="09102B5A"/>
    <w:rsid w:val="0CA02447"/>
    <w:rsid w:val="111C627A"/>
    <w:rsid w:val="12D66403"/>
    <w:rsid w:val="19D84FCE"/>
    <w:rsid w:val="1A8F74E3"/>
    <w:rsid w:val="1E5369D0"/>
    <w:rsid w:val="211C60E8"/>
    <w:rsid w:val="221B63A0"/>
    <w:rsid w:val="26435EC5"/>
    <w:rsid w:val="28944D64"/>
    <w:rsid w:val="2FB63264"/>
    <w:rsid w:val="34C5219B"/>
    <w:rsid w:val="3AB27AD9"/>
    <w:rsid w:val="3B4A1897"/>
    <w:rsid w:val="3C566D31"/>
    <w:rsid w:val="3E337269"/>
    <w:rsid w:val="41F95891"/>
    <w:rsid w:val="49557B3A"/>
    <w:rsid w:val="49781705"/>
    <w:rsid w:val="4CF55782"/>
    <w:rsid w:val="4FC95DEC"/>
    <w:rsid w:val="54486E51"/>
    <w:rsid w:val="57516031"/>
    <w:rsid w:val="57AA1051"/>
    <w:rsid w:val="5ADC7773"/>
    <w:rsid w:val="5D5E5D4C"/>
    <w:rsid w:val="5D944335"/>
    <w:rsid w:val="5DD24259"/>
    <w:rsid w:val="625D50F7"/>
    <w:rsid w:val="64022FD3"/>
    <w:rsid w:val="6745254B"/>
    <w:rsid w:val="69095BB3"/>
    <w:rsid w:val="6D3872E9"/>
    <w:rsid w:val="71A331AE"/>
    <w:rsid w:val="728B6943"/>
    <w:rsid w:val="74822CE1"/>
    <w:rsid w:val="77FE09C5"/>
    <w:rsid w:val="7BD77DB7"/>
    <w:rsid w:val="7BDF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paragraph" w:styleId="7">
    <w:name w:val="annotation subject"/>
    <w:basedOn w:val="2"/>
    <w:next w:val="2"/>
    <w:link w:val="16"/>
    <w:semiHidden/>
    <w:unhideWhenUsed/>
    <w:qFormat/>
    <w:uiPriority w:val="99"/>
    <w:rPr>
      <w:b/>
      <w:bCs/>
    </w:rPr>
  </w:style>
  <w:style w:type="character" w:styleId="10">
    <w:name w:val="Hyperlink"/>
    <w:basedOn w:val="9"/>
    <w:semiHidden/>
    <w:unhideWhenUsed/>
    <w:qFormat/>
    <w:uiPriority w:val="99"/>
    <w:rPr>
      <w:color w:val="0000FF"/>
      <w:u w:val="single"/>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修订1"/>
    <w:hidden/>
    <w:semiHidden/>
    <w:qFormat/>
    <w:uiPriority w:val="99"/>
    <w:rPr>
      <w:rFonts w:ascii="Calibri" w:hAnsi="Calibri" w:eastAsia="宋体" w:cs="Times New Roman"/>
      <w:kern w:val="2"/>
      <w:sz w:val="21"/>
      <w:szCs w:val="24"/>
      <w:lang w:val="en-US" w:eastAsia="zh-CN" w:bidi="ar-SA"/>
    </w:rPr>
  </w:style>
  <w:style w:type="character" w:customStyle="1" w:styleId="15">
    <w:name w:val="批注文字 字符"/>
    <w:basedOn w:val="9"/>
    <w:link w:val="2"/>
    <w:semiHidden/>
    <w:qFormat/>
    <w:uiPriority w:val="99"/>
    <w:rPr>
      <w:rFonts w:ascii="Calibri" w:hAnsi="Calibri" w:eastAsia="宋体" w:cs="Times New Roman"/>
      <w:kern w:val="2"/>
      <w:sz w:val="21"/>
      <w:szCs w:val="24"/>
    </w:rPr>
  </w:style>
  <w:style w:type="character" w:customStyle="1" w:styleId="16">
    <w:name w:val="批注主题 字符"/>
    <w:basedOn w:val="15"/>
    <w:link w:val="7"/>
    <w:semiHidden/>
    <w:qFormat/>
    <w:uiPriority w:val="99"/>
    <w:rPr>
      <w:rFonts w:ascii="Calibri" w:hAnsi="Calibri" w:eastAsia="宋体" w:cs="Times New Roman"/>
      <w:b/>
      <w:bCs/>
      <w:kern w:val="2"/>
      <w:sz w:val="21"/>
      <w:szCs w:val="24"/>
    </w:rPr>
  </w:style>
  <w:style w:type="character" w:customStyle="1" w:styleId="17">
    <w:name w:val="批注框文本 字符"/>
    <w:basedOn w:val="9"/>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1339</Words>
  <Characters>1407</Characters>
  <Lines>27</Lines>
  <Paragraphs>13</Paragraphs>
  <TotalTime>11</TotalTime>
  <ScaleCrop>false</ScaleCrop>
  <LinksUpToDate>false</LinksUpToDate>
  <CharactersWithSpaces>1442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2026-08-31T06:21:00Z</dcterms:created>
  <dc:creator>qyf</dc:creator>
  <cp:lastModifiedBy>暖暖</cp:lastModifiedBy>
  <dcterms:modified xsi:type="dcterms:W3CDTF">2026-08-31T06:56:17Z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eyJoZGlkIjoiMjA4YzdlOTVlMjM5ZDY2ZWExMjM0NzExNzlhM2Q5YjciLCJ1c2VySWQiOiI3OTM4Mzg4MjgifQ==</vt:lpwstr>
  </property>
  <property fmtid="{D5CDD505-2E9C-101B-9397-08002B2CF9AE}" pid="4" name="ICV">
    <vt:lpwstr>8CF66D4B39EA4BF2A3F036A59BA47410_13</vt:lpwstr>
  </property>
</Properties>
</file>