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69A52" w14:textId="77777777" w:rsidR="000670E9" w:rsidRPr="002D4652" w:rsidRDefault="00000000">
      <w:pPr>
        <w:spacing w:beforeLines="50" w:before="156" w:afterLines="50" w:after="156" w:line="400" w:lineRule="exact"/>
        <w:rPr>
          <w:b/>
          <w:iCs/>
          <w:color w:val="000000"/>
          <w:sz w:val="24"/>
        </w:rPr>
      </w:pPr>
      <w:r w:rsidRPr="002D4652">
        <w:rPr>
          <w:rFonts w:hAnsi="宋体"/>
          <w:b/>
          <w:iCs/>
          <w:color w:val="000000"/>
          <w:sz w:val="24"/>
        </w:rPr>
        <w:t>证券代码：</w:t>
      </w:r>
      <w:r w:rsidRPr="002D4652">
        <w:rPr>
          <w:b/>
          <w:iCs/>
          <w:color w:val="000000"/>
          <w:sz w:val="24"/>
        </w:rPr>
        <w:t xml:space="preserve"> </w:t>
      </w:r>
      <w:r w:rsidRPr="002D4652">
        <w:rPr>
          <w:b/>
          <w:color w:val="000000"/>
          <w:sz w:val="24"/>
        </w:rPr>
        <w:t xml:space="preserve">600251                             </w:t>
      </w:r>
      <w:r w:rsidRPr="002D4652">
        <w:rPr>
          <w:rFonts w:hAnsi="宋体"/>
          <w:b/>
          <w:iCs/>
          <w:color w:val="000000"/>
          <w:sz w:val="24"/>
        </w:rPr>
        <w:t>证券简称：</w:t>
      </w:r>
      <w:r w:rsidRPr="002D4652">
        <w:rPr>
          <w:b/>
          <w:color w:val="000000"/>
          <w:sz w:val="24"/>
        </w:rPr>
        <w:t>冠农股份</w:t>
      </w:r>
    </w:p>
    <w:p w14:paraId="6E7B04EB" w14:textId="77777777" w:rsidR="000670E9" w:rsidRDefault="00000000" w:rsidP="002D4652">
      <w:pPr>
        <w:spacing w:beforeLines="100" w:before="312" w:line="360" w:lineRule="auto"/>
        <w:jc w:val="center"/>
        <w:rPr>
          <w:rFonts w:ascii="宋体" w:hAnsi="宋体" w:hint="eastAsia"/>
          <w:b/>
          <w:bCs/>
          <w:iCs/>
          <w:color w:val="000000"/>
          <w:sz w:val="32"/>
          <w:szCs w:val="32"/>
        </w:rPr>
      </w:pPr>
      <w:r>
        <w:rPr>
          <w:rFonts w:ascii="宋体" w:hAnsi="宋体"/>
          <w:b/>
          <w:bCs/>
          <w:iCs/>
          <w:color w:val="000000"/>
          <w:sz w:val="32"/>
          <w:szCs w:val="32"/>
        </w:rPr>
        <w:t>新疆冠农股份有限公司</w:t>
      </w:r>
      <w:r>
        <w:rPr>
          <w:rFonts w:ascii="宋体" w:hAnsi="宋体" w:hint="eastAsia"/>
          <w:b/>
          <w:bCs/>
          <w:iCs/>
          <w:color w:val="000000"/>
          <w:sz w:val="32"/>
          <w:szCs w:val="32"/>
        </w:rPr>
        <w:t>投资者关系活动记录表</w:t>
      </w:r>
    </w:p>
    <w:p w14:paraId="00789001" w14:textId="0DDA17AD" w:rsidR="000670E9" w:rsidRDefault="00000000" w:rsidP="00A557BC">
      <w:pPr>
        <w:adjustRightInd w:val="0"/>
        <w:snapToGrid w:val="0"/>
        <w:spacing w:line="400" w:lineRule="exact"/>
        <w:rPr>
          <w:bCs/>
          <w:iCs/>
          <w:color w:val="000000"/>
          <w:sz w:val="24"/>
        </w:rPr>
      </w:pPr>
      <w:r>
        <w:rPr>
          <w:rFonts w:ascii="宋体" w:hAnsi="宋体" w:hint="eastAsia"/>
          <w:bCs/>
          <w:iCs/>
          <w:color w:val="000000"/>
          <w:sz w:val="24"/>
        </w:rPr>
        <w:t xml:space="preserve">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6847"/>
      </w:tblGrid>
      <w:tr w:rsidR="000670E9" w14:paraId="2CA59945" w14:textId="77777777">
        <w:tc>
          <w:tcPr>
            <w:tcW w:w="1908" w:type="dxa"/>
            <w:tcBorders>
              <w:top w:val="single" w:sz="4" w:space="0" w:color="auto"/>
              <w:left w:val="single" w:sz="4" w:space="0" w:color="auto"/>
              <w:bottom w:val="single" w:sz="4" w:space="0" w:color="auto"/>
              <w:right w:val="single" w:sz="4" w:space="0" w:color="auto"/>
            </w:tcBorders>
          </w:tcPr>
          <w:p w14:paraId="2C3927BE" w14:textId="77777777" w:rsidR="000670E9" w:rsidRDefault="00000000">
            <w:pPr>
              <w:spacing w:line="420" w:lineRule="exact"/>
              <w:rPr>
                <w:bCs/>
                <w:iCs/>
                <w:color w:val="000000"/>
                <w:kern w:val="0"/>
                <w:sz w:val="24"/>
              </w:rPr>
            </w:pPr>
            <w:r>
              <w:rPr>
                <w:rFonts w:hAnsi="宋体"/>
                <w:bCs/>
                <w:iCs/>
                <w:color w:val="000000"/>
                <w:kern w:val="0"/>
                <w:sz w:val="24"/>
              </w:rPr>
              <w:t>投资者关系活动类别</w:t>
            </w:r>
          </w:p>
          <w:p w14:paraId="27B67267" w14:textId="77777777" w:rsidR="000670E9" w:rsidRDefault="000670E9">
            <w:pPr>
              <w:spacing w:line="420" w:lineRule="exact"/>
              <w:rPr>
                <w:bCs/>
                <w:iCs/>
                <w:color w:val="000000"/>
                <w:sz w:val="24"/>
              </w:rPr>
            </w:pPr>
          </w:p>
        </w:tc>
        <w:tc>
          <w:tcPr>
            <w:tcW w:w="6847" w:type="dxa"/>
            <w:tcBorders>
              <w:top w:val="single" w:sz="4" w:space="0" w:color="auto"/>
              <w:left w:val="single" w:sz="4" w:space="0" w:color="auto"/>
              <w:bottom w:val="single" w:sz="4" w:space="0" w:color="auto"/>
              <w:right w:val="single" w:sz="4" w:space="0" w:color="auto"/>
            </w:tcBorders>
          </w:tcPr>
          <w:p w14:paraId="1D4F983F" w14:textId="77777777" w:rsidR="000670E9" w:rsidRDefault="00000000">
            <w:pPr>
              <w:spacing w:line="420" w:lineRule="exact"/>
              <w:rPr>
                <w:bCs/>
                <w:iCs/>
                <w:color w:val="000000"/>
                <w:sz w:val="24"/>
              </w:rPr>
            </w:pPr>
            <w:r>
              <w:rPr>
                <w:bCs/>
                <w:iCs/>
                <w:color w:val="000000"/>
                <w:kern w:val="0"/>
                <w:sz w:val="24"/>
              </w:rPr>
              <w:t>□</w:t>
            </w:r>
            <w:r>
              <w:rPr>
                <w:rFonts w:hAnsi="宋体"/>
                <w:kern w:val="0"/>
                <w:sz w:val="24"/>
              </w:rPr>
              <w:t>特定对象调研</w:t>
            </w:r>
            <w:r>
              <w:rPr>
                <w:kern w:val="0"/>
                <w:sz w:val="24"/>
              </w:rPr>
              <w:t xml:space="preserve">       </w:t>
            </w:r>
            <w:r>
              <w:rPr>
                <w:rFonts w:hint="eastAsia"/>
                <w:kern w:val="0"/>
                <w:sz w:val="24"/>
              </w:rPr>
              <w:t xml:space="preserve"> </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分析师会议</w:t>
            </w:r>
          </w:p>
          <w:p w14:paraId="11907B46" w14:textId="1E81D2A8" w:rsidR="000670E9" w:rsidRDefault="002D4652">
            <w:pPr>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int="eastAsia"/>
                <w:bCs/>
                <w:iCs/>
                <w:color w:val="000000"/>
                <w:kern w:val="0"/>
                <w:sz w:val="24"/>
              </w:rPr>
              <w:t>邮件</w:t>
            </w:r>
            <w:r>
              <w:rPr>
                <w:rFonts w:hAnsi="宋体"/>
                <w:kern w:val="0"/>
                <w:sz w:val="24"/>
              </w:rPr>
              <w:t>采访</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业绩说明会</w:t>
            </w:r>
          </w:p>
          <w:p w14:paraId="6ED5E81C" w14:textId="77777777" w:rsidR="000670E9" w:rsidRDefault="00000000">
            <w:pPr>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新闻发布会</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路演活动</w:t>
            </w:r>
          </w:p>
          <w:p w14:paraId="1F365ACB" w14:textId="77777777" w:rsidR="000670E9" w:rsidRDefault="00000000">
            <w:pPr>
              <w:tabs>
                <w:tab w:val="left" w:pos="3045"/>
                <w:tab w:val="center" w:pos="3199"/>
              </w:tabs>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现场参观</w:t>
            </w:r>
            <w:r>
              <w:rPr>
                <w:bCs/>
                <w:iCs/>
                <w:color w:val="000000"/>
                <w:kern w:val="0"/>
                <w:sz w:val="24"/>
              </w:rPr>
              <w:tab/>
            </w:r>
          </w:p>
          <w:p w14:paraId="0345ED19" w14:textId="77777777" w:rsidR="000670E9" w:rsidRDefault="00000000">
            <w:pPr>
              <w:tabs>
                <w:tab w:val="center" w:pos="3199"/>
              </w:tabs>
              <w:spacing w:line="420" w:lineRule="exact"/>
              <w:rPr>
                <w:bCs/>
                <w:iCs/>
                <w:color w:val="000000"/>
                <w:sz w:val="24"/>
              </w:rPr>
            </w:pPr>
            <w:r>
              <w:rPr>
                <w:bCs/>
                <w:iCs/>
                <w:color w:val="000000"/>
                <w:kern w:val="0"/>
                <w:sz w:val="24"/>
              </w:rPr>
              <w:t>□</w:t>
            </w:r>
            <w:r>
              <w:rPr>
                <w:rFonts w:hint="eastAsia"/>
                <w:bCs/>
                <w:iCs/>
                <w:color w:val="000000"/>
                <w:kern w:val="0"/>
                <w:sz w:val="24"/>
              </w:rPr>
              <w:t xml:space="preserve"> </w:t>
            </w:r>
            <w:r>
              <w:rPr>
                <w:rFonts w:hAnsi="宋体"/>
                <w:kern w:val="0"/>
                <w:sz w:val="24"/>
              </w:rPr>
              <w:t>其他</w:t>
            </w:r>
            <w:r>
              <w:rPr>
                <w:kern w:val="0"/>
                <w:sz w:val="24"/>
              </w:rPr>
              <w:t xml:space="preserve"> </w:t>
            </w:r>
            <w:r>
              <w:rPr>
                <w:rFonts w:hAnsi="宋体"/>
                <w:kern w:val="0"/>
                <w:sz w:val="24"/>
              </w:rPr>
              <w:t>（</w:t>
            </w:r>
            <w:r>
              <w:rPr>
                <w:rFonts w:hAnsi="宋体"/>
                <w:kern w:val="0"/>
                <w:sz w:val="24"/>
                <w:u w:val="single"/>
              </w:rPr>
              <w:t>请文字说明其他活动内容）</w:t>
            </w:r>
          </w:p>
        </w:tc>
      </w:tr>
      <w:tr w:rsidR="000670E9" w14:paraId="244D7ACC" w14:textId="77777777" w:rsidTr="00A557BC">
        <w:tc>
          <w:tcPr>
            <w:tcW w:w="1908" w:type="dxa"/>
            <w:tcBorders>
              <w:top w:val="single" w:sz="4" w:space="0" w:color="auto"/>
              <w:left w:val="single" w:sz="4" w:space="0" w:color="auto"/>
              <w:bottom w:val="single" w:sz="4" w:space="0" w:color="auto"/>
              <w:right w:val="single" w:sz="4" w:space="0" w:color="auto"/>
            </w:tcBorders>
          </w:tcPr>
          <w:p w14:paraId="67F5C6F4" w14:textId="77777777" w:rsidR="000670E9" w:rsidRDefault="00000000">
            <w:pPr>
              <w:spacing w:line="420" w:lineRule="exact"/>
              <w:rPr>
                <w:bCs/>
                <w:iCs/>
                <w:color w:val="000000"/>
                <w:kern w:val="0"/>
                <w:sz w:val="24"/>
              </w:rPr>
            </w:pPr>
            <w:r>
              <w:rPr>
                <w:rFonts w:hAnsi="宋体"/>
                <w:bCs/>
                <w:iCs/>
                <w:color w:val="000000"/>
                <w:kern w:val="0"/>
                <w:sz w:val="24"/>
              </w:rPr>
              <w:t>参与单位名称及人员姓名</w:t>
            </w:r>
          </w:p>
        </w:tc>
        <w:tc>
          <w:tcPr>
            <w:tcW w:w="6847" w:type="dxa"/>
            <w:tcBorders>
              <w:top w:val="single" w:sz="4" w:space="0" w:color="auto"/>
              <w:left w:val="single" w:sz="4" w:space="0" w:color="auto"/>
              <w:bottom w:val="single" w:sz="4" w:space="0" w:color="auto"/>
              <w:right w:val="single" w:sz="4" w:space="0" w:color="auto"/>
            </w:tcBorders>
            <w:vAlign w:val="center"/>
          </w:tcPr>
          <w:p w14:paraId="5ADE7C25" w14:textId="4549DB54" w:rsidR="000670E9" w:rsidRDefault="002D4652" w:rsidP="00A557BC">
            <w:pPr>
              <w:spacing w:line="420" w:lineRule="exact"/>
              <w:jc w:val="left"/>
              <w:rPr>
                <w:bCs/>
                <w:iCs/>
                <w:color w:val="000000"/>
                <w:sz w:val="24"/>
                <w:lang w:val="en-GB"/>
              </w:rPr>
            </w:pPr>
            <w:r w:rsidRPr="002D4652">
              <w:rPr>
                <w:bCs/>
                <w:iCs/>
                <w:color w:val="000000"/>
                <w:sz w:val="24"/>
                <w:lang w:val="en-GB"/>
              </w:rPr>
              <w:t>公司收到</w:t>
            </w:r>
            <w:bookmarkStart w:id="0" w:name="OLE_LINK1"/>
            <w:r w:rsidRPr="002D4652">
              <w:rPr>
                <w:bCs/>
                <w:iCs/>
                <w:color w:val="000000"/>
                <w:sz w:val="24"/>
                <w:lang w:val="en-GB"/>
              </w:rPr>
              <w:t>财经新媒体</w:t>
            </w:r>
            <w:r w:rsidRPr="002D4652">
              <w:rPr>
                <w:bCs/>
                <w:iCs/>
                <w:color w:val="000000"/>
                <w:sz w:val="24"/>
                <w:lang w:val="en-GB"/>
              </w:rPr>
              <w:t xml:space="preserve"> GPLP </w:t>
            </w:r>
            <w:r w:rsidRPr="002D4652">
              <w:rPr>
                <w:bCs/>
                <w:iCs/>
                <w:color w:val="000000"/>
                <w:sz w:val="24"/>
                <w:lang w:val="en-GB"/>
              </w:rPr>
              <w:t>犀牛财经</w:t>
            </w:r>
            <w:bookmarkEnd w:id="0"/>
            <w:r w:rsidRPr="002D4652">
              <w:rPr>
                <w:bCs/>
                <w:iCs/>
                <w:color w:val="000000"/>
                <w:sz w:val="24"/>
                <w:lang w:val="en-GB"/>
              </w:rPr>
              <w:t>的邮件，针对邮件中六项调研信息做出回复。</w:t>
            </w:r>
          </w:p>
        </w:tc>
      </w:tr>
      <w:tr w:rsidR="000670E9" w14:paraId="6D647BC1" w14:textId="77777777">
        <w:tc>
          <w:tcPr>
            <w:tcW w:w="1908" w:type="dxa"/>
            <w:tcBorders>
              <w:top w:val="single" w:sz="4" w:space="0" w:color="auto"/>
              <w:left w:val="single" w:sz="4" w:space="0" w:color="auto"/>
              <w:bottom w:val="single" w:sz="4" w:space="0" w:color="auto"/>
              <w:right w:val="single" w:sz="4" w:space="0" w:color="auto"/>
            </w:tcBorders>
          </w:tcPr>
          <w:p w14:paraId="4B6CB867" w14:textId="77777777" w:rsidR="000670E9" w:rsidRDefault="00000000">
            <w:pPr>
              <w:spacing w:line="420" w:lineRule="exact"/>
              <w:rPr>
                <w:bCs/>
                <w:iCs/>
                <w:color w:val="000000"/>
                <w:kern w:val="0"/>
                <w:sz w:val="24"/>
              </w:rPr>
            </w:pPr>
            <w:r>
              <w:rPr>
                <w:rFonts w:hAnsi="宋体"/>
                <w:bCs/>
                <w:iCs/>
                <w:color w:val="000000"/>
                <w:kern w:val="0"/>
                <w:sz w:val="24"/>
              </w:rPr>
              <w:t>时间</w:t>
            </w:r>
          </w:p>
        </w:tc>
        <w:tc>
          <w:tcPr>
            <w:tcW w:w="6847" w:type="dxa"/>
            <w:tcBorders>
              <w:top w:val="single" w:sz="4" w:space="0" w:color="auto"/>
              <w:left w:val="single" w:sz="4" w:space="0" w:color="auto"/>
              <w:bottom w:val="single" w:sz="4" w:space="0" w:color="auto"/>
              <w:right w:val="single" w:sz="4" w:space="0" w:color="auto"/>
            </w:tcBorders>
          </w:tcPr>
          <w:p w14:paraId="24EB2E85" w14:textId="0C072C50" w:rsidR="000670E9" w:rsidRDefault="00000000">
            <w:pPr>
              <w:spacing w:line="420" w:lineRule="exact"/>
              <w:rPr>
                <w:bCs/>
                <w:iCs/>
                <w:color w:val="000000"/>
                <w:sz w:val="24"/>
              </w:rPr>
            </w:pPr>
            <w:r>
              <w:rPr>
                <w:bCs/>
                <w:iCs/>
                <w:color w:val="000000"/>
                <w:sz w:val="24"/>
              </w:rPr>
              <w:t>2026</w:t>
            </w:r>
            <w:r>
              <w:rPr>
                <w:bCs/>
                <w:iCs/>
                <w:color w:val="000000"/>
                <w:sz w:val="24"/>
              </w:rPr>
              <w:t>年</w:t>
            </w:r>
            <w:r w:rsidR="002D4652">
              <w:rPr>
                <w:rFonts w:hint="eastAsia"/>
                <w:bCs/>
                <w:iCs/>
                <w:color w:val="000000"/>
                <w:sz w:val="24"/>
              </w:rPr>
              <w:t>8</w:t>
            </w:r>
            <w:r>
              <w:rPr>
                <w:bCs/>
                <w:iCs/>
                <w:color w:val="000000"/>
                <w:sz w:val="24"/>
              </w:rPr>
              <w:t>月</w:t>
            </w:r>
            <w:r w:rsidR="002D4652">
              <w:rPr>
                <w:rFonts w:hint="eastAsia"/>
                <w:bCs/>
                <w:iCs/>
                <w:color w:val="000000"/>
                <w:sz w:val="24"/>
              </w:rPr>
              <w:t>31</w:t>
            </w:r>
            <w:r>
              <w:rPr>
                <w:bCs/>
                <w:iCs/>
                <w:color w:val="000000"/>
                <w:sz w:val="24"/>
              </w:rPr>
              <w:t>日</w:t>
            </w:r>
            <w:r>
              <w:rPr>
                <w:bCs/>
                <w:iCs/>
                <w:color w:val="000000"/>
                <w:sz w:val="24"/>
              </w:rPr>
              <w:t xml:space="preserve"> </w:t>
            </w:r>
            <w:r w:rsidR="002D4652">
              <w:rPr>
                <w:rFonts w:hint="eastAsia"/>
                <w:bCs/>
                <w:iCs/>
                <w:color w:val="000000"/>
                <w:sz w:val="24"/>
              </w:rPr>
              <w:t>（星期一）</w:t>
            </w:r>
          </w:p>
        </w:tc>
      </w:tr>
      <w:tr w:rsidR="000670E9" w14:paraId="6D26ABA2" w14:textId="77777777">
        <w:tc>
          <w:tcPr>
            <w:tcW w:w="1908" w:type="dxa"/>
            <w:tcBorders>
              <w:top w:val="single" w:sz="4" w:space="0" w:color="auto"/>
              <w:left w:val="single" w:sz="4" w:space="0" w:color="auto"/>
              <w:bottom w:val="single" w:sz="4" w:space="0" w:color="auto"/>
              <w:right w:val="single" w:sz="4" w:space="0" w:color="auto"/>
            </w:tcBorders>
          </w:tcPr>
          <w:p w14:paraId="42EC9A57" w14:textId="77777777" w:rsidR="000670E9" w:rsidRDefault="00000000">
            <w:pPr>
              <w:spacing w:line="420" w:lineRule="exact"/>
              <w:rPr>
                <w:bCs/>
                <w:iCs/>
                <w:color w:val="000000"/>
                <w:kern w:val="0"/>
                <w:sz w:val="24"/>
              </w:rPr>
            </w:pPr>
            <w:r>
              <w:rPr>
                <w:rFonts w:hAnsi="宋体"/>
                <w:bCs/>
                <w:iCs/>
                <w:color w:val="000000"/>
                <w:kern w:val="0"/>
                <w:sz w:val="24"/>
              </w:rPr>
              <w:t>地点</w:t>
            </w:r>
          </w:p>
        </w:tc>
        <w:tc>
          <w:tcPr>
            <w:tcW w:w="6847" w:type="dxa"/>
            <w:tcBorders>
              <w:top w:val="single" w:sz="4" w:space="0" w:color="auto"/>
              <w:left w:val="single" w:sz="4" w:space="0" w:color="auto"/>
              <w:bottom w:val="single" w:sz="4" w:space="0" w:color="auto"/>
              <w:right w:val="single" w:sz="4" w:space="0" w:color="auto"/>
            </w:tcBorders>
          </w:tcPr>
          <w:p w14:paraId="09E9E5EF" w14:textId="2D150A4A" w:rsidR="000670E9" w:rsidRDefault="002D4652">
            <w:pPr>
              <w:spacing w:line="420" w:lineRule="exact"/>
              <w:rPr>
                <w:bCs/>
                <w:iCs/>
                <w:color w:val="000000"/>
                <w:sz w:val="24"/>
              </w:rPr>
            </w:pPr>
            <w:r>
              <w:rPr>
                <w:rFonts w:ascii="宋体" w:hAnsi="宋体" w:hint="eastAsia"/>
                <w:sz w:val="24"/>
              </w:rPr>
              <w:t>公司</w:t>
            </w:r>
          </w:p>
        </w:tc>
      </w:tr>
      <w:tr w:rsidR="000670E9" w14:paraId="5962A07C" w14:textId="77777777">
        <w:tc>
          <w:tcPr>
            <w:tcW w:w="1908" w:type="dxa"/>
            <w:tcBorders>
              <w:top w:val="single" w:sz="4" w:space="0" w:color="auto"/>
              <w:left w:val="single" w:sz="4" w:space="0" w:color="auto"/>
              <w:bottom w:val="single" w:sz="4" w:space="0" w:color="auto"/>
              <w:right w:val="single" w:sz="4" w:space="0" w:color="auto"/>
            </w:tcBorders>
          </w:tcPr>
          <w:p w14:paraId="7F934D53" w14:textId="77777777" w:rsidR="000670E9" w:rsidRDefault="00000000">
            <w:pPr>
              <w:spacing w:line="420" w:lineRule="exact"/>
              <w:rPr>
                <w:bCs/>
                <w:iCs/>
                <w:color w:val="000000"/>
                <w:kern w:val="0"/>
                <w:sz w:val="24"/>
              </w:rPr>
            </w:pPr>
            <w:r>
              <w:rPr>
                <w:rFonts w:hAnsi="宋体"/>
                <w:bCs/>
                <w:iCs/>
                <w:color w:val="000000"/>
                <w:kern w:val="0"/>
                <w:sz w:val="24"/>
              </w:rPr>
              <w:t>上市公司接待人员姓名</w:t>
            </w:r>
          </w:p>
        </w:tc>
        <w:tc>
          <w:tcPr>
            <w:tcW w:w="6847" w:type="dxa"/>
            <w:tcBorders>
              <w:top w:val="single" w:sz="4" w:space="0" w:color="auto"/>
              <w:left w:val="single" w:sz="4" w:space="0" w:color="auto"/>
              <w:bottom w:val="single" w:sz="4" w:space="0" w:color="auto"/>
              <w:right w:val="single" w:sz="4" w:space="0" w:color="auto"/>
            </w:tcBorders>
            <w:vAlign w:val="center"/>
          </w:tcPr>
          <w:p w14:paraId="14B75C75" w14:textId="5D597808" w:rsidR="000670E9" w:rsidRDefault="00A557BC">
            <w:pPr>
              <w:spacing w:line="420" w:lineRule="exact"/>
              <w:rPr>
                <w:rFonts w:ascii="宋体" w:hAnsi="宋体" w:hint="eastAsia"/>
                <w:bCs/>
                <w:sz w:val="24"/>
              </w:rPr>
            </w:pPr>
            <w:r>
              <w:rPr>
                <w:rFonts w:ascii="宋体" w:hAnsi="宋体"/>
                <w:bCs/>
                <w:sz w:val="24"/>
              </w:rPr>
              <w:t>董事会秘书</w:t>
            </w:r>
            <w:r>
              <w:rPr>
                <w:rFonts w:ascii="宋体" w:hAnsi="宋体" w:hint="eastAsia"/>
                <w:bCs/>
                <w:sz w:val="24"/>
              </w:rPr>
              <w:t xml:space="preserve"> </w:t>
            </w:r>
            <w:r>
              <w:rPr>
                <w:rFonts w:ascii="宋体" w:hAnsi="宋体"/>
                <w:bCs/>
                <w:sz w:val="24"/>
              </w:rPr>
              <w:t>金建霞</w:t>
            </w:r>
          </w:p>
        </w:tc>
      </w:tr>
      <w:tr w:rsidR="000670E9" w14:paraId="45BC718C" w14:textId="77777777">
        <w:tc>
          <w:tcPr>
            <w:tcW w:w="1908" w:type="dxa"/>
            <w:tcBorders>
              <w:top w:val="single" w:sz="4" w:space="0" w:color="auto"/>
              <w:left w:val="single" w:sz="4" w:space="0" w:color="auto"/>
              <w:bottom w:val="single" w:sz="4" w:space="0" w:color="auto"/>
              <w:right w:val="single" w:sz="4" w:space="0" w:color="auto"/>
            </w:tcBorders>
            <w:vAlign w:val="center"/>
          </w:tcPr>
          <w:p w14:paraId="37B3A6CA" w14:textId="77777777" w:rsidR="000670E9" w:rsidRDefault="00000000">
            <w:pPr>
              <w:spacing w:line="420" w:lineRule="exact"/>
              <w:rPr>
                <w:bCs/>
                <w:iCs/>
                <w:color w:val="000000"/>
                <w:kern w:val="0"/>
                <w:sz w:val="24"/>
              </w:rPr>
            </w:pPr>
            <w:r>
              <w:rPr>
                <w:rFonts w:hAnsi="宋体"/>
                <w:bCs/>
                <w:iCs/>
                <w:color w:val="000000"/>
                <w:kern w:val="0"/>
                <w:sz w:val="24"/>
              </w:rPr>
              <w:t>投资者关系活动主要内容介绍</w:t>
            </w:r>
          </w:p>
          <w:p w14:paraId="021262E3" w14:textId="77777777" w:rsidR="000670E9" w:rsidRDefault="000670E9">
            <w:pPr>
              <w:spacing w:line="420" w:lineRule="exact"/>
              <w:rPr>
                <w:bCs/>
                <w:iCs/>
                <w:color w:val="000000"/>
                <w:sz w:val="24"/>
              </w:rPr>
            </w:pPr>
          </w:p>
        </w:tc>
        <w:tc>
          <w:tcPr>
            <w:tcW w:w="6847" w:type="dxa"/>
            <w:tcBorders>
              <w:top w:val="single" w:sz="4" w:space="0" w:color="auto"/>
              <w:left w:val="single" w:sz="4" w:space="0" w:color="auto"/>
              <w:bottom w:val="single" w:sz="4" w:space="0" w:color="auto"/>
              <w:right w:val="single" w:sz="4" w:space="0" w:color="auto"/>
            </w:tcBorders>
          </w:tcPr>
          <w:p w14:paraId="39814EB8" w14:textId="54B47E56" w:rsidR="000670E9" w:rsidRPr="002D4652" w:rsidRDefault="00000000" w:rsidP="00552CF4">
            <w:pPr>
              <w:adjustRightInd w:val="0"/>
              <w:snapToGrid w:val="0"/>
              <w:spacing w:after="240" w:line="360" w:lineRule="auto"/>
              <w:rPr>
                <w:rFonts w:ascii="宋体" w:hAnsi="宋体" w:hint="eastAsia"/>
                <w:b/>
                <w:sz w:val="24"/>
              </w:rPr>
            </w:pPr>
            <w:r>
              <w:rPr>
                <w:rFonts w:ascii="宋体" w:hAnsi="宋体"/>
                <w:b/>
                <w:sz w:val="24"/>
              </w:rPr>
              <w:t>提出的问题及公司回复情况</w:t>
            </w:r>
            <w:r w:rsidR="002D4652">
              <w:rPr>
                <w:rFonts w:ascii="宋体" w:hAnsi="宋体" w:hint="eastAsia"/>
                <w:b/>
                <w:sz w:val="24"/>
              </w:rPr>
              <w:t>：</w:t>
            </w:r>
          </w:p>
          <w:p w14:paraId="30B5C0BC" w14:textId="2D6DA770" w:rsidR="000670E9" w:rsidRDefault="00000000" w:rsidP="00A557BC">
            <w:pPr>
              <w:pStyle w:val="Style6"/>
              <w:adjustRightInd w:val="0"/>
              <w:snapToGrid w:val="0"/>
              <w:spacing w:line="360" w:lineRule="auto"/>
              <w:ind w:firstLine="482"/>
              <w:rPr>
                <w:rFonts w:ascii="宋体" w:hAnsi="宋体" w:hint="eastAsia"/>
                <w:b/>
                <w:sz w:val="24"/>
                <w:szCs w:val="24"/>
              </w:rPr>
            </w:pPr>
            <w:r>
              <w:rPr>
                <w:rFonts w:ascii="宋体" w:hAnsi="宋体"/>
                <w:b/>
                <w:sz w:val="24"/>
                <w:szCs w:val="24"/>
              </w:rPr>
              <w:t>1、</w:t>
            </w:r>
            <w:bookmarkStart w:id="1" w:name="OLE_LINK2"/>
            <w:r w:rsidR="002D4652" w:rsidRPr="002D4652">
              <w:rPr>
                <w:rFonts w:ascii="宋体" w:hAnsi="宋体"/>
                <w:b/>
                <w:sz w:val="24"/>
                <w:szCs w:val="24"/>
              </w:rPr>
              <w:t>2026年上半年，公司实现营业收入13.89亿元，同比增长0.28%</w:t>
            </w:r>
            <w:r w:rsidR="001814B3">
              <w:rPr>
                <w:rFonts w:ascii="宋体" w:hAnsi="宋体" w:hint="eastAsia"/>
                <w:b/>
                <w:sz w:val="24"/>
                <w:szCs w:val="24"/>
              </w:rPr>
              <w:t>：</w:t>
            </w:r>
            <w:r w:rsidR="002D4652" w:rsidRPr="002D4652">
              <w:rPr>
                <w:rFonts w:ascii="宋体" w:hAnsi="宋体"/>
                <w:b/>
                <w:sz w:val="24"/>
                <w:szCs w:val="24"/>
              </w:rPr>
              <w:t>归母净利润5.37亿元，同比增长79.09%</w:t>
            </w:r>
            <w:r w:rsidR="001814B3">
              <w:rPr>
                <w:rFonts w:ascii="宋体" w:hAnsi="宋体" w:hint="eastAsia"/>
                <w:b/>
                <w:sz w:val="24"/>
                <w:szCs w:val="24"/>
              </w:rPr>
              <w:t>；</w:t>
            </w:r>
            <w:r w:rsidR="002D4652" w:rsidRPr="002D4652">
              <w:rPr>
                <w:rFonts w:ascii="宋体" w:hAnsi="宋体"/>
                <w:b/>
                <w:sz w:val="24"/>
                <w:szCs w:val="24"/>
              </w:rPr>
              <w:t>参股公司国投新疆罗布泊钾盐有限责任公司净利润同比大幅上涨。上半年投资净收益高达4.89亿元，占营业利润近九成，如何看待国投罗钾未来的盈利增长空间?</w:t>
            </w:r>
            <w:bookmarkEnd w:id="1"/>
          </w:p>
          <w:p w14:paraId="47AFC89C" w14:textId="30B2B79B" w:rsidR="000670E9" w:rsidRDefault="00C0664F" w:rsidP="00A557BC">
            <w:pPr>
              <w:pStyle w:val="Style6"/>
              <w:adjustRightInd w:val="0"/>
              <w:snapToGrid w:val="0"/>
              <w:spacing w:line="360" w:lineRule="auto"/>
              <w:ind w:firstLine="480"/>
              <w:rPr>
                <w:rFonts w:ascii="宋体" w:hAnsi="宋体" w:hint="eastAsia"/>
                <w:sz w:val="24"/>
                <w:szCs w:val="24"/>
              </w:rPr>
            </w:pPr>
            <w:bookmarkStart w:id="2" w:name="OLE_LINK6"/>
            <w:r>
              <w:rPr>
                <w:rFonts w:ascii="宋体" w:hAnsi="宋体" w:hint="eastAsia"/>
                <w:sz w:val="24"/>
                <w:szCs w:val="24"/>
              </w:rPr>
              <w:t>回复：</w:t>
            </w:r>
            <w:bookmarkEnd w:id="2"/>
            <w:r w:rsidR="00FC1396" w:rsidRPr="00FC1396">
              <w:rPr>
                <w:rFonts w:ascii="宋体" w:hAnsi="宋体"/>
                <w:sz w:val="24"/>
                <w:szCs w:val="24"/>
              </w:rPr>
              <w:t>公司严格遵照相关法律法规及规范性文件要求履行信息披露义务，关于参股公司国投新疆罗布泊钾盐有限责任公司相关情况请您关注公司披露的定期报告和临时公告，感谢您的关注与支持！</w:t>
            </w:r>
          </w:p>
          <w:p w14:paraId="6F16C8F9" w14:textId="215FD338" w:rsidR="000670E9" w:rsidRDefault="00973481" w:rsidP="00A557BC">
            <w:pPr>
              <w:pStyle w:val="Style6"/>
              <w:adjustRightInd w:val="0"/>
              <w:snapToGrid w:val="0"/>
              <w:spacing w:line="360" w:lineRule="auto"/>
              <w:ind w:firstLine="482"/>
              <w:rPr>
                <w:rFonts w:ascii="宋体" w:hAnsi="宋体" w:hint="eastAsia"/>
                <w:b/>
                <w:sz w:val="24"/>
                <w:szCs w:val="24"/>
              </w:rPr>
            </w:pPr>
            <w:r>
              <w:rPr>
                <w:rFonts w:ascii="宋体" w:hAnsi="宋体" w:hint="eastAsia"/>
                <w:b/>
                <w:sz w:val="24"/>
                <w:szCs w:val="24"/>
              </w:rPr>
              <w:t>2</w:t>
            </w:r>
            <w:r>
              <w:rPr>
                <w:rFonts w:ascii="宋体" w:hAnsi="宋体"/>
                <w:b/>
                <w:sz w:val="24"/>
                <w:szCs w:val="24"/>
              </w:rPr>
              <w:t>、</w:t>
            </w:r>
            <w:r w:rsidR="002D4652" w:rsidRPr="002D4652">
              <w:rPr>
                <w:rFonts w:ascii="宋体" w:hAnsi="宋体"/>
                <w:b/>
                <w:sz w:val="24"/>
                <w:szCs w:val="24"/>
              </w:rPr>
              <w:t>农产品加工主业上半年虽整体仍处周期底部，但结构性改善已现</w:t>
            </w:r>
            <w:r w:rsidR="002D4652">
              <w:rPr>
                <w:rFonts w:ascii="宋体" w:hAnsi="宋体" w:hint="eastAsia"/>
                <w:b/>
                <w:sz w:val="24"/>
                <w:szCs w:val="24"/>
              </w:rPr>
              <w:t>：</w:t>
            </w:r>
            <w:r w:rsidR="002D4652" w:rsidRPr="002D4652">
              <w:rPr>
                <w:rFonts w:ascii="宋体" w:hAnsi="宋体"/>
                <w:b/>
                <w:sz w:val="24"/>
                <w:szCs w:val="24"/>
              </w:rPr>
              <w:t>棉花均价同比上行14.81%</w:t>
            </w:r>
            <w:r w:rsidR="002D4652">
              <w:rPr>
                <w:rFonts w:ascii="宋体" w:hAnsi="宋体" w:hint="eastAsia"/>
                <w:b/>
                <w:sz w:val="24"/>
                <w:szCs w:val="24"/>
              </w:rPr>
              <w:t>，</w:t>
            </w:r>
            <w:r w:rsidR="002D4652" w:rsidRPr="002D4652">
              <w:rPr>
                <w:rFonts w:ascii="宋体" w:hAnsi="宋体"/>
                <w:b/>
                <w:sz w:val="24"/>
                <w:szCs w:val="24"/>
              </w:rPr>
              <w:t>番茄内需消费占比首破45%，各板块边际改善的主要驱动力分别是什么</w:t>
            </w:r>
            <w:r>
              <w:rPr>
                <w:rFonts w:ascii="宋体" w:hAnsi="宋体"/>
                <w:b/>
                <w:sz w:val="24"/>
                <w:szCs w:val="24"/>
              </w:rPr>
              <w:t>？</w:t>
            </w:r>
          </w:p>
          <w:p w14:paraId="5828E973" w14:textId="5C2AAD9C" w:rsidR="000670E9" w:rsidRDefault="00C0664F" w:rsidP="00A557BC">
            <w:pPr>
              <w:pStyle w:val="Style6"/>
              <w:adjustRightInd w:val="0"/>
              <w:snapToGrid w:val="0"/>
              <w:spacing w:line="360" w:lineRule="auto"/>
              <w:ind w:firstLine="480"/>
              <w:rPr>
                <w:rFonts w:ascii="宋体" w:hAnsi="宋体" w:hint="eastAsia"/>
                <w:sz w:val="24"/>
                <w:szCs w:val="24"/>
              </w:rPr>
            </w:pPr>
            <w:r>
              <w:rPr>
                <w:rFonts w:ascii="宋体" w:hAnsi="宋体" w:hint="eastAsia"/>
                <w:sz w:val="24"/>
                <w:szCs w:val="24"/>
              </w:rPr>
              <w:t>回复：</w:t>
            </w:r>
            <w:r w:rsidR="00FC1396" w:rsidRPr="00FC1396">
              <w:rPr>
                <w:rFonts w:ascii="宋体" w:hAnsi="宋体"/>
                <w:sz w:val="24"/>
                <w:szCs w:val="24"/>
              </w:rPr>
              <w:t>棉花行业受益于供给收缩（国内棉花种植呈结构性调减态势，USDA下调美棉产量）、需求修复（国内终端服装消费</w:t>
            </w:r>
            <w:r w:rsidR="00FC1396" w:rsidRPr="00FC1396">
              <w:rPr>
                <w:rFonts w:ascii="宋体" w:hAnsi="宋体"/>
                <w:sz w:val="24"/>
                <w:szCs w:val="24"/>
              </w:rPr>
              <w:lastRenderedPageBreak/>
              <w:t>复苏、新疆棉纺产能就地转化效率提升，高端棉制品外需稳健）及18600元/吨棉花目标价格及510万吨补贴产量政策托底，使得行业景气度稳步修复。番茄行业则以内需为核心引擎，国内番茄制品消费量同比增长12.7%，内需占比首破45%，餐饮、预制食品等赛道扩容，有效对冲了外销市场的疲软压力，为行业平稳运行提供了坚实支撑。整体看番茄行业仍处周期底部，但结构性改善趋势明确。感谢您的关注和支持！</w:t>
            </w:r>
          </w:p>
          <w:p w14:paraId="3490B752" w14:textId="4293652A" w:rsidR="000670E9" w:rsidRDefault="00973481" w:rsidP="00A557BC">
            <w:pPr>
              <w:pStyle w:val="Style6"/>
              <w:adjustRightInd w:val="0"/>
              <w:snapToGrid w:val="0"/>
              <w:spacing w:line="360" w:lineRule="auto"/>
              <w:ind w:firstLine="482"/>
              <w:rPr>
                <w:rFonts w:ascii="宋体" w:hAnsi="宋体" w:hint="eastAsia"/>
                <w:b/>
                <w:sz w:val="24"/>
                <w:szCs w:val="24"/>
              </w:rPr>
            </w:pPr>
            <w:r>
              <w:rPr>
                <w:rFonts w:ascii="宋体" w:hAnsi="宋体" w:hint="eastAsia"/>
                <w:b/>
                <w:sz w:val="24"/>
                <w:szCs w:val="24"/>
              </w:rPr>
              <w:t>3</w:t>
            </w:r>
            <w:r>
              <w:rPr>
                <w:rFonts w:ascii="宋体" w:hAnsi="宋体"/>
                <w:b/>
                <w:sz w:val="24"/>
                <w:szCs w:val="24"/>
              </w:rPr>
              <w:t>、</w:t>
            </w:r>
            <w:r w:rsidR="002D4652" w:rsidRPr="002D4652">
              <w:rPr>
                <w:rFonts w:ascii="宋体" w:hAnsi="宋体"/>
                <w:b/>
                <w:sz w:val="24"/>
                <w:szCs w:val="24"/>
              </w:rPr>
              <w:t>冠农股份拥有110万吨棉花总仓储能力，位居行业第一梯队。在新疆棉花价格政策托底的背景下，贵公司棉花业务的竞争优势如何进一步发挥?</w:t>
            </w:r>
          </w:p>
          <w:p w14:paraId="2ED596C3" w14:textId="4A59D7AD" w:rsidR="000670E9" w:rsidRDefault="00C0664F" w:rsidP="00A557BC">
            <w:pPr>
              <w:pStyle w:val="Style6"/>
              <w:adjustRightInd w:val="0"/>
              <w:snapToGrid w:val="0"/>
              <w:spacing w:line="360" w:lineRule="auto"/>
              <w:ind w:firstLine="480"/>
              <w:rPr>
                <w:rFonts w:ascii="宋体" w:hAnsi="宋体" w:hint="eastAsia"/>
                <w:sz w:val="24"/>
                <w:szCs w:val="24"/>
              </w:rPr>
            </w:pPr>
            <w:r>
              <w:rPr>
                <w:rFonts w:ascii="宋体" w:hAnsi="宋体" w:hint="eastAsia"/>
                <w:sz w:val="24"/>
                <w:szCs w:val="24"/>
              </w:rPr>
              <w:t>回复：</w:t>
            </w:r>
            <w:r w:rsidR="00FC1396" w:rsidRPr="00FC1396">
              <w:rPr>
                <w:rFonts w:ascii="宋体" w:hAnsi="宋体"/>
                <w:sz w:val="24"/>
                <w:szCs w:val="24"/>
              </w:rPr>
              <w:t>公司棉花产业已形成“收购—加工—仓储—棉籽精深加工”产业链闭环，其中110万吨仓储规模位居行业第一梯队，仓储量长期位居南疆前列。在18600元/吨棉花目标价格及510万吨补贴产量政策托底背景下，公司将坚持“新疆好棉花”定位，充分发挥期货交割库稀缺资源与成熟套期保值体系，实现现货期货联动、提升竞争优势，稳定经营收益；强化全产业链协同，依托13万吨皮棉加工、60万吨棉籽精深加工持续降本增效；深耕品质与品牌，持续提升棉花业务综合服务能力，推动由“规模驱动”向“价值驱动”升级，不断增强核心竞争力和抗风险能力。感谢您的关注和支持！</w:t>
            </w:r>
          </w:p>
          <w:p w14:paraId="530585BD" w14:textId="0DA1B4EB" w:rsidR="000670E9" w:rsidRDefault="00973481" w:rsidP="00A557BC">
            <w:pPr>
              <w:pStyle w:val="Style6"/>
              <w:adjustRightInd w:val="0"/>
              <w:snapToGrid w:val="0"/>
              <w:spacing w:line="360" w:lineRule="auto"/>
              <w:ind w:firstLine="482"/>
              <w:rPr>
                <w:rFonts w:ascii="宋体" w:hAnsi="宋体" w:hint="eastAsia"/>
                <w:b/>
                <w:sz w:val="24"/>
                <w:szCs w:val="24"/>
              </w:rPr>
            </w:pPr>
            <w:r>
              <w:rPr>
                <w:rFonts w:ascii="宋体" w:hAnsi="宋体" w:hint="eastAsia"/>
                <w:b/>
                <w:sz w:val="24"/>
                <w:szCs w:val="24"/>
              </w:rPr>
              <w:t>4</w:t>
            </w:r>
            <w:r>
              <w:rPr>
                <w:rFonts w:ascii="宋体" w:hAnsi="宋体"/>
                <w:b/>
                <w:sz w:val="24"/>
                <w:szCs w:val="24"/>
              </w:rPr>
              <w:t>、</w:t>
            </w:r>
            <w:r w:rsidR="002D4652" w:rsidRPr="002D4652">
              <w:rPr>
                <w:rFonts w:ascii="宋体" w:hAnsi="宋体"/>
                <w:b/>
                <w:sz w:val="24"/>
                <w:szCs w:val="24"/>
              </w:rPr>
              <w:t>冠农股份发布了2026年度“提质增效重回报”行动方案，作为兵团旗下上市公司，贵公司在国企改革方面有哪些具体的阶段性目标和举措</w:t>
            </w:r>
            <w:r w:rsidR="002D4652">
              <w:rPr>
                <w:rFonts w:ascii="宋体" w:hAnsi="宋体" w:hint="eastAsia"/>
                <w:b/>
                <w:sz w:val="24"/>
                <w:szCs w:val="24"/>
              </w:rPr>
              <w:t>？</w:t>
            </w:r>
          </w:p>
          <w:p w14:paraId="15E887C4" w14:textId="55FFF8F4" w:rsidR="000670E9" w:rsidRDefault="00C0664F" w:rsidP="00A557BC">
            <w:pPr>
              <w:pStyle w:val="Style6"/>
              <w:adjustRightInd w:val="0"/>
              <w:snapToGrid w:val="0"/>
              <w:spacing w:line="360" w:lineRule="auto"/>
              <w:ind w:firstLine="480"/>
              <w:rPr>
                <w:rFonts w:ascii="宋体" w:hAnsi="宋体" w:hint="eastAsia"/>
                <w:sz w:val="24"/>
                <w:szCs w:val="24"/>
              </w:rPr>
            </w:pPr>
            <w:r>
              <w:rPr>
                <w:rFonts w:ascii="宋体" w:hAnsi="宋体" w:hint="eastAsia"/>
                <w:sz w:val="24"/>
                <w:szCs w:val="24"/>
              </w:rPr>
              <w:t>回复：</w:t>
            </w:r>
            <w:r w:rsidR="00FC1396" w:rsidRPr="00FC1396">
              <w:rPr>
                <w:rFonts w:ascii="宋体" w:hAnsi="宋体"/>
                <w:sz w:val="24"/>
                <w:szCs w:val="24"/>
              </w:rPr>
              <w:t>作为新疆生产建设兵团旗下的国有控股上市公司，公司始终将深化国企改革作为推动高质量发展的重要抓手，深入贯彻党中央、国务院关于深化国资国企改革的决策部署，紧密对接《关于进一步深化国资国企改革的方案》（2026—2029）的总体要求，围绕国有经济布局优化和结构调整、科技创新和产业创新深度融合、完善中国特色现代企业制度、精准分类考核评价、完</w:t>
            </w:r>
            <w:r w:rsidR="00FC1396" w:rsidRPr="00FC1396">
              <w:rPr>
                <w:rFonts w:ascii="宋体" w:hAnsi="宋体"/>
                <w:sz w:val="24"/>
                <w:szCs w:val="24"/>
              </w:rPr>
              <w:lastRenderedPageBreak/>
              <w:t>善国资监管体制机制、加强国有企业党的建设等重点改革任务，立足主责主业，在服务国家战略和兵团高质量发展大局中找准定位、扛牢责任，持续增强竞争力、创新力、控制力、影响力、抗风险能力。公司已将2026年的具体举措写入2026年度“提质增效重回报”行动方案中，欢迎您查阅。感谢您的关注和支持！</w:t>
            </w:r>
          </w:p>
          <w:p w14:paraId="14AD3775" w14:textId="10305548" w:rsidR="000670E9" w:rsidRDefault="00973481" w:rsidP="00A557BC">
            <w:pPr>
              <w:pStyle w:val="Style6"/>
              <w:adjustRightInd w:val="0"/>
              <w:snapToGrid w:val="0"/>
              <w:spacing w:line="360" w:lineRule="auto"/>
              <w:ind w:firstLine="482"/>
              <w:rPr>
                <w:rFonts w:ascii="宋体" w:hAnsi="宋体" w:hint="eastAsia"/>
                <w:b/>
                <w:sz w:val="24"/>
                <w:szCs w:val="24"/>
              </w:rPr>
            </w:pPr>
            <w:r>
              <w:rPr>
                <w:rFonts w:ascii="宋体" w:hAnsi="宋体" w:hint="eastAsia"/>
                <w:b/>
                <w:sz w:val="24"/>
                <w:szCs w:val="24"/>
              </w:rPr>
              <w:t>5</w:t>
            </w:r>
            <w:r>
              <w:rPr>
                <w:rFonts w:ascii="宋体" w:hAnsi="宋体"/>
                <w:b/>
                <w:sz w:val="24"/>
                <w:szCs w:val="24"/>
              </w:rPr>
              <w:t>、</w:t>
            </w:r>
            <w:r w:rsidR="002D4652" w:rsidRPr="002D4652">
              <w:rPr>
                <w:rFonts w:ascii="宋体" w:hAnsi="宋体"/>
                <w:b/>
                <w:sz w:val="24"/>
                <w:szCs w:val="24"/>
              </w:rPr>
              <w:t>除投资收益后，农产品加工主业几乎不赚钱。责公司是否正在从“农产品加工企业”变成</w:t>
            </w:r>
            <w:r w:rsidR="002D4652">
              <w:rPr>
                <w:rFonts w:ascii="宋体" w:hAnsi="宋体" w:hint="eastAsia"/>
                <w:b/>
                <w:sz w:val="24"/>
                <w:szCs w:val="24"/>
              </w:rPr>
              <w:t>“</w:t>
            </w:r>
            <w:r w:rsidR="002D4652" w:rsidRPr="002D4652">
              <w:rPr>
                <w:rFonts w:ascii="宋体" w:hAnsi="宋体"/>
                <w:b/>
                <w:sz w:val="24"/>
                <w:szCs w:val="24"/>
              </w:rPr>
              <w:t>投资控股平台</w:t>
            </w:r>
            <w:r w:rsidR="002D4652">
              <w:rPr>
                <w:rFonts w:ascii="宋体" w:hAnsi="宋体" w:hint="eastAsia"/>
                <w:b/>
                <w:sz w:val="24"/>
                <w:szCs w:val="24"/>
              </w:rPr>
              <w:t>”？</w:t>
            </w:r>
            <w:r w:rsidR="002D4652" w:rsidRPr="002D4652">
              <w:rPr>
                <w:rFonts w:ascii="宋体" w:hAnsi="宋体"/>
                <w:b/>
                <w:sz w:val="24"/>
                <w:szCs w:val="24"/>
              </w:rPr>
              <w:t>主业的战略定位是什么</w:t>
            </w:r>
            <w:r>
              <w:rPr>
                <w:rFonts w:ascii="宋体" w:hAnsi="宋体"/>
                <w:b/>
                <w:sz w:val="24"/>
                <w:szCs w:val="24"/>
              </w:rPr>
              <w:t>？</w:t>
            </w:r>
          </w:p>
          <w:p w14:paraId="5A74A3AD" w14:textId="6F0A0DE9" w:rsidR="00FC1396" w:rsidRPr="00FC1396" w:rsidRDefault="00C0664F" w:rsidP="00FC1396">
            <w:pPr>
              <w:pStyle w:val="Style6"/>
              <w:adjustRightInd w:val="0"/>
              <w:snapToGrid w:val="0"/>
              <w:spacing w:line="360" w:lineRule="auto"/>
              <w:ind w:firstLine="480"/>
              <w:rPr>
                <w:rFonts w:ascii="宋体" w:hAnsi="宋体" w:hint="eastAsia"/>
                <w:sz w:val="24"/>
                <w:szCs w:val="24"/>
              </w:rPr>
            </w:pPr>
            <w:r w:rsidRPr="00C0664F">
              <w:rPr>
                <w:rFonts w:ascii="宋体" w:hAnsi="宋体"/>
                <w:sz w:val="24"/>
                <w:szCs w:val="24"/>
              </w:rPr>
              <w:t>回复：</w:t>
            </w:r>
            <w:r w:rsidR="00FC1396" w:rsidRPr="00FC1396">
              <w:rPr>
                <w:rFonts w:ascii="宋体" w:hAnsi="宋体" w:hint="eastAsia"/>
                <w:sz w:val="24"/>
                <w:szCs w:val="24"/>
              </w:rPr>
              <w:t>公司始终聚焦“新疆特色农产品精深加工与价值提升”主责主业，并未向投资控股平台转型。2023年公司剔除来自于联营企业和合营企业投资收益后的利润总额（以下简称剔除后利润总额）为5亿元，创历史新高；受地缘政治风险、宏观经济压力及行业周期和市场需求变化影响，2024年、2025年剔除后利润总额由盈转亏，但呈现亏损逐步收窄态势；在管理层持续减亏努力下，2026年上半年，剔除后利润总额为0.54亿元，实现扭亏为盈，主业经营呈“亏损收窄—扭亏为盈”的持续改善态势。</w:t>
            </w:r>
          </w:p>
          <w:p w14:paraId="54354165" w14:textId="47B819C9" w:rsidR="000670E9" w:rsidRDefault="00FC1396" w:rsidP="00FC1396">
            <w:pPr>
              <w:pStyle w:val="Style6"/>
              <w:adjustRightInd w:val="0"/>
              <w:snapToGrid w:val="0"/>
              <w:spacing w:line="360" w:lineRule="auto"/>
              <w:ind w:firstLine="480"/>
              <w:rPr>
                <w:rFonts w:ascii="宋体" w:hAnsi="宋体" w:hint="eastAsia"/>
                <w:sz w:val="24"/>
                <w:szCs w:val="24"/>
              </w:rPr>
            </w:pPr>
            <w:r w:rsidRPr="00FC1396">
              <w:rPr>
                <w:rFonts w:ascii="宋体" w:hAnsi="宋体" w:hint="eastAsia"/>
                <w:sz w:val="24"/>
                <w:szCs w:val="24"/>
              </w:rPr>
              <w:t>投资收益主要来源于公司参股的联营、合营企业，是公司产业布局的组成部分，但并非经营重心。公司战略始终以“优质健康食品供给”为核心导向，以培育发展农业新质生产力为关键支撑，不断完善产业链、提升价值链、畅通供应链，着力构建“全产业链协同+双主线（健康食品、循环经济）引领+研究院创新赋能”的现代化产业体系，聚焦主业做精做强，持续提升主业盈利能力和可持续发展能力。感谢您的关注和支持！</w:t>
            </w:r>
          </w:p>
          <w:p w14:paraId="1A1A9AE2" w14:textId="458AA4DC" w:rsidR="000670E9" w:rsidRDefault="00973481" w:rsidP="00A557BC">
            <w:pPr>
              <w:pStyle w:val="Style6"/>
              <w:adjustRightInd w:val="0"/>
              <w:snapToGrid w:val="0"/>
              <w:spacing w:line="360" w:lineRule="auto"/>
              <w:ind w:firstLine="482"/>
              <w:rPr>
                <w:rFonts w:ascii="宋体" w:hAnsi="宋体" w:hint="eastAsia"/>
                <w:b/>
                <w:sz w:val="24"/>
                <w:szCs w:val="24"/>
              </w:rPr>
            </w:pPr>
            <w:r>
              <w:rPr>
                <w:rFonts w:ascii="宋体" w:hAnsi="宋体" w:hint="eastAsia"/>
                <w:b/>
                <w:sz w:val="24"/>
                <w:szCs w:val="24"/>
              </w:rPr>
              <w:t>6</w:t>
            </w:r>
            <w:r>
              <w:rPr>
                <w:rFonts w:ascii="宋体" w:hAnsi="宋体"/>
                <w:b/>
                <w:sz w:val="24"/>
                <w:szCs w:val="24"/>
              </w:rPr>
              <w:t>、</w:t>
            </w:r>
            <w:r w:rsidR="002D4652" w:rsidRPr="002D4652">
              <w:rPr>
                <w:rFonts w:ascii="宋体" w:hAnsi="宋体"/>
                <w:b/>
                <w:sz w:val="24"/>
                <w:szCs w:val="24"/>
              </w:rPr>
              <w:t>经营现金流从上年同期的8.36亿元降至5.12亿元，降幅达38.77%，在营收基本持平的背景下，经营现金流为何大幅下峰?是应收账款增加、存货积压，还是其他原因</w:t>
            </w:r>
            <w:r>
              <w:rPr>
                <w:rFonts w:ascii="宋体" w:hAnsi="宋体"/>
                <w:b/>
                <w:sz w:val="24"/>
                <w:szCs w:val="24"/>
              </w:rPr>
              <w:t>？</w:t>
            </w:r>
          </w:p>
          <w:p w14:paraId="40C0F67A" w14:textId="7ABDE559" w:rsidR="000670E9" w:rsidRPr="00A557BC" w:rsidRDefault="00C0664F" w:rsidP="002D4652">
            <w:pPr>
              <w:pStyle w:val="Style6"/>
              <w:adjustRightInd w:val="0"/>
              <w:snapToGrid w:val="0"/>
              <w:spacing w:line="360" w:lineRule="auto"/>
              <w:ind w:firstLine="480"/>
              <w:rPr>
                <w:rFonts w:ascii="宋体" w:hAnsi="宋体" w:hint="eastAsia"/>
                <w:sz w:val="24"/>
                <w:szCs w:val="24"/>
              </w:rPr>
            </w:pPr>
            <w:r w:rsidRPr="00C0664F">
              <w:rPr>
                <w:rFonts w:ascii="宋体" w:hAnsi="宋体"/>
                <w:sz w:val="24"/>
                <w:szCs w:val="24"/>
              </w:rPr>
              <w:t>回复：</w:t>
            </w:r>
            <w:r w:rsidR="00FC1396" w:rsidRPr="00FC1396">
              <w:rPr>
                <w:rFonts w:ascii="宋体" w:hAnsi="宋体"/>
                <w:sz w:val="24"/>
                <w:szCs w:val="24"/>
              </w:rPr>
              <w:t>公司2026年半年度经营活动产生的现金流量净额为5.12亿元，较上年同期8.36亿元减少3.24亿元。主要原因为：上半年销售商品、提供劳务收到的现金与上年同期基本持平，回</w:t>
            </w:r>
            <w:r w:rsidR="00FC1396" w:rsidRPr="00FC1396">
              <w:rPr>
                <w:rFonts w:ascii="宋体" w:hAnsi="宋体"/>
                <w:sz w:val="24"/>
                <w:szCs w:val="24"/>
              </w:rPr>
              <w:lastRenderedPageBreak/>
              <w:t>款正常；但为保障生产，公司采购油脂原料较上年同期大幅增加，致经营活动现金流出增加约3.13亿元，这是经营活动产生的现金流量净额减少的主要原因，并非应收账款增加或存货积压所致。公司将持续加强现金流管理，合理安排采购节奏。感谢您的关注与支持！</w:t>
            </w:r>
          </w:p>
        </w:tc>
      </w:tr>
      <w:tr w:rsidR="000670E9" w14:paraId="23DB8999" w14:textId="77777777">
        <w:tc>
          <w:tcPr>
            <w:tcW w:w="1908" w:type="dxa"/>
            <w:tcBorders>
              <w:top w:val="single" w:sz="4" w:space="0" w:color="auto"/>
              <w:left w:val="single" w:sz="4" w:space="0" w:color="auto"/>
              <w:bottom w:val="single" w:sz="4" w:space="0" w:color="auto"/>
              <w:right w:val="single" w:sz="4" w:space="0" w:color="auto"/>
            </w:tcBorders>
            <w:vAlign w:val="center"/>
          </w:tcPr>
          <w:p w14:paraId="4BE56237" w14:textId="77777777" w:rsidR="000670E9" w:rsidRDefault="00000000">
            <w:pPr>
              <w:spacing w:line="420" w:lineRule="exact"/>
              <w:rPr>
                <w:bCs/>
                <w:iCs/>
                <w:color w:val="000000"/>
                <w:kern w:val="0"/>
                <w:sz w:val="24"/>
              </w:rPr>
            </w:pPr>
            <w:r>
              <w:rPr>
                <w:rFonts w:hAnsi="宋体"/>
                <w:bCs/>
                <w:iCs/>
                <w:color w:val="000000"/>
                <w:kern w:val="0"/>
                <w:sz w:val="24"/>
              </w:rPr>
              <w:lastRenderedPageBreak/>
              <w:t>日期</w:t>
            </w:r>
          </w:p>
        </w:tc>
        <w:tc>
          <w:tcPr>
            <w:tcW w:w="6847" w:type="dxa"/>
            <w:tcBorders>
              <w:top w:val="single" w:sz="4" w:space="0" w:color="auto"/>
              <w:left w:val="single" w:sz="4" w:space="0" w:color="auto"/>
              <w:bottom w:val="single" w:sz="4" w:space="0" w:color="auto"/>
              <w:right w:val="single" w:sz="4" w:space="0" w:color="auto"/>
            </w:tcBorders>
          </w:tcPr>
          <w:p w14:paraId="39F5C035" w14:textId="162E1E0C" w:rsidR="000670E9" w:rsidRDefault="00000000">
            <w:pPr>
              <w:spacing w:line="420" w:lineRule="exact"/>
              <w:rPr>
                <w:bCs/>
                <w:iCs/>
                <w:color w:val="000000"/>
                <w:sz w:val="24"/>
              </w:rPr>
            </w:pPr>
            <w:r>
              <w:rPr>
                <w:bCs/>
                <w:iCs/>
                <w:color w:val="000000"/>
                <w:sz w:val="24"/>
              </w:rPr>
              <w:t>2026-</w:t>
            </w:r>
            <w:r w:rsidR="002D4652">
              <w:rPr>
                <w:rFonts w:hint="eastAsia"/>
                <w:bCs/>
                <w:iCs/>
                <w:color w:val="000000"/>
                <w:sz w:val="24"/>
              </w:rPr>
              <w:t>8</w:t>
            </w:r>
            <w:r>
              <w:rPr>
                <w:bCs/>
                <w:iCs/>
                <w:color w:val="000000"/>
                <w:sz w:val="24"/>
              </w:rPr>
              <w:t>-</w:t>
            </w:r>
            <w:r w:rsidR="002D4652">
              <w:rPr>
                <w:rFonts w:hint="eastAsia"/>
                <w:bCs/>
                <w:iCs/>
                <w:color w:val="000000"/>
                <w:sz w:val="24"/>
              </w:rPr>
              <w:t>31</w:t>
            </w:r>
          </w:p>
        </w:tc>
      </w:tr>
    </w:tbl>
    <w:p w14:paraId="383A6BFA" w14:textId="77777777" w:rsidR="000670E9" w:rsidRDefault="000670E9"/>
    <w:sectPr w:rsidR="000670E9">
      <w:head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4F447" w14:textId="77777777" w:rsidR="006820EC" w:rsidRDefault="006820EC">
      <w:r>
        <w:separator/>
      </w:r>
    </w:p>
  </w:endnote>
  <w:endnote w:type="continuationSeparator" w:id="0">
    <w:p w14:paraId="162253C8" w14:textId="77777777" w:rsidR="006820EC" w:rsidRDefault="00682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3C7AC" w14:textId="77777777" w:rsidR="006820EC" w:rsidRDefault="006820EC">
      <w:r>
        <w:separator/>
      </w:r>
    </w:p>
  </w:footnote>
  <w:footnote w:type="continuationSeparator" w:id="0">
    <w:p w14:paraId="1E0D5A4E" w14:textId="77777777" w:rsidR="006820EC" w:rsidRDefault="00682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7DB79" w14:textId="1A423FB3" w:rsidR="000670E9" w:rsidRDefault="000670E9">
    <w:pPr>
      <w:pStyle w:val="a5"/>
      <w:pBdr>
        <w:bottom w:val="none" w:sz="0" w:space="0" w:color="auto"/>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1C7"/>
    <w:rsid w:val="000268C0"/>
    <w:rsid w:val="000363B5"/>
    <w:rsid w:val="000375D7"/>
    <w:rsid w:val="00043015"/>
    <w:rsid w:val="00046DDE"/>
    <w:rsid w:val="00047EB9"/>
    <w:rsid w:val="00060A74"/>
    <w:rsid w:val="000670E9"/>
    <w:rsid w:val="00067110"/>
    <w:rsid w:val="0009298A"/>
    <w:rsid w:val="000A2808"/>
    <w:rsid w:val="000A3BAC"/>
    <w:rsid w:val="000A4984"/>
    <w:rsid w:val="000C26FD"/>
    <w:rsid w:val="000C2D85"/>
    <w:rsid w:val="000E5700"/>
    <w:rsid w:val="000F0A4D"/>
    <w:rsid w:val="000F0C4B"/>
    <w:rsid w:val="000F0E22"/>
    <w:rsid w:val="00105A04"/>
    <w:rsid w:val="001169A9"/>
    <w:rsid w:val="00125EB2"/>
    <w:rsid w:val="00142A4C"/>
    <w:rsid w:val="00144279"/>
    <w:rsid w:val="001452FF"/>
    <w:rsid w:val="0016617A"/>
    <w:rsid w:val="00167E99"/>
    <w:rsid w:val="001814B3"/>
    <w:rsid w:val="001975AB"/>
    <w:rsid w:val="001A00F5"/>
    <w:rsid w:val="001A1F65"/>
    <w:rsid w:val="001A5CE9"/>
    <w:rsid w:val="001C50AD"/>
    <w:rsid w:val="001D22EE"/>
    <w:rsid w:val="001D4C89"/>
    <w:rsid w:val="001D7F29"/>
    <w:rsid w:val="001E1838"/>
    <w:rsid w:val="001E3145"/>
    <w:rsid w:val="001E6509"/>
    <w:rsid w:val="001E7968"/>
    <w:rsid w:val="0022180A"/>
    <w:rsid w:val="00223ABC"/>
    <w:rsid w:val="002241B9"/>
    <w:rsid w:val="002274D9"/>
    <w:rsid w:val="0023455A"/>
    <w:rsid w:val="00237994"/>
    <w:rsid w:val="00251D58"/>
    <w:rsid w:val="002530EE"/>
    <w:rsid w:val="002549E6"/>
    <w:rsid w:val="00256602"/>
    <w:rsid w:val="00271C8D"/>
    <w:rsid w:val="00273B53"/>
    <w:rsid w:val="0028080C"/>
    <w:rsid w:val="00295257"/>
    <w:rsid w:val="00297703"/>
    <w:rsid w:val="002A0826"/>
    <w:rsid w:val="002A0984"/>
    <w:rsid w:val="002A589B"/>
    <w:rsid w:val="002B1184"/>
    <w:rsid w:val="002B71B8"/>
    <w:rsid w:val="002B7469"/>
    <w:rsid w:val="002C22C6"/>
    <w:rsid w:val="002C6568"/>
    <w:rsid w:val="002C723B"/>
    <w:rsid w:val="002D39BC"/>
    <w:rsid w:val="002D4652"/>
    <w:rsid w:val="002E1B15"/>
    <w:rsid w:val="002E1D3A"/>
    <w:rsid w:val="003005F0"/>
    <w:rsid w:val="003030BF"/>
    <w:rsid w:val="00304F89"/>
    <w:rsid w:val="00306023"/>
    <w:rsid w:val="00327D5D"/>
    <w:rsid w:val="00344914"/>
    <w:rsid w:val="00346917"/>
    <w:rsid w:val="00354A7B"/>
    <w:rsid w:val="00360FDA"/>
    <w:rsid w:val="00363075"/>
    <w:rsid w:val="00367D18"/>
    <w:rsid w:val="00372A1C"/>
    <w:rsid w:val="0037435A"/>
    <w:rsid w:val="00377D8F"/>
    <w:rsid w:val="00383679"/>
    <w:rsid w:val="003A1E68"/>
    <w:rsid w:val="003B0122"/>
    <w:rsid w:val="003B0BE5"/>
    <w:rsid w:val="003D18F1"/>
    <w:rsid w:val="003E001E"/>
    <w:rsid w:val="003F7C4D"/>
    <w:rsid w:val="0040075F"/>
    <w:rsid w:val="00403300"/>
    <w:rsid w:val="004118C0"/>
    <w:rsid w:val="00417A31"/>
    <w:rsid w:val="0042004B"/>
    <w:rsid w:val="00433384"/>
    <w:rsid w:val="0043777D"/>
    <w:rsid w:val="0045767F"/>
    <w:rsid w:val="00463E9B"/>
    <w:rsid w:val="00467414"/>
    <w:rsid w:val="00473F30"/>
    <w:rsid w:val="0048591A"/>
    <w:rsid w:val="00486D86"/>
    <w:rsid w:val="0048721A"/>
    <w:rsid w:val="004A0BD5"/>
    <w:rsid w:val="004A1BBF"/>
    <w:rsid w:val="004A73E5"/>
    <w:rsid w:val="004C1372"/>
    <w:rsid w:val="004C19BF"/>
    <w:rsid w:val="004D7640"/>
    <w:rsid w:val="004E1A9B"/>
    <w:rsid w:val="00500AB6"/>
    <w:rsid w:val="005155FB"/>
    <w:rsid w:val="00523907"/>
    <w:rsid w:val="00537C53"/>
    <w:rsid w:val="005438F5"/>
    <w:rsid w:val="00544901"/>
    <w:rsid w:val="005474D3"/>
    <w:rsid w:val="00550737"/>
    <w:rsid w:val="00552CF4"/>
    <w:rsid w:val="00555DD2"/>
    <w:rsid w:val="00565ED9"/>
    <w:rsid w:val="005760C6"/>
    <w:rsid w:val="00585A1B"/>
    <w:rsid w:val="00591260"/>
    <w:rsid w:val="00591314"/>
    <w:rsid w:val="00593D40"/>
    <w:rsid w:val="00595F1B"/>
    <w:rsid w:val="005A3BE0"/>
    <w:rsid w:val="005B1026"/>
    <w:rsid w:val="005B642F"/>
    <w:rsid w:val="005C04C1"/>
    <w:rsid w:val="005C1785"/>
    <w:rsid w:val="005D2D87"/>
    <w:rsid w:val="005D6A09"/>
    <w:rsid w:val="005E2B4B"/>
    <w:rsid w:val="005E5F63"/>
    <w:rsid w:val="005E6BA1"/>
    <w:rsid w:val="0060779A"/>
    <w:rsid w:val="00622F13"/>
    <w:rsid w:val="00625503"/>
    <w:rsid w:val="0062662D"/>
    <w:rsid w:val="00632E78"/>
    <w:rsid w:val="006344F1"/>
    <w:rsid w:val="00637186"/>
    <w:rsid w:val="00646DF4"/>
    <w:rsid w:val="00651DE6"/>
    <w:rsid w:val="006523BB"/>
    <w:rsid w:val="0065347E"/>
    <w:rsid w:val="00654B49"/>
    <w:rsid w:val="00662505"/>
    <w:rsid w:val="0066674C"/>
    <w:rsid w:val="006760F7"/>
    <w:rsid w:val="006820EC"/>
    <w:rsid w:val="006861C7"/>
    <w:rsid w:val="00686DDF"/>
    <w:rsid w:val="00697B12"/>
    <w:rsid w:val="006A55BB"/>
    <w:rsid w:val="006A7613"/>
    <w:rsid w:val="006B661A"/>
    <w:rsid w:val="006B7D00"/>
    <w:rsid w:val="006C3DEE"/>
    <w:rsid w:val="006C6BC5"/>
    <w:rsid w:val="006D61A2"/>
    <w:rsid w:val="006E1DB4"/>
    <w:rsid w:val="007114E9"/>
    <w:rsid w:val="00722CCB"/>
    <w:rsid w:val="00740A3B"/>
    <w:rsid w:val="00753DB6"/>
    <w:rsid w:val="00756500"/>
    <w:rsid w:val="00763847"/>
    <w:rsid w:val="00771FE3"/>
    <w:rsid w:val="00776BDE"/>
    <w:rsid w:val="00777FC6"/>
    <w:rsid w:val="00786870"/>
    <w:rsid w:val="00792237"/>
    <w:rsid w:val="0079272A"/>
    <w:rsid w:val="007A1DA9"/>
    <w:rsid w:val="007B2252"/>
    <w:rsid w:val="007B79D9"/>
    <w:rsid w:val="007C67B1"/>
    <w:rsid w:val="007E354A"/>
    <w:rsid w:val="007E69C8"/>
    <w:rsid w:val="0080525B"/>
    <w:rsid w:val="008062C5"/>
    <w:rsid w:val="0080741A"/>
    <w:rsid w:val="00814B5B"/>
    <w:rsid w:val="00836F34"/>
    <w:rsid w:val="008370E8"/>
    <w:rsid w:val="00843E73"/>
    <w:rsid w:val="00844EBF"/>
    <w:rsid w:val="00854F61"/>
    <w:rsid w:val="00864202"/>
    <w:rsid w:val="00873B59"/>
    <w:rsid w:val="0087701F"/>
    <w:rsid w:val="0089283D"/>
    <w:rsid w:val="008A0ADC"/>
    <w:rsid w:val="008A1BAB"/>
    <w:rsid w:val="008B38B7"/>
    <w:rsid w:val="008B458E"/>
    <w:rsid w:val="008C4D4A"/>
    <w:rsid w:val="008E11AE"/>
    <w:rsid w:val="008E1708"/>
    <w:rsid w:val="008E4844"/>
    <w:rsid w:val="00904492"/>
    <w:rsid w:val="00904DFB"/>
    <w:rsid w:val="0091457B"/>
    <w:rsid w:val="00923763"/>
    <w:rsid w:val="00930ED6"/>
    <w:rsid w:val="0093293F"/>
    <w:rsid w:val="00933105"/>
    <w:rsid w:val="009474EF"/>
    <w:rsid w:val="00962626"/>
    <w:rsid w:val="00973481"/>
    <w:rsid w:val="009767DD"/>
    <w:rsid w:val="00977AF2"/>
    <w:rsid w:val="00985FC5"/>
    <w:rsid w:val="00993BDD"/>
    <w:rsid w:val="009A6DFB"/>
    <w:rsid w:val="009B6EC0"/>
    <w:rsid w:val="009C7FAF"/>
    <w:rsid w:val="009D4199"/>
    <w:rsid w:val="009E5E6A"/>
    <w:rsid w:val="009F0DD5"/>
    <w:rsid w:val="009F1B95"/>
    <w:rsid w:val="009F6C05"/>
    <w:rsid w:val="00A13CB6"/>
    <w:rsid w:val="00A14A1A"/>
    <w:rsid w:val="00A22CDD"/>
    <w:rsid w:val="00A25AEE"/>
    <w:rsid w:val="00A31EB1"/>
    <w:rsid w:val="00A33AEA"/>
    <w:rsid w:val="00A461CD"/>
    <w:rsid w:val="00A469C5"/>
    <w:rsid w:val="00A5317D"/>
    <w:rsid w:val="00A557BC"/>
    <w:rsid w:val="00A6284E"/>
    <w:rsid w:val="00A63E81"/>
    <w:rsid w:val="00A8775A"/>
    <w:rsid w:val="00AA5998"/>
    <w:rsid w:val="00AB07E7"/>
    <w:rsid w:val="00AD1BA8"/>
    <w:rsid w:val="00B02A29"/>
    <w:rsid w:val="00B03522"/>
    <w:rsid w:val="00B04AD6"/>
    <w:rsid w:val="00B14CAA"/>
    <w:rsid w:val="00B257CE"/>
    <w:rsid w:val="00B4746C"/>
    <w:rsid w:val="00B65354"/>
    <w:rsid w:val="00B71A0E"/>
    <w:rsid w:val="00B81765"/>
    <w:rsid w:val="00B832F5"/>
    <w:rsid w:val="00BA2FAB"/>
    <w:rsid w:val="00BB5E28"/>
    <w:rsid w:val="00BD15F3"/>
    <w:rsid w:val="00BD7986"/>
    <w:rsid w:val="00BD79D3"/>
    <w:rsid w:val="00C04F82"/>
    <w:rsid w:val="00C0664F"/>
    <w:rsid w:val="00C06C74"/>
    <w:rsid w:val="00C15AC0"/>
    <w:rsid w:val="00C26030"/>
    <w:rsid w:val="00C41091"/>
    <w:rsid w:val="00C63056"/>
    <w:rsid w:val="00C661D1"/>
    <w:rsid w:val="00C775BA"/>
    <w:rsid w:val="00C85331"/>
    <w:rsid w:val="00C85A50"/>
    <w:rsid w:val="00C94D46"/>
    <w:rsid w:val="00CA443A"/>
    <w:rsid w:val="00CB2461"/>
    <w:rsid w:val="00CB37FD"/>
    <w:rsid w:val="00CC4D65"/>
    <w:rsid w:val="00CC61E7"/>
    <w:rsid w:val="00CD25AD"/>
    <w:rsid w:val="00CD3FFC"/>
    <w:rsid w:val="00CF565C"/>
    <w:rsid w:val="00D016A3"/>
    <w:rsid w:val="00D512E3"/>
    <w:rsid w:val="00D602C9"/>
    <w:rsid w:val="00D70A3C"/>
    <w:rsid w:val="00DA26A9"/>
    <w:rsid w:val="00DB01FF"/>
    <w:rsid w:val="00DB5064"/>
    <w:rsid w:val="00DC7778"/>
    <w:rsid w:val="00DE7391"/>
    <w:rsid w:val="00DF2DB5"/>
    <w:rsid w:val="00DF6560"/>
    <w:rsid w:val="00E04CC0"/>
    <w:rsid w:val="00E136FF"/>
    <w:rsid w:val="00E32528"/>
    <w:rsid w:val="00E35F26"/>
    <w:rsid w:val="00E53165"/>
    <w:rsid w:val="00E61EF7"/>
    <w:rsid w:val="00E663B4"/>
    <w:rsid w:val="00E775A0"/>
    <w:rsid w:val="00E80CEB"/>
    <w:rsid w:val="00EA5103"/>
    <w:rsid w:val="00EA6FB9"/>
    <w:rsid w:val="00EB5E6A"/>
    <w:rsid w:val="00EC2AD7"/>
    <w:rsid w:val="00ED7DE0"/>
    <w:rsid w:val="00EE7891"/>
    <w:rsid w:val="00EF49FE"/>
    <w:rsid w:val="00EF5341"/>
    <w:rsid w:val="00F04908"/>
    <w:rsid w:val="00F07C21"/>
    <w:rsid w:val="00F12EF6"/>
    <w:rsid w:val="00F21065"/>
    <w:rsid w:val="00F24CB4"/>
    <w:rsid w:val="00F43465"/>
    <w:rsid w:val="00F45475"/>
    <w:rsid w:val="00F64E72"/>
    <w:rsid w:val="00F70C7D"/>
    <w:rsid w:val="00F9272E"/>
    <w:rsid w:val="00F97743"/>
    <w:rsid w:val="00FA6DAF"/>
    <w:rsid w:val="00FC1396"/>
    <w:rsid w:val="00FC6884"/>
    <w:rsid w:val="00FE62F3"/>
    <w:rsid w:val="00FF71D2"/>
    <w:rsid w:val="1B2418A5"/>
    <w:rsid w:val="1FBFC074"/>
    <w:rsid w:val="36FB9E1F"/>
    <w:rsid w:val="3BFA3B96"/>
    <w:rsid w:val="3CEF3472"/>
    <w:rsid w:val="3EFF16E9"/>
    <w:rsid w:val="77CF73AC"/>
    <w:rsid w:val="78FF0116"/>
    <w:rsid w:val="B7DDD54D"/>
    <w:rsid w:val="E3FFE6ED"/>
    <w:rsid w:val="F5DB8A63"/>
    <w:rsid w:val="F797912E"/>
    <w:rsid w:val="FE7B4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5BCDFF"/>
  <w15:docId w15:val="{406A5D51-E149-485C-9931-AC4298E4B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customStyle="1" w:styleId="Style6">
    <w:name w:val="_Style 6"/>
    <w:basedOn w:val="a"/>
    <w:uiPriority w:val="34"/>
    <w:qFormat/>
    <w:pPr>
      <w:ind w:firstLineChars="200" w:firstLine="420"/>
    </w:pPr>
    <w:rPr>
      <w:rFonts w:ascii="Calibri" w:hAnsi="Calibri"/>
      <w:szCs w:val="22"/>
    </w:rPr>
  </w:style>
  <w:style w:type="paragraph" w:customStyle="1" w:styleId="CharCharChar">
    <w:name w:val="Char Char Char"/>
    <w:basedOn w:val="a"/>
    <w:qFormat/>
    <w:rPr>
      <w:szCs w:val="21"/>
    </w:rPr>
  </w:style>
  <w:style w:type="paragraph" w:customStyle="1" w:styleId="CharCharCharCharCharCharCharCharCharCharCharCharCharCharCharChar">
    <w:name w:val="Char Char Char Char Char Char Char Char Char Char Char Char Char Char Char Char"/>
    <w:basedOn w:val="a"/>
    <w:qFormat/>
  </w:style>
  <w:style w:type="paragraph" w:customStyle="1" w:styleId="CharCharChar0">
    <w:name w:val="Char Char Char"/>
    <w:basedOn w:val="a"/>
    <w:qFormat/>
  </w:style>
  <w:style w:type="character" w:customStyle="1" w:styleId="a4">
    <w:name w:val="页脚 字符"/>
    <w:basedOn w:val="a0"/>
    <w:link w:val="a3"/>
    <w:qFormat/>
    <w:rPr>
      <w:kern w:val="2"/>
      <w:sz w:val="18"/>
      <w:szCs w:val="18"/>
    </w:rPr>
  </w:style>
  <w:style w:type="character" w:customStyle="1" w:styleId="a6">
    <w:name w:val="页眉 字符"/>
    <w:basedOn w:val="a0"/>
    <w:link w:val="a5"/>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360</Words>
  <Characters>2058</Characters>
  <Application>Microsoft Office Word</Application>
  <DocSecurity>0</DocSecurity>
  <Lines>17</Lines>
  <Paragraphs>4</Paragraphs>
  <ScaleCrop>false</ScaleCrop>
  <Company>微软中国</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Lenovo</cp:lastModifiedBy>
  <cp:revision>277</cp:revision>
  <cp:lastPrinted>2014-02-21T05:34:00Z</cp:lastPrinted>
  <dcterms:created xsi:type="dcterms:W3CDTF">2012-09-09T08:59:00Z</dcterms:created>
  <dcterms:modified xsi:type="dcterms:W3CDTF">2026-08-31T08:19:00Z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3378DF92D5494EA79182626F58817F75</vt:lpwstr>
  </property>
</Properties>
</file>