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9B3CB3">
      <w:pPr>
        <w:spacing w:before="156" w:beforeLines="50" w:after="156" w:afterLines="50" w:line="400" w:lineRule="exact"/>
        <w:jc w:val="center"/>
        <w:rPr>
          <w:rFonts w:ascii="宋体" w:hAnsi="宋体"/>
          <w:iCs/>
          <w:color w:val="000000"/>
          <w:sz w:val="24"/>
        </w:rPr>
      </w:pPr>
      <w:r>
        <w:rPr>
          <w:rFonts w:hint="eastAsia" w:ascii="宋体" w:hAnsi="宋体"/>
          <w:iCs/>
          <w:color w:val="000000"/>
          <w:sz w:val="24"/>
        </w:rPr>
        <w:t>证券代码：601058                                         证券简称：赛轮轮胎</w:t>
      </w:r>
    </w:p>
    <w:p w14:paraId="29A345F0">
      <w:pPr>
        <w:spacing w:before="156" w:beforeLines="50" w:after="156" w:afterLines="50" w:line="400" w:lineRule="exact"/>
        <w:jc w:val="center"/>
        <w:rPr>
          <w:rFonts w:ascii="宋体" w:hAnsi="宋体"/>
          <w:b/>
          <w:bCs/>
          <w:iCs/>
          <w:color w:val="000000"/>
          <w:sz w:val="32"/>
          <w:szCs w:val="32"/>
        </w:rPr>
      </w:pPr>
      <w:r>
        <w:rPr>
          <w:rFonts w:hint="eastAsia" w:ascii="宋体" w:hAnsi="宋体"/>
          <w:b/>
          <w:bCs/>
          <w:iCs/>
          <w:color w:val="000000"/>
          <w:sz w:val="32"/>
          <w:szCs w:val="32"/>
        </w:rPr>
        <w:t>赛轮集团</w:t>
      </w:r>
      <w:r>
        <w:rPr>
          <w:rFonts w:ascii="宋体" w:hAnsi="宋体"/>
          <w:b/>
          <w:bCs/>
          <w:iCs/>
          <w:color w:val="000000"/>
          <w:sz w:val="32"/>
          <w:szCs w:val="32"/>
        </w:rPr>
        <w:t>股份有限公司</w:t>
      </w:r>
    </w:p>
    <w:p w14:paraId="5FE4DB01">
      <w:pPr>
        <w:spacing w:before="156" w:beforeLines="50" w:after="156" w:afterLines="50" w:line="400" w:lineRule="exact"/>
        <w:jc w:val="center"/>
        <w:rPr>
          <w:rFonts w:ascii="宋体" w:hAnsi="宋体"/>
          <w:b/>
          <w:bCs/>
          <w:iCs/>
          <w:color w:val="000000"/>
          <w:sz w:val="32"/>
          <w:szCs w:val="32"/>
        </w:rPr>
      </w:pPr>
      <w:r>
        <w:rPr>
          <w:rFonts w:hint="eastAsia" w:ascii="宋体" w:hAnsi="宋体"/>
          <w:b/>
          <w:bCs/>
          <w:iCs/>
          <w:color w:val="000000"/>
          <w:sz w:val="32"/>
          <w:szCs w:val="32"/>
        </w:rPr>
        <w:t>投资者关系活动记录表</w:t>
      </w:r>
    </w:p>
    <w:tbl>
      <w:tblPr>
        <w:tblStyle w:val="9"/>
        <w:tblW w:w="906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08"/>
        <w:gridCol w:w="7159"/>
      </w:tblGrid>
      <w:tr w14:paraId="56DD7B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0" w:hRule="atLeast"/>
        </w:trPr>
        <w:tc>
          <w:tcPr>
            <w:tcW w:w="1908" w:type="dxa"/>
            <w:tcBorders>
              <w:top w:val="single" w:color="auto" w:sz="4" w:space="0"/>
              <w:left w:val="single" w:color="auto" w:sz="4" w:space="0"/>
              <w:bottom w:val="single" w:color="auto" w:sz="4" w:space="0"/>
              <w:right w:val="single" w:color="auto" w:sz="4" w:space="0"/>
            </w:tcBorders>
            <w:vAlign w:val="center"/>
          </w:tcPr>
          <w:p w14:paraId="132E5126">
            <w:pPr>
              <w:rPr>
                <w:bCs/>
                <w:iCs/>
                <w:color w:val="000000"/>
                <w:sz w:val="24"/>
              </w:rPr>
            </w:pPr>
            <w:r>
              <w:rPr>
                <w:rFonts w:hint="eastAsia" w:ascii="宋体" w:hAnsi="宋体" w:cs="宋体"/>
                <w:sz w:val="24"/>
              </w:rPr>
              <w:t>投资者关系活动类别</w:t>
            </w:r>
          </w:p>
        </w:tc>
        <w:tc>
          <w:tcPr>
            <w:tcW w:w="7159" w:type="dxa"/>
            <w:tcBorders>
              <w:top w:val="single" w:color="auto" w:sz="4" w:space="0"/>
              <w:left w:val="single" w:color="auto" w:sz="4" w:space="0"/>
              <w:bottom w:val="single" w:color="auto" w:sz="4" w:space="0"/>
              <w:right w:val="single" w:color="auto" w:sz="4" w:space="0"/>
            </w:tcBorders>
          </w:tcPr>
          <w:p w14:paraId="7CA43EC9">
            <w:pPr>
              <w:rPr>
                <w:rFonts w:ascii="宋体" w:hAnsi="宋体" w:cs="宋体"/>
                <w:color w:val="auto"/>
                <w:sz w:val="24"/>
                <w:shd w:val="clear" w:color="auto" w:fill="auto"/>
              </w:rPr>
            </w:pPr>
            <w:r>
              <w:rPr>
                <w:rFonts w:hint="eastAsia" w:ascii="宋体" w:hAnsi="宋体" w:cs="宋体"/>
                <w:color w:val="auto"/>
                <w:sz w:val="24"/>
                <w:shd w:val="clear" w:color="auto" w:fill="auto"/>
              </w:rPr>
              <w:sym w:font="Wingdings 2" w:char="0052"/>
            </w:r>
            <w:r>
              <w:rPr>
                <w:rFonts w:hint="eastAsia" w:ascii="宋体" w:hAnsi="宋体" w:cs="宋体"/>
                <w:color w:val="auto"/>
                <w:sz w:val="24"/>
                <w:shd w:val="clear" w:color="auto" w:fill="auto"/>
              </w:rPr>
              <w:t xml:space="preserve"> 特定对象调研        </w:t>
            </w:r>
            <w:r>
              <w:rPr>
                <w:rFonts w:hint="eastAsia" w:ascii="宋体" w:hAnsi="宋体" w:cs="宋体"/>
                <w:color w:val="auto"/>
                <w:sz w:val="24"/>
                <w:shd w:val="clear" w:color="auto" w:fill="auto"/>
              </w:rPr>
              <w:sym w:font="Wingdings 2" w:char="0052"/>
            </w:r>
            <w:r>
              <w:rPr>
                <w:rFonts w:hint="eastAsia" w:ascii="宋体" w:hAnsi="宋体" w:cs="宋体"/>
                <w:color w:val="auto"/>
                <w:sz w:val="24"/>
                <w:shd w:val="clear" w:color="auto" w:fill="auto"/>
              </w:rPr>
              <w:t xml:space="preserve"> 分析师会议</w:t>
            </w:r>
          </w:p>
          <w:p w14:paraId="2F0BA265">
            <w:pPr>
              <w:rPr>
                <w:rFonts w:ascii="宋体" w:hAnsi="宋体" w:cs="宋体"/>
                <w:color w:val="auto"/>
                <w:sz w:val="24"/>
                <w:shd w:val="clear" w:color="auto" w:fill="auto"/>
              </w:rPr>
            </w:pPr>
            <w:r>
              <w:rPr>
                <w:rFonts w:hint="eastAsia" w:ascii="宋体" w:hAnsi="宋体" w:cs="宋体"/>
                <w:color w:val="auto"/>
                <w:sz w:val="24"/>
                <w:shd w:val="clear" w:color="auto" w:fill="auto"/>
              </w:rPr>
              <w:sym w:font="Wingdings 2" w:char="00A3"/>
            </w:r>
            <w:r>
              <w:rPr>
                <w:rFonts w:hint="eastAsia" w:ascii="宋体" w:hAnsi="宋体" w:cs="宋体"/>
                <w:color w:val="auto"/>
                <w:sz w:val="24"/>
                <w:shd w:val="clear" w:color="auto" w:fill="auto"/>
              </w:rPr>
              <w:t xml:space="preserve"> 媒体采访            </w:t>
            </w:r>
            <w:r>
              <w:rPr>
                <w:rFonts w:hint="eastAsia" w:ascii="宋体" w:hAnsi="宋体" w:cs="宋体"/>
                <w:color w:val="auto"/>
                <w:sz w:val="24"/>
                <w:shd w:val="clear" w:color="auto" w:fill="auto"/>
              </w:rPr>
              <w:sym w:font="Wingdings 2" w:char="00A3"/>
            </w:r>
            <w:r>
              <w:rPr>
                <w:rFonts w:hint="eastAsia" w:ascii="宋体" w:hAnsi="宋体" w:cs="宋体"/>
                <w:color w:val="auto"/>
                <w:sz w:val="24"/>
                <w:shd w:val="clear" w:color="auto" w:fill="auto"/>
              </w:rPr>
              <w:t xml:space="preserve"> 业绩说明会</w:t>
            </w:r>
          </w:p>
          <w:p w14:paraId="4437F22C">
            <w:pPr>
              <w:rPr>
                <w:rFonts w:ascii="宋体" w:hAnsi="宋体" w:cs="宋体"/>
                <w:color w:val="auto"/>
                <w:sz w:val="24"/>
                <w:shd w:val="clear" w:color="auto" w:fill="auto"/>
              </w:rPr>
            </w:pPr>
            <w:r>
              <w:rPr>
                <w:rFonts w:hint="eastAsia" w:ascii="宋体" w:hAnsi="宋体" w:cs="宋体"/>
                <w:color w:val="auto"/>
                <w:sz w:val="24"/>
                <w:shd w:val="clear" w:color="auto" w:fill="auto"/>
              </w:rPr>
              <w:sym w:font="Wingdings 2" w:char="00A3"/>
            </w:r>
            <w:r>
              <w:rPr>
                <w:rFonts w:hint="eastAsia" w:ascii="宋体" w:hAnsi="宋体" w:cs="宋体"/>
                <w:color w:val="auto"/>
                <w:sz w:val="24"/>
                <w:shd w:val="clear" w:color="auto" w:fill="auto"/>
              </w:rPr>
              <w:t xml:space="preserve"> 新闻发布会          </w:t>
            </w:r>
            <w:r>
              <w:rPr>
                <w:rFonts w:hint="eastAsia" w:ascii="宋体" w:hAnsi="宋体" w:cs="宋体"/>
                <w:color w:val="auto"/>
                <w:sz w:val="24"/>
                <w:shd w:val="clear" w:color="auto" w:fill="auto"/>
              </w:rPr>
              <w:sym w:font="Wingdings 2" w:char="00A3"/>
            </w:r>
            <w:r>
              <w:rPr>
                <w:rFonts w:hint="eastAsia" w:ascii="宋体" w:hAnsi="宋体" w:cs="宋体"/>
                <w:color w:val="auto"/>
                <w:sz w:val="24"/>
                <w:shd w:val="clear" w:color="auto" w:fill="auto"/>
              </w:rPr>
              <w:t xml:space="preserve"> 路演活动</w:t>
            </w:r>
          </w:p>
          <w:p w14:paraId="0C3A22D3">
            <w:pPr>
              <w:rPr>
                <w:rFonts w:ascii="宋体" w:hAnsi="宋体" w:cs="宋体"/>
                <w:color w:val="auto"/>
                <w:sz w:val="24"/>
                <w:shd w:val="clear" w:color="auto" w:fill="auto"/>
              </w:rPr>
            </w:pPr>
            <w:r>
              <w:rPr>
                <w:rFonts w:hint="eastAsia" w:ascii="宋体" w:hAnsi="宋体" w:cs="宋体"/>
                <w:color w:val="auto"/>
                <w:sz w:val="24"/>
                <w:shd w:val="clear" w:color="auto" w:fill="auto"/>
              </w:rPr>
              <w:sym w:font="Wingdings 2" w:char="0052"/>
            </w:r>
            <w:r>
              <w:rPr>
                <w:rFonts w:hint="eastAsia" w:ascii="宋体" w:hAnsi="宋体" w:cs="宋体"/>
                <w:color w:val="auto"/>
                <w:sz w:val="24"/>
                <w:shd w:val="clear" w:color="auto" w:fill="auto"/>
              </w:rPr>
              <w:t xml:space="preserve"> 现场参观</w:t>
            </w:r>
            <w:r>
              <w:rPr>
                <w:rFonts w:hint="eastAsia" w:ascii="宋体" w:hAnsi="宋体" w:cs="宋体"/>
                <w:color w:val="auto"/>
                <w:sz w:val="24"/>
                <w:shd w:val="clear" w:color="auto" w:fill="auto"/>
              </w:rPr>
              <w:tab/>
            </w:r>
          </w:p>
          <w:p w14:paraId="2939C492">
            <w:pPr>
              <w:rPr>
                <w:bCs/>
                <w:iCs/>
                <w:color w:val="auto"/>
                <w:sz w:val="24"/>
                <w:shd w:val="clear" w:color="auto" w:fill="auto"/>
              </w:rPr>
            </w:pPr>
            <w:r>
              <w:rPr>
                <w:rFonts w:hint="eastAsia" w:ascii="宋体" w:hAnsi="宋体" w:cs="宋体"/>
                <w:color w:val="auto"/>
                <w:sz w:val="24"/>
                <w:shd w:val="clear" w:color="auto" w:fill="auto"/>
              </w:rPr>
              <w:sym w:font="Wingdings 2" w:char="0052"/>
            </w:r>
            <w:r>
              <w:rPr>
                <w:rFonts w:hint="eastAsia" w:ascii="宋体" w:hAnsi="宋体" w:cs="宋体"/>
                <w:color w:val="auto"/>
                <w:sz w:val="24"/>
                <w:shd w:val="clear" w:color="auto" w:fill="auto"/>
              </w:rPr>
              <w:t xml:space="preserve"> 其他：</w:t>
            </w:r>
            <w:r>
              <w:rPr>
                <w:rFonts w:ascii="宋体" w:hAnsi="宋体" w:cs="宋体"/>
                <w:color w:val="auto"/>
                <w:sz w:val="24"/>
                <w:u w:val="single"/>
                <w:shd w:val="clear" w:color="auto" w:fill="auto"/>
              </w:rPr>
              <w:t xml:space="preserve"> </w:t>
            </w:r>
            <w:r>
              <w:rPr>
                <w:rFonts w:hint="eastAsia" w:ascii="宋体" w:hAnsi="宋体" w:cs="宋体"/>
                <w:color w:val="auto"/>
                <w:sz w:val="24"/>
                <w:u w:val="single"/>
                <w:shd w:val="clear" w:color="auto" w:fill="auto"/>
              </w:rPr>
              <w:t xml:space="preserve"> 线上交流     </w:t>
            </w:r>
          </w:p>
        </w:tc>
      </w:tr>
      <w:tr w14:paraId="66AAF5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08" w:type="dxa"/>
            <w:tcBorders>
              <w:top w:val="single" w:color="auto" w:sz="4" w:space="0"/>
              <w:left w:val="single" w:color="auto" w:sz="4" w:space="0"/>
              <w:bottom w:val="single" w:color="auto" w:sz="4" w:space="0"/>
              <w:right w:val="single" w:color="auto" w:sz="4" w:space="0"/>
            </w:tcBorders>
            <w:vAlign w:val="center"/>
          </w:tcPr>
          <w:p w14:paraId="77762320">
            <w:pPr>
              <w:rPr>
                <w:bCs/>
                <w:iCs/>
                <w:color w:val="000000"/>
                <w:kern w:val="0"/>
                <w:sz w:val="24"/>
                <w:highlight w:val="none"/>
              </w:rPr>
            </w:pPr>
            <w:r>
              <w:rPr>
                <w:rFonts w:hint="eastAsia" w:ascii="宋体" w:hAnsi="宋体" w:cs="宋体"/>
                <w:sz w:val="24"/>
                <w:highlight w:val="none"/>
              </w:rPr>
              <w:t>参与单位名称</w:t>
            </w:r>
          </w:p>
        </w:tc>
        <w:tc>
          <w:tcPr>
            <w:tcW w:w="7159" w:type="dxa"/>
            <w:tcBorders>
              <w:top w:val="single" w:color="auto" w:sz="4" w:space="0"/>
              <w:left w:val="single" w:color="auto" w:sz="4" w:space="0"/>
              <w:bottom w:val="single" w:color="auto" w:sz="4" w:space="0"/>
              <w:right w:val="single" w:color="auto" w:sz="4" w:space="0"/>
            </w:tcBorders>
            <w:vAlign w:val="center"/>
          </w:tcPr>
          <w:p w14:paraId="224FC9B8">
            <w:pPr>
              <w:rPr>
                <w:rFonts w:hint="eastAsia" w:ascii="宋体" w:hAnsi="宋体" w:cs="宋体"/>
                <w:sz w:val="24"/>
                <w:highlight w:val="none"/>
              </w:rPr>
            </w:pPr>
            <w:r>
              <w:rPr>
                <w:rFonts w:hint="eastAsia" w:ascii="宋体" w:hAnsi="宋体" w:cs="宋体"/>
                <w:sz w:val="24"/>
                <w:highlight w:val="none"/>
                <w:lang w:val="en-US" w:eastAsia="zh-CN"/>
              </w:rPr>
              <w:t>永赢基金、平安资管、禾永投资、星石投资、交银基金、兴银理财、杭银理财、诺安基金、汇添富、财通资管、华泰柏瑞基金、浙商证券、中泰证券、中信建投、长江证券等</w:t>
            </w:r>
          </w:p>
        </w:tc>
      </w:tr>
      <w:tr w14:paraId="7C2F75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1908" w:type="dxa"/>
            <w:tcBorders>
              <w:top w:val="single" w:color="auto" w:sz="4" w:space="0"/>
              <w:left w:val="single" w:color="auto" w:sz="4" w:space="0"/>
              <w:bottom w:val="single" w:color="auto" w:sz="4" w:space="0"/>
              <w:right w:val="single" w:color="auto" w:sz="4" w:space="0"/>
            </w:tcBorders>
            <w:vAlign w:val="center"/>
          </w:tcPr>
          <w:p w14:paraId="4DE39CED">
            <w:pPr>
              <w:rPr>
                <w:bCs/>
                <w:iCs/>
                <w:color w:val="000000"/>
                <w:kern w:val="0"/>
                <w:sz w:val="24"/>
              </w:rPr>
            </w:pPr>
            <w:r>
              <w:rPr>
                <w:rFonts w:hint="eastAsia" w:ascii="宋体" w:hAnsi="宋体" w:cs="宋体"/>
                <w:sz w:val="24"/>
              </w:rPr>
              <w:t>时间</w:t>
            </w:r>
          </w:p>
        </w:tc>
        <w:tc>
          <w:tcPr>
            <w:tcW w:w="7159" w:type="dxa"/>
            <w:tcBorders>
              <w:top w:val="single" w:color="auto" w:sz="4" w:space="0"/>
              <w:left w:val="single" w:color="auto" w:sz="4" w:space="0"/>
              <w:bottom w:val="single" w:color="auto" w:sz="4" w:space="0"/>
              <w:right w:val="single" w:color="auto" w:sz="4" w:space="0"/>
            </w:tcBorders>
            <w:vAlign w:val="center"/>
          </w:tcPr>
          <w:p w14:paraId="67E72CAE">
            <w:pPr>
              <w:rPr>
                <w:rFonts w:hint="eastAsia" w:ascii="宋体" w:hAnsi="宋体" w:cs="宋体"/>
                <w:sz w:val="24"/>
                <w:highlight w:val="none"/>
              </w:rPr>
            </w:pPr>
            <w:r>
              <w:rPr>
                <w:rFonts w:hint="eastAsia" w:ascii="宋体" w:hAnsi="宋体" w:cs="宋体"/>
                <w:sz w:val="24"/>
                <w:highlight w:val="none"/>
              </w:rPr>
              <w:t>2026年</w:t>
            </w:r>
            <w:r>
              <w:rPr>
                <w:rFonts w:hint="eastAsia" w:ascii="宋体" w:hAnsi="宋体" w:cs="宋体"/>
                <w:sz w:val="24"/>
                <w:highlight w:val="none"/>
                <w:lang w:val="en-US" w:eastAsia="zh-CN"/>
              </w:rPr>
              <w:t>8</w:t>
            </w:r>
            <w:r>
              <w:rPr>
                <w:rFonts w:hint="eastAsia" w:ascii="宋体" w:hAnsi="宋体" w:cs="宋体"/>
                <w:sz w:val="24"/>
                <w:highlight w:val="none"/>
              </w:rPr>
              <w:t>月</w:t>
            </w:r>
          </w:p>
        </w:tc>
      </w:tr>
      <w:tr w14:paraId="14663A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08" w:type="dxa"/>
            <w:tcBorders>
              <w:top w:val="single" w:color="auto" w:sz="4" w:space="0"/>
              <w:left w:val="single" w:color="auto" w:sz="4" w:space="0"/>
              <w:bottom w:val="single" w:color="auto" w:sz="4" w:space="0"/>
              <w:right w:val="single" w:color="auto" w:sz="4" w:space="0"/>
            </w:tcBorders>
            <w:vAlign w:val="center"/>
          </w:tcPr>
          <w:p w14:paraId="12D230CB">
            <w:pPr>
              <w:wordWrap w:val="0"/>
              <w:rPr>
                <w:bCs/>
                <w:iCs/>
                <w:color w:val="000000"/>
                <w:kern w:val="0"/>
                <w:sz w:val="24"/>
                <w:highlight w:val="none"/>
              </w:rPr>
            </w:pPr>
            <w:r>
              <w:rPr>
                <w:rFonts w:hint="eastAsia" w:ascii="宋体" w:hAnsi="宋体" w:cs="宋体"/>
                <w:sz w:val="24"/>
                <w:highlight w:val="none"/>
              </w:rPr>
              <w:t>地点</w:t>
            </w:r>
          </w:p>
        </w:tc>
        <w:tc>
          <w:tcPr>
            <w:tcW w:w="7159" w:type="dxa"/>
            <w:tcBorders>
              <w:top w:val="single" w:color="auto" w:sz="4" w:space="0"/>
              <w:left w:val="single" w:color="auto" w:sz="4" w:space="0"/>
              <w:bottom w:val="single" w:color="auto" w:sz="4" w:space="0"/>
              <w:right w:val="single" w:color="auto" w:sz="4" w:space="0"/>
            </w:tcBorders>
          </w:tcPr>
          <w:p w14:paraId="0A506A44">
            <w:pPr>
              <w:rPr>
                <w:rFonts w:hint="eastAsia" w:ascii="宋体" w:hAnsi="宋体" w:cs="宋体"/>
                <w:sz w:val="24"/>
                <w:highlight w:val="none"/>
              </w:rPr>
            </w:pPr>
            <w:r>
              <w:rPr>
                <w:rFonts w:hint="eastAsia" w:ascii="宋体" w:hAnsi="宋体" w:cs="宋体"/>
                <w:sz w:val="24"/>
                <w:highlight w:val="none"/>
              </w:rPr>
              <w:t>现场：青岛市市北区郑州路43号橡</w:t>
            </w:r>
            <w:r>
              <w:rPr>
                <w:rFonts w:hint="eastAsia" w:ascii="宋体" w:hAnsi="宋体" w:cs="宋体"/>
                <w:sz w:val="24"/>
                <w:highlight w:val="none"/>
                <w:lang w:val="en-US" w:eastAsia="zh-CN"/>
              </w:rPr>
              <w:t>塑</w:t>
            </w:r>
            <w:r>
              <w:rPr>
                <w:rFonts w:hint="eastAsia" w:ascii="宋体" w:hAnsi="宋体" w:cs="宋体"/>
                <w:sz w:val="24"/>
                <w:highlight w:val="none"/>
              </w:rPr>
              <w:t>新材料大楼会议室</w:t>
            </w:r>
          </w:p>
          <w:p w14:paraId="7FE8F9AB">
            <w:pPr>
              <w:rPr>
                <w:rFonts w:hint="default" w:ascii="宋体" w:hAnsi="宋体" w:cs="宋体"/>
                <w:sz w:val="24"/>
                <w:highlight w:val="none"/>
                <w:lang w:val="en-US" w:eastAsia="zh-CN"/>
              </w:rPr>
            </w:pPr>
            <w:r>
              <w:rPr>
                <w:rFonts w:hint="eastAsia" w:ascii="宋体" w:hAnsi="宋体" w:cs="宋体"/>
                <w:sz w:val="24"/>
                <w:highlight w:val="none"/>
                <w:lang w:val="en-US" w:eastAsia="zh-CN"/>
              </w:rPr>
              <w:t>线上：分析师会议</w:t>
            </w:r>
          </w:p>
        </w:tc>
      </w:tr>
      <w:tr w14:paraId="6EE2FE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3" w:hRule="atLeast"/>
        </w:trPr>
        <w:tc>
          <w:tcPr>
            <w:tcW w:w="1908" w:type="dxa"/>
            <w:tcBorders>
              <w:top w:val="single" w:color="auto" w:sz="4" w:space="0"/>
              <w:left w:val="single" w:color="auto" w:sz="4" w:space="0"/>
              <w:bottom w:val="single" w:color="auto" w:sz="4" w:space="0"/>
              <w:right w:val="single" w:color="auto" w:sz="4" w:space="0"/>
            </w:tcBorders>
            <w:vAlign w:val="center"/>
          </w:tcPr>
          <w:p w14:paraId="543211A2">
            <w:pPr>
              <w:rPr>
                <w:bCs/>
                <w:iCs/>
                <w:color w:val="000000"/>
                <w:kern w:val="0"/>
                <w:sz w:val="24"/>
              </w:rPr>
            </w:pPr>
            <w:r>
              <w:rPr>
                <w:rFonts w:hint="eastAsia" w:ascii="宋体" w:hAnsi="宋体" w:cs="宋体"/>
                <w:sz w:val="24"/>
              </w:rPr>
              <w:t>上市公司接待人员姓名</w:t>
            </w:r>
          </w:p>
        </w:tc>
        <w:tc>
          <w:tcPr>
            <w:tcW w:w="7159" w:type="dxa"/>
            <w:tcBorders>
              <w:top w:val="single" w:color="auto" w:sz="4" w:space="0"/>
              <w:left w:val="single" w:color="auto" w:sz="4" w:space="0"/>
              <w:bottom w:val="single" w:color="auto" w:sz="4" w:space="0"/>
              <w:right w:val="single" w:color="auto" w:sz="4" w:space="0"/>
            </w:tcBorders>
            <w:vAlign w:val="center"/>
          </w:tcPr>
          <w:p w14:paraId="2C283DB1">
            <w:pPr>
              <w:rPr>
                <w:rFonts w:ascii="宋体" w:hAnsi="宋体" w:cs="宋体"/>
                <w:sz w:val="24"/>
              </w:rPr>
            </w:pPr>
            <w:r>
              <w:rPr>
                <w:rFonts w:hint="eastAsia" w:ascii="宋体" w:hAnsi="宋体" w:cs="宋体"/>
                <w:sz w:val="24"/>
              </w:rPr>
              <w:t>董事、董事会秘书：李吉庆</w:t>
            </w:r>
          </w:p>
          <w:p w14:paraId="04326B94">
            <w:pPr>
              <w:rPr>
                <w:rFonts w:ascii="宋体" w:hAnsi="宋体" w:cs="宋体"/>
                <w:sz w:val="24"/>
              </w:rPr>
            </w:pPr>
            <w:r>
              <w:rPr>
                <w:rFonts w:hint="eastAsia" w:ascii="宋体" w:hAnsi="宋体" w:cs="宋体"/>
                <w:sz w:val="24"/>
              </w:rPr>
              <w:t>投资者关系主管：曲蕾</w:t>
            </w:r>
          </w:p>
          <w:p w14:paraId="11B94414">
            <w:pPr>
              <w:rPr>
                <w:rFonts w:ascii="宋体" w:hAnsi="宋体" w:cs="宋体"/>
                <w:sz w:val="24"/>
              </w:rPr>
            </w:pPr>
            <w:r>
              <w:rPr>
                <w:rFonts w:hint="eastAsia" w:ascii="宋体" w:hAnsi="宋体" w:cs="宋体"/>
                <w:sz w:val="24"/>
              </w:rPr>
              <w:t>信息披露经理：闫凯</w:t>
            </w:r>
          </w:p>
        </w:tc>
      </w:tr>
      <w:tr w14:paraId="40F1FF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08" w:type="dxa"/>
            <w:tcBorders>
              <w:top w:val="single" w:color="auto" w:sz="4" w:space="0"/>
              <w:left w:val="single" w:color="auto" w:sz="4" w:space="0"/>
              <w:bottom w:val="single" w:color="auto" w:sz="4" w:space="0"/>
              <w:right w:val="single" w:color="auto" w:sz="4" w:space="0"/>
            </w:tcBorders>
            <w:vAlign w:val="center"/>
          </w:tcPr>
          <w:p w14:paraId="6CDA2C92">
            <w:pPr>
              <w:spacing w:line="420" w:lineRule="exact"/>
              <w:rPr>
                <w:bCs/>
                <w:iCs/>
                <w:color w:val="000000"/>
                <w:sz w:val="24"/>
              </w:rPr>
            </w:pPr>
            <w:r>
              <w:rPr>
                <w:rFonts w:hAnsi="宋体"/>
                <w:bCs/>
                <w:iCs/>
                <w:color w:val="000000"/>
                <w:kern w:val="0"/>
                <w:sz w:val="24"/>
              </w:rPr>
              <w:t>投资者关系活动主要内容介绍</w:t>
            </w:r>
          </w:p>
        </w:tc>
        <w:tc>
          <w:tcPr>
            <w:tcW w:w="7159" w:type="dxa"/>
            <w:tcBorders>
              <w:top w:val="single" w:color="auto" w:sz="4" w:space="0"/>
              <w:left w:val="single" w:color="auto" w:sz="4" w:space="0"/>
              <w:bottom w:val="single" w:color="auto" w:sz="4" w:space="0"/>
              <w:right w:val="single" w:color="auto" w:sz="4" w:space="0"/>
            </w:tcBorders>
          </w:tcPr>
          <w:p w14:paraId="3A057DDC">
            <w:pPr>
              <w:pStyle w:val="14"/>
              <w:spacing w:line="460" w:lineRule="exact"/>
              <w:ind w:left="-2" w:leftChars="-1" w:firstLine="480" w:firstLineChars="0"/>
              <w:rPr>
                <w:rFonts w:ascii="宋体" w:hAnsi="宋体"/>
                <w:b/>
                <w:bCs/>
                <w:sz w:val="24"/>
                <w:szCs w:val="24"/>
              </w:rPr>
            </w:pPr>
            <w:r>
              <w:rPr>
                <w:rFonts w:hint="eastAsia" w:ascii="宋体" w:hAnsi="宋体"/>
                <w:b/>
                <w:bCs/>
                <w:sz w:val="24"/>
                <w:szCs w:val="24"/>
              </w:rPr>
              <w:t>一、公司简介：</w:t>
            </w:r>
          </w:p>
          <w:p w14:paraId="5C50C10F">
            <w:pPr>
              <w:pStyle w:val="14"/>
              <w:spacing w:line="460" w:lineRule="exact"/>
              <w:ind w:left="-2" w:leftChars="-1" w:firstLine="480" w:firstLineChars="0"/>
              <w:rPr>
                <w:rFonts w:ascii="宋体" w:hAnsi="宋体"/>
                <w:sz w:val="24"/>
                <w:szCs w:val="24"/>
              </w:rPr>
            </w:pPr>
            <w:r>
              <w:rPr>
                <w:rFonts w:hint="eastAsia" w:ascii="宋体" w:hAnsi="宋体"/>
                <w:sz w:val="24"/>
                <w:szCs w:val="24"/>
              </w:rPr>
              <w:t>公司创建于2002年，是中国第一家A股上市民营轮胎企业，也是中国第一家“走出去”在海外建厂的轮胎企业。</w:t>
            </w:r>
          </w:p>
          <w:p w14:paraId="210B3D8F">
            <w:pPr>
              <w:pStyle w:val="14"/>
              <w:spacing w:line="460" w:lineRule="exact"/>
              <w:ind w:left="-2" w:leftChars="-1" w:firstLine="480" w:firstLineChars="0"/>
              <w:rPr>
                <w:rFonts w:ascii="宋体" w:hAnsi="宋体"/>
                <w:sz w:val="24"/>
                <w:szCs w:val="24"/>
              </w:rPr>
            </w:pPr>
            <w:r>
              <w:rPr>
                <w:rFonts w:hint="eastAsia" w:ascii="宋体" w:hAnsi="宋体"/>
                <w:sz w:val="24"/>
                <w:szCs w:val="24"/>
              </w:rPr>
              <w:t>根据Brand Finance品牌价值评估机构发布的“</w:t>
            </w:r>
            <w:r>
              <w:rPr>
                <w:rFonts w:hint="eastAsia" w:ascii="宋体" w:hAnsi="宋体"/>
                <w:sz w:val="24"/>
                <w:szCs w:val="24"/>
                <w:lang w:val="en-US" w:eastAsia="zh-CN"/>
              </w:rPr>
              <w:t>2026全球轮胎品牌价值25强</w:t>
            </w:r>
            <w:r>
              <w:rPr>
                <w:rFonts w:hint="eastAsia" w:ascii="宋体" w:hAnsi="宋体"/>
                <w:sz w:val="24"/>
                <w:szCs w:val="24"/>
              </w:rPr>
              <w:t>”，公司位列轮胎行业第10位，截至目前，赛轮已连续四年位居中国轮胎品牌首位，也是唯一跻身全球榜单十强的中国轮胎品牌；在世界品牌实验室发布的</w:t>
            </w:r>
            <w:r>
              <w:rPr>
                <w:rFonts w:hint="eastAsia" w:ascii="宋体" w:hAnsi="宋体"/>
                <w:sz w:val="24"/>
                <w:szCs w:val="24"/>
                <w:lang w:val="en-US" w:eastAsia="zh-CN"/>
              </w:rPr>
              <w:t>2026</w:t>
            </w:r>
            <w:r>
              <w:rPr>
                <w:rFonts w:hint="eastAsia" w:ascii="宋体" w:hAnsi="宋体"/>
                <w:sz w:val="24"/>
                <w:szCs w:val="24"/>
              </w:rPr>
              <w:t>年度“中国500最具价值品牌”榜单中，公司品牌价值位居榜单第</w:t>
            </w:r>
            <w:r>
              <w:rPr>
                <w:rFonts w:hint="eastAsia" w:ascii="宋体" w:hAnsi="宋体"/>
                <w:sz w:val="24"/>
                <w:szCs w:val="24"/>
                <w:lang w:val="en-US" w:eastAsia="zh-CN"/>
              </w:rPr>
              <w:t>97</w:t>
            </w:r>
            <w:r>
              <w:rPr>
                <w:rFonts w:hint="eastAsia" w:ascii="宋体" w:hAnsi="宋体"/>
                <w:sz w:val="24"/>
                <w:szCs w:val="24"/>
              </w:rPr>
              <w:t>位，且品牌价值连续</w:t>
            </w:r>
            <w:r>
              <w:rPr>
                <w:rFonts w:hint="eastAsia" w:ascii="宋体" w:hAnsi="宋体"/>
                <w:sz w:val="24"/>
                <w:szCs w:val="24"/>
                <w:lang w:val="en-US" w:eastAsia="zh-CN"/>
              </w:rPr>
              <w:t>九</w:t>
            </w:r>
            <w:r>
              <w:rPr>
                <w:rFonts w:hint="eastAsia" w:ascii="宋体" w:hAnsi="宋体"/>
                <w:sz w:val="24"/>
                <w:szCs w:val="24"/>
              </w:rPr>
              <w:t>年实现跃升。</w:t>
            </w:r>
          </w:p>
          <w:p w14:paraId="34294B34">
            <w:pPr>
              <w:pStyle w:val="14"/>
              <w:spacing w:line="460" w:lineRule="exact"/>
              <w:ind w:left="-2" w:leftChars="-1" w:firstLine="480"/>
              <w:rPr>
                <w:rFonts w:hint="eastAsia" w:ascii="宋体" w:hAnsi="宋体" w:cs="宋体"/>
                <w:sz w:val="24"/>
                <w:szCs w:val="32"/>
              </w:rPr>
            </w:pPr>
            <w:r>
              <w:rPr>
                <w:rFonts w:hint="eastAsia" w:ascii="宋体" w:hAnsi="宋体" w:cs="宋体"/>
                <w:sz w:val="24"/>
                <w:szCs w:val="32"/>
              </w:rPr>
              <w:t>202</w:t>
            </w:r>
            <w:r>
              <w:rPr>
                <w:rFonts w:hint="eastAsia" w:ascii="宋体" w:hAnsi="宋体" w:cs="宋体"/>
                <w:sz w:val="24"/>
                <w:szCs w:val="32"/>
                <w:lang w:val="en-US" w:eastAsia="zh-CN"/>
              </w:rPr>
              <w:t>6</w:t>
            </w:r>
            <w:r>
              <w:rPr>
                <w:rFonts w:hint="eastAsia" w:ascii="宋体" w:hAnsi="宋体" w:cs="宋体"/>
                <w:sz w:val="24"/>
                <w:szCs w:val="32"/>
              </w:rPr>
              <w:t>年</w:t>
            </w:r>
            <w:r>
              <w:rPr>
                <w:rFonts w:hint="eastAsia" w:ascii="宋体" w:hAnsi="宋体" w:cs="宋体"/>
                <w:sz w:val="24"/>
                <w:szCs w:val="32"/>
                <w:lang w:val="en-US" w:eastAsia="zh-CN"/>
              </w:rPr>
              <w:t>半年度</w:t>
            </w:r>
            <w:r>
              <w:rPr>
                <w:rFonts w:hint="eastAsia" w:ascii="宋体" w:hAnsi="宋体"/>
                <w:sz w:val="24"/>
                <w:szCs w:val="24"/>
                <w:lang w:val="en-US" w:eastAsia="zh-CN"/>
              </w:rPr>
              <w:t>，</w:t>
            </w:r>
            <w:r>
              <w:rPr>
                <w:rFonts w:hint="eastAsia" w:ascii="宋体" w:hAnsi="宋体"/>
                <w:sz w:val="24"/>
                <w:szCs w:val="24"/>
              </w:rPr>
              <w:t>公司</w:t>
            </w:r>
            <w:r>
              <w:rPr>
                <w:rFonts w:hint="eastAsia" w:ascii="宋体" w:hAnsi="宋体"/>
                <w:sz w:val="24"/>
                <w:szCs w:val="24"/>
                <w:lang w:val="en-US" w:eastAsia="zh-CN"/>
              </w:rPr>
              <w:t>实现营业收入</w:t>
            </w:r>
            <w:r>
              <w:rPr>
                <w:rFonts w:hint="eastAsia" w:ascii="宋体" w:hAnsi="宋体"/>
                <w:sz w:val="24"/>
                <w:szCs w:val="24"/>
              </w:rPr>
              <w:t>200.27亿元，同比增长13.88%；实现归属于上市公</w:t>
            </w:r>
            <w:r>
              <w:rPr>
                <w:rFonts w:hint="eastAsia" w:ascii="宋体" w:hAnsi="宋体"/>
                <w:sz w:val="24"/>
                <w:szCs w:val="24"/>
                <w:highlight w:val="none"/>
              </w:rPr>
              <w:t>司股东的净利润21.60亿元，同比增长17.97%；轮胎产量和销量分别为</w:t>
            </w:r>
            <w:r>
              <w:rPr>
                <w:rFonts w:hint="eastAsia" w:ascii="宋体" w:hAnsi="宋体"/>
                <w:sz w:val="24"/>
                <w:szCs w:val="24"/>
                <w:highlight w:val="none"/>
                <w:lang w:val="en-US" w:eastAsia="zh-CN"/>
              </w:rPr>
              <w:t>4,697.48</w:t>
            </w:r>
            <w:r>
              <w:rPr>
                <w:rFonts w:hint="eastAsia" w:ascii="宋体" w:hAnsi="宋体"/>
                <w:sz w:val="24"/>
                <w:szCs w:val="24"/>
                <w:highlight w:val="none"/>
              </w:rPr>
              <w:t>万条</w:t>
            </w:r>
            <w:r>
              <w:rPr>
                <w:rFonts w:hint="eastAsia" w:ascii="宋体" w:hAnsi="宋体"/>
                <w:sz w:val="24"/>
                <w:szCs w:val="24"/>
                <w:highlight w:val="none"/>
                <w:lang w:eastAsia="zh-CN"/>
              </w:rPr>
              <w:t>、</w:t>
            </w:r>
            <w:r>
              <w:rPr>
                <w:rFonts w:hint="eastAsia" w:ascii="宋体" w:hAnsi="宋体"/>
                <w:sz w:val="24"/>
                <w:szCs w:val="24"/>
                <w:highlight w:val="none"/>
                <w:lang w:val="en-US" w:eastAsia="zh-CN"/>
              </w:rPr>
              <w:t>4,501.35</w:t>
            </w:r>
            <w:r>
              <w:rPr>
                <w:rFonts w:hint="eastAsia" w:ascii="宋体" w:hAnsi="宋体"/>
                <w:sz w:val="24"/>
                <w:szCs w:val="24"/>
                <w:highlight w:val="none"/>
              </w:rPr>
              <w:t>万条，分别</w:t>
            </w:r>
            <w:r>
              <w:rPr>
                <w:rFonts w:hint="eastAsia" w:ascii="宋体" w:hAnsi="宋体" w:cs="宋体"/>
                <w:sz w:val="24"/>
                <w:szCs w:val="32"/>
                <w:highlight w:val="none"/>
              </w:rPr>
              <w:t>同比增长</w:t>
            </w:r>
            <w:r>
              <w:rPr>
                <w:rFonts w:hint="eastAsia" w:ascii="宋体" w:hAnsi="宋体" w:cs="宋体"/>
                <w:sz w:val="24"/>
                <w:szCs w:val="32"/>
                <w:highlight w:val="none"/>
                <w:lang w:val="en-US" w:eastAsia="zh-CN"/>
              </w:rPr>
              <w:t>15.70</w:t>
            </w:r>
            <w:r>
              <w:rPr>
                <w:rFonts w:hint="eastAsia" w:ascii="宋体" w:hAnsi="宋体" w:cs="宋体"/>
                <w:sz w:val="24"/>
                <w:szCs w:val="32"/>
                <w:highlight w:val="none"/>
              </w:rPr>
              <w:t>%</w:t>
            </w:r>
            <w:r>
              <w:rPr>
                <w:rFonts w:hint="eastAsia" w:ascii="宋体" w:hAnsi="宋体" w:cs="宋体"/>
                <w:sz w:val="24"/>
                <w:szCs w:val="32"/>
                <w:highlight w:val="none"/>
                <w:lang w:eastAsia="zh-CN"/>
              </w:rPr>
              <w:t>、</w:t>
            </w:r>
            <w:r>
              <w:rPr>
                <w:rFonts w:hint="eastAsia" w:ascii="宋体" w:hAnsi="宋体" w:cs="宋体"/>
                <w:sz w:val="24"/>
                <w:szCs w:val="32"/>
                <w:highlight w:val="none"/>
                <w:lang w:val="en-US" w:eastAsia="zh-CN"/>
              </w:rPr>
              <w:t>14.99</w:t>
            </w:r>
            <w:r>
              <w:rPr>
                <w:rFonts w:hint="eastAsia" w:ascii="宋体" w:hAnsi="宋体" w:cs="宋体"/>
                <w:sz w:val="24"/>
                <w:szCs w:val="32"/>
                <w:highlight w:val="none"/>
              </w:rPr>
              <w:t>%。202</w:t>
            </w:r>
            <w:r>
              <w:rPr>
                <w:rFonts w:hint="eastAsia" w:ascii="宋体" w:hAnsi="宋体" w:cs="宋体"/>
                <w:sz w:val="24"/>
                <w:szCs w:val="32"/>
              </w:rPr>
              <w:t>6年第二季度实现营业收入105.66亿元，同比增长15.16%；实现归属于上市公司股东的净利润11.03亿元，同比增长39.26%。</w:t>
            </w:r>
          </w:p>
          <w:p w14:paraId="2244BC6D">
            <w:pPr>
              <w:pStyle w:val="14"/>
              <w:spacing w:line="460" w:lineRule="exact"/>
              <w:ind w:left="-2" w:leftChars="-1" w:firstLine="480"/>
              <w:rPr>
                <w:rFonts w:hint="eastAsia" w:ascii="宋体" w:hAnsi="宋体" w:cs="宋体"/>
                <w:sz w:val="24"/>
              </w:rPr>
            </w:pPr>
            <w:r>
              <w:rPr>
                <w:rFonts w:hint="eastAsia" w:ascii="宋体" w:hAnsi="宋体" w:cs="宋体"/>
                <w:sz w:val="24"/>
              </w:rPr>
              <w:t>目前，公司已在国内青岛、东营、沈阳、潍坊及海外越南、柬埔寨、墨西哥、印尼布局多个轮胎生产基地，埃及与青岛董家口生产基地建设正稳步推进。</w:t>
            </w:r>
          </w:p>
          <w:p w14:paraId="4A9AEE5F">
            <w:pPr>
              <w:pStyle w:val="14"/>
              <w:spacing w:line="460" w:lineRule="exact"/>
              <w:ind w:left="-2" w:leftChars="-1" w:firstLine="480"/>
              <w:rPr>
                <w:highlight w:val="yellow"/>
              </w:rPr>
            </w:pPr>
            <w:r>
              <w:rPr>
                <w:rFonts w:hint="eastAsia" w:ascii="宋体" w:hAnsi="宋体"/>
                <w:sz w:val="24"/>
              </w:rPr>
              <w:t>公司</w:t>
            </w:r>
            <w:r>
              <w:rPr>
                <w:rFonts w:hint="eastAsia" w:ascii="宋体" w:hAnsi="宋体"/>
                <w:sz w:val="24"/>
                <w:lang w:val="en-US" w:eastAsia="zh-CN"/>
              </w:rPr>
              <w:t>在全球</w:t>
            </w:r>
            <w:r>
              <w:rPr>
                <w:rFonts w:hint="eastAsia" w:ascii="宋体" w:hAnsi="宋体"/>
                <w:sz w:val="24"/>
              </w:rPr>
              <w:t>建有四大研发中心，在各地工厂也建立了属地化的技术研究部门，搭建起了全球技术研发与试验体系。公司产品销售已涵盖中国、北美、欧洲、亚洲、非洲等全球180多个国家和地区。</w:t>
            </w:r>
          </w:p>
          <w:p w14:paraId="04B587F0">
            <w:pPr>
              <w:pStyle w:val="14"/>
              <w:spacing w:line="460" w:lineRule="exact"/>
              <w:ind w:left="-2" w:leftChars="-1" w:firstLine="480" w:firstLineChars="0"/>
              <w:rPr>
                <w:rFonts w:ascii="宋体" w:hAnsi="宋体"/>
                <w:sz w:val="24"/>
                <w:szCs w:val="24"/>
              </w:rPr>
            </w:pPr>
            <w:r>
              <w:rPr>
                <w:rFonts w:hint="eastAsia" w:ascii="宋体" w:hAnsi="宋体"/>
                <w:b/>
                <w:bCs/>
                <w:sz w:val="24"/>
                <w:szCs w:val="24"/>
              </w:rPr>
              <w:t>二、投资者提出的主要问题及公司回复情况:</w:t>
            </w:r>
          </w:p>
          <w:p w14:paraId="11DF7924">
            <w:pPr>
              <w:pStyle w:val="14"/>
              <w:numPr>
                <w:ilvl w:val="-1"/>
                <w:numId w:val="0"/>
              </w:numPr>
              <w:spacing w:line="460" w:lineRule="exact"/>
              <w:ind w:left="-2" w:leftChars="-1" w:firstLine="480" w:firstLineChars="0"/>
              <w:rPr>
                <w:rFonts w:ascii="宋体" w:hAnsi="宋体" w:cs="宋体"/>
                <w:b/>
                <w:bCs/>
                <w:sz w:val="24"/>
                <w:szCs w:val="24"/>
              </w:rPr>
            </w:pPr>
            <w:r>
              <w:rPr>
                <w:rFonts w:hint="eastAsia" w:ascii="宋体" w:hAnsi="宋体" w:cs="宋体"/>
                <w:b/>
                <w:bCs/>
                <w:sz w:val="24"/>
                <w:szCs w:val="24"/>
                <w:lang w:val="en-US" w:eastAsia="zh-CN"/>
              </w:rPr>
              <w:t>1</w:t>
            </w:r>
            <w:r>
              <w:rPr>
                <w:rFonts w:hint="eastAsia" w:ascii="宋体" w:hAnsi="宋体" w:cs="宋体"/>
                <w:b/>
                <w:bCs/>
                <w:sz w:val="24"/>
                <w:szCs w:val="24"/>
              </w:rPr>
              <w:t>、公司</w:t>
            </w:r>
            <w:r>
              <w:rPr>
                <w:rFonts w:hint="eastAsia" w:ascii="宋体" w:hAnsi="宋体" w:cs="宋体"/>
                <w:b/>
                <w:bCs/>
                <w:sz w:val="24"/>
                <w:szCs w:val="24"/>
                <w:lang w:val="en-US" w:eastAsia="zh-CN"/>
              </w:rPr>
              <w:t>上半年产销情况</w:t>
            </w:r>
            <w:r>
              <w:rPr>
                <w:rFonts w:hint="eastAsia" w:ascii="宋体" w:hAnsi="宋体" w:cs="宋体"/>
                <w:b/>
                <w:bCs/>
                <w:sz w:val="24"/>
                <w:szCs w:val="24"/>
              </w:rPr>
              <w:t>？</w:t>
            </w:r>
          </w:p>
          <w:p w14:paraId="4477C8A0">
            <w:pPr>
              <w:pStyle w:val="14"/>
              <w:spacing w:line="460" w:lineRule="exact"/>
              <w:ind w:left="-2" w:leftChars="-1" w:firstLine="480" w:firstLineChars="0"/>
              <w:rPr>
                <w:rFonts w:ascii="宋体" w:hAnsi="宋体" w:cs="宋体"/>
                <w:sz w:val="24"/>
                <w:szCs w:val="24"/>
              </w:rPr>
            </w:pPr>
            <w:r>
              <w:rPr>
                <w:rFonts w:hint="eastAsia" w:ascii="宋体" w:hAnsi="宋体"/>
                <w:sz w:val="24"/>
                <w:szCs w:val="24"/>
              </w:rPr>
              <w:t>答：</w:t>
            </w:r>
            <w:r>
              <w:rPr>
                <w:rFonts w:hint="eastAsia" w:ascii="宋体" w:hAnsi="宋体" w:cs="宋体"/>
                <w:sz w:val="24"/>
                <w:szCs w:val="24"/>
              </w:rPr>
              <w:t>伴随</w:t>
            </w:r>
            <w:r>
              <w:rPr>
                <w:rFonts w:hint="eastAsia" w:ascii="宋体" w:hAnsi="宋体" w:cs="宋体"/>
                <w:sz w:val="24"/>
                <w:szCs w:val="24"/>
                <w:lang w:val="en-US" w:eastAsia="zh-CN"/>
              </w:rPr>
              <w:t>公司</w:t>
            </w:r>
            <w:r>
              <w:rPr>
                <w:rFonts w:hint="eastAsia" w:ascii="宋体" w:hAnsi="宋体" w:cs="宋体"/>
                <w:sz w:val="24"/>
                <w:szCs w:val="24"/>
              </w:rPr>
              <w:t>全球产能逐步释放，</w:t>
            </w:r>
            <w:r>
              <w:rPr>
                <w:rFonts w:hint="eastAsia" w:ascii="宋体" w:hAnsi="宋体" w:cs="宋体"/>
                <w:sz w:val="24"/>
                <w:szCs w:val="24"/>
                <w:lang w:val="en-US" w:eastAsia="zh-CN"/>
              </w:rPr>
              <w:t>公司</w:t>
            </w:r>
            <w:r>
              <w:rPr>
                <w:rFonts w:hint="eastAsia" w:ascii="宋体" w:hAnsi="宋体" w:cs="宋体"/>
                <w:sz w:val="24"/>
                <w:szCs w:val="24"/>
              </w:rPr>
              <w:t>上半年</w:t>
            </w:r>
            <w:r>
              <w:rPr>
                <w:rFonts w:hint="eastAsia" w:ascii="宋体" w:hAnsi="宋体" w:cs="宋体"/>
                <w:sz w:val="24"/>
                <w:szCs w:val="24"/>
                <w:lang w:val="en-US" w:eastAsia="zh-CN"/>
              </w:rPr>
              <w:t>轮胎</w:t>
            </w:r>
            <w:r>
              <w:rPr>
                <w:rFonts w:hint="eastAsia" w:ascii="宋体" w:hAnsi="宋体" w:cs="宋体"/>
                <w:sz w:val="24"/>
                <w:szCs w:val="24"/>
              </w:rPr>
              <w:t>产销量同步走高，均刷新历史同期水平：产量4,697.49万条，同比增长15.70%；销量4,501.35万条，同比增长14.99%</w:t>
            </w:r>
            <w:r>
              <w:rPr>
                <w:rFonts w:ascii="宋体" w:hAnsi="宋体" w:cs="宋体"/>
                <w:sz w:val="24"/>
                <w:szCs w:val="24"/>
              </w:rPr>
              <w:t>。</w:t>
            </w:r>
          </w:p>
          <w:p w14:paraId="4F464831">
            <w:pPr>
              <w:pStyle w:val="14"/>
              <w:spacing w:line="460" w:lineRule="exact"/>
              <w:ind w:left="-2" w:leftChars="-1" w:firstLine="480" w:firstLineChars="0"/>
              <w:rPr>
                <w:rFonts w:ascii="宋体" w:hAnsi="宋体"/>
                <w:b/>
                <w:bCs/>
                <w:sz w:val="24"/>
                <w:szCs w:val="24"/>
              </w:rPr>
            </w:pPr>
            <w:r>
              <w:rPr>
                <w:rFonts w:hint="eastAsia" w:ascii="宋体" w:hAnsi="宋体"/>
                <w:b/>
                <w:bCs/>
                <w:sz w:val="24"/>
                <w:szCs w:val="24"/>
                <w:lang w:val="en-US" w:eastAsia="zh-CN"/>
              </w:rPr>
              <w:t>2</w:t>
            </w:r>
            <w:r>
              <w:rPr>
                <w:rFonts w:hint="eastAsia" w:ascii="宋体" w:hAnsi="宋体"/>
                <w:b/>
                <w:bCs/>
                <w:sz w:val="24"/>
                <w:szCs w:val="24"/>
              </w:rPr>
              <w:t>、</w:t>
            </w:r>
            <w:r>
              <w:rPr>
                <w:rFonts w:hint="eastAsia" w:ascii="宋体" w:hAnsi="宋体"/>
                <w:b/>
                <w:bCs/>
                <w:sz w:val="24"/>
                <w:szCs w:val="24"/>
                <w:lang w:val="en-US" w:eastAsia="zh-CN"/>
              </w:rPr>
              <w:t>公司海外产能布局进展</w:t>
            </w:r>
            <w:r>
              <w:rPr>
                <w:rFonts w:hint="eastAsia" w:ascii="宋体" w:hAnsi="宋体"/>
                <w:b/>
                <w:bCs/>
                <w:sz w:val="24"/>
                <w:szCs w:val="24"/>
              </w:rPr>
              <w:t>？</w:t>
            </w:r>
          </w:p>
          <w:p w14:paraId="0522E27B">
            <w:pPr>
              <w:pStyle w:val="14"/>
              <w:numPr>
                <w:ilvl w:val="-1"/>
                <w:numId w:val="0"/>
              </w:numPr>
              <w:spacing w:line="460" w:lineRule="exact"/>
              <w:ind w:left="-2" w:leftChars="-1" w:firstLine="480" w:firstLineChars="0"/>
              <w:rPr>
                <w:rFonts w:hint="eastAsia" w:ascii="宋体" w:hAnsi="宋体"/>
                <w:b/>
                <w:bCs/>
                <w:sz w:val="24"/>
                <w:szCs w:val="24"/>
                <w:lang w:val="en-US" w:eastAsia="zh-CN"/>
              </w:rPr>
            </w:pPr>
            <w:r>
              <w:rPr>
                <w:rFonts w:hint="eastAsia" w:ascii="宋体" w:hAnsi="宋体"/>
                <w:sz w:val="24"/>
                <w:szCs w:val="24"/>
              </w:rPr>
              <w:t>答:</w:t>
            </w:r>
            <w:r>
              <w:rPr>
                <w:rFonts w:hint="eastAsia" w:ascii="宋体" w:hAnsi="宋体"/>
                <w:sz w:val="24"/>
                <w:szCs w:val="24"/>
                <w:lang w:val="en-US" w:eastAsia="zh-CN"/>
              </w:rPr>
              <w:t>目前公司越南、柬埔寨工厂</w:t>
            </w:r>
            <w:r>
              <w:rPr>
                <w:rFonts w:ascii="宋体" w:hAnsi="宋体" w:eastAsia="宋体" w:cs="宋体"/>
                <w:sz w:val="24"/>
                <w:szCs w:val="24"/>
              </w:rPr>
              <w:t>产能已实现稳定释放</w:t>
            </w:r>
            <w:r>
              <w:rPr>
                <w:rFonts w:hint="eastAsia" w:ascii="宋体" w:hAnsi="宋体"/>
                <w:sz w:val="24"/>
                <w:szCs w:val="24"/>
                <w:lang w:val="en-US" w:eastAsia="zh-CN"/>
              </w:rPr>
              <w:t>，印尼、墨西哥工厂产能持续爬坡，埃及项目建设有序推进。公司海外基地规划合计具备1,275万条全钢子午胎、8,900万条半钢子午胎及13万吨非公路轮胎年产能。公司是目前海外规划产能规模最大的中国轮胎企业。2025年度及2026上半年，公司出口子午胎交货量、海外工厂产销量均位居中国轮胎行业首位</w:t>
            </w:r>
            <w:r>
              <w:rPr>
                <w:rFonts w:hint="eastAsia" w:ascii="宋体" w:hAnsi="宋体"/>
                <w:sz w:val="24"/>
                <w:szCs w:val="24"/>
              </w:rPr>
              <w:t>。</w:t>
            </w:r>
          </w:p>
          <w:p w14:paraId="634613B7">
            <w:pPr>
              <w:pStyle w:val="14"/>
              <w:spacing w:line="460" w:lineRule="exact"/>
              <w:ind w:left="-2" w:leftChars="-1" w:firstLine="480" w:firstLineChars="0"/>
              <w:rPr>
                <w:rFonts w:hint="eastAsia" w:ascii="宋体" w:hAnsi="宋体" w:cs="宋体"/>
                <w:b/>
                <w:bCs/>
                <w:sz w:val="24"/>
                <w:szCs w:val="24"/>
                <w:lang w:val="en-US" w:eastAsia="zh-CN"/>
              </w:rPr>
            </w:pPr>
            <w:r>
              <w:rPr>
                <w:rFonts w:hint="eastAsia" w:ascii="宋体" w:hAnsi="宋体" w:cs="宋体"/>
                <w:b/>
                <w:bCs/>
                <w:sz w:val="24"/>
                <w:szCs w:val="24"/>
                <w:lang w:val="en-US" w:eastAsia="zh-CN"/>
              </w:rPr>
              <w:t>3、公司今年半年度分红时间？</w:t>
            </w:r>
          </w:p>
          <w:p w14:paraId="47A78767">
            <w:pPr>
              <w:pStyle w:val="14"/>
              <w:spacing w:line="460" w:lineRule="exact"/>
              <w:ind w:left="-2" w:leftChars="-1" w:firstLine="480" w:firstLineChars="0"/>
              <w:rPr>
                <w:rFonts w:hint="eastAsia" w:ascii="宋体" w:hAnsi="宋体"/>
                <w:b/>
                <w:bCs/>
                <w:sz w:val="24"/>
                <w:szCs w:val="24"/>
                <w:lang w:val="en-US" w:eastAsia="zh-CN"/>
              </w:rPr>
            </w:pPr>
            <w:r>
              <w:rPr>
                <w:rFonts w:hint="eastAsia" w:ascii="宋体" w:hAnsi="宋体"/>
                <w:sz w:val="24"/>
                <w:szCs w:val="24"/>
              </w:rPr>
              <w:t>答：</w:t>
            </w:r>
            <w:r>
              <w:rPr>
                <w:rFonts w:hint="eastAsia" w:ascii="宋体" w:hAnsi="宋体" w:cs="宋体"/>
                <w:sz w:val="24"/>
                <w:szCs w:val="24"/>
                <w:lang w:val="en-US" w:eastAsia="zh-CN"/>
              </w:rPr>
              <w:t>2026年，</w:t>
            </w:r>
            <w:r>
              <w:rPr>
                <w:rFonts w:hint="eastAsia" w:ascii="宋体" w:hAnsi="宋体" w:cs="宋体"/>
                <w:sz w:val="24"/>
                <w:szCs w:val="24"/>
              </w:rPr>
              <w:t>为践行上市公司常态化现金分红机制，让投资者更好</w:t>
            </w:r>
            <w:r>
              <w:rPr>
                <w:rFonts w:hint="eastAsia" w:ascii="宋体" w:hAnsi="宋体" w:cs="宋体"/>
                <w:sz w:val="24"/>
                <w:szCs w:val="24"/>
                <w:lang w:eastAsia="zh-CN"/>
              </w:rPr>
              <w:t>地</w:t>
            </w:r>
            <w:r>
              <w:rPr>
                <w:rFonts w:hint="eastAsia" w:ascii="宋体" w:hAnsi="宋体" w:cs="宋体"/>
                <w:sz w:val="24"/>
                <w:szCs w:val="24"/>
              </w:rPr>
              <w:t>分享经营成果，公司股东会</w:t>
            </w:r>
            <w:r>
              <w:rPr>
                <w:rFonts w:hint="eastAsia" w:ascii="宋体" w:hAnsi="宋体" w:cs="宋体"/>
                <w:sz w:val="24"/>
                <w:szCs w:val="24"/>
                <w:lang w:val="en-US" w:eastAsia="zh-CN"/>
              </w:rPr>
              <w:t>已</w:t>
            </w:r>
            <w:r>
              <w:rPr>
                <w:rFonts w:hint="eastAsia" w:ascii="宋体" w:hAnsi="宋体" w:cs="宋体"/>
                <w:sz w:val="24"/>
                <w:szCs w:val="24"/>
              </w:rPr>
              <w:t>授权董事会在满足</w:t>
            </w:r>
            <w:r>
              <w:rPr>
                <w:rFonts w:hint="eastAsia" w:ascii="宋体" w:hAnsi="宋体" w:cs="宋体"/>
                <w:sz w:val="24"/>
                <w:szCs w:val="24"/>
                <w:lang w:val="en-US" w:eastAsia="zh-CN"/>
              </w:rPr>
              <w:t>相关</w:t>
            </w:r>
            <w:r>
              <w:rPr>
                <w:rFonts w:hint="eastAsia" w:ascii="宋体" w:hAnsi="宋体" w:cs="宋体"/>
                <w:sz w:val="24"/>
                <w:szCs w:val="24"/>
              </w:rPr>
              <w:t>条件</w:t>
            </w:r>
            <w:r>
              <w:rPr>
                <w:rFonts w:hint="eastAsia" w:ascii="宋体" w:hAnsi="宋体" w:cs="宋体"/>
                <w:sz w:val="24"/>
                <w:szCs w:val="24"/>
                <w:lang w:val="en-US" w:eastAsia="zh-CN"/>
              </w:rPr>
              <w:t>的</w:t>
            </w:r>
            <w:r>
              <w:rPr>
                <w:rFonts w:hint="eastAsia" w:ascii="宋体" w:hAnsi="宋体" w:cs="宋体"/>
                <w:sz w:val="24"/>
                <w:szCs w:val="24"/>
              </w:rPr>
              <w:t>前提下制定和实施2026年中期（半年度、前三季度）或春节前现金分红方案</w:t>
            </w:r>
            <w:r>
              <w:rPr>
                <w:rFonts w:hint="eastAsia" w:ascii="宋体" w:hAnsi="宋体" w:cs="宋体"/>
                <w:sz w:val="24"/>
                <w:szCs w:val="24"/>
                <w:lang w:eastAsia="zh-CN"/>
              </w:rPr>
              <w:t>。</w:t>
            </w:r>
            <w:r>
              <w:rPr>
                <w:rFonts w:hint="eastAsia" w:ascii="宋体" w:hAnsi="宋体" w:cs="宋体"/>
                <w:sz w:val="24"/>
                <w:szCs w:val="24"/>
              </w:rPr>
              <w:t>公司2026年半年度</w:t>
            </w:r>
            <w:r>
              <w:rPr>
                <w:rFonts w:hint="eastAsia" w:ascii="宋体" w:hAnsi="宋体" w:cs="宋体"/>
                <w:sz w:val="24"/>
                <w:szCs w:val="24"/>
                <w:lang w:val="en-US" w:eastAsia="zh-CN"/>
              </w:rPr>
              <w:t>利润分配方案为：</w:t>
            </w:r>
            <w:r>
              <w:rPr>
                <w:rFonts w:hint="eastAsia" w:ascii="宋体" w:hAnsi="宋体" w:cs="宋体"/>
                <w:sz w:val="24"/>
                <w:szCs w:val="24"/>
              </w:rPr>
              <w:t>以实施权益分派股权登记日登记的总股本为基数，向全体股东每股派发现金红利0.15元（含税）。以2026年6月30日总股本3,288,100,259股为基数，预计派发现金红利493</w:t>
            </w:r>
            <w:bookmarkStart w:id="0" w:name="_GoBack"/>
            <w:bookmarkEnd w:id="0"/>
            <w:r>
              <w:rPr>
                <w:rFonts w:hint="eastAsia" w:ascii="宋体" w:hAnsi="宋体" w:cs="宋体"/>
                <w:sz w:val="24"/>
                <w:szCs w:val="24"/>
              </w:rPr>
              <w:t>,215,038.85元（含税）。</w:t>
            </w:r>
            <w:r>
              <w:rPr>
                <w:rFonts w:hint="eastAsia" w:ascii="宋体" w:hAnsi="宋体" w:cs="宋体"/>
                <w:sz w:val="24"/>
                <w:szCs w:val="24"/>
                <w:lang w:val="en-US" w:eastAsia="zh-CN"/>
              </w:rPr>
              <w:t>公司将按照监管要求及时披露相关公告。</w:t>
            </w:r>
          </w:p>
          <w:p w14:paraId="7F3C0B8C">
            <w:pPr>
              <w:pStyle w:val="14"/>
              <w:spacing w:line="460" w:lineRule="exact"/>
              <w:ind w:left="-2" w:leftChars="-1" w:firstLine="480" w:firstLineChars="0"/>
              <w:rPr>
                <w:rFonts w:ascii="宋体" w:hAnsi="宋体"/>
                <w:b/>
                <w:bCs/>
                <w:sz w:val="24"/>
                <w:szCs w:val="24"/>
              </w:rPr>
            </w:pPr>
            <w:r>
              <w:rPr>
                <w:rFonts w:hint="eastAsia" w:ascii="宋体" w:hAnsi="宋体"/>
                <w:b/>
                <w:bCs/>
                <w:sz w:val="24"/>
                <w:szCs w:val="24"/>
                <w:lang w:val="en-US" w:eastAsia="zh-CN"/>
              </w:rPr>
              <w:t>4</w:t>
            </w:r>
            <w:r>
              <w:rPr>
                <w:rFonts w:hint="eastAsia" w:ascii="宋体" w:hAnsi="宋体"/>
                <w:b/>
                <w:bCs/>
                <w:sz w:val="24"/>
                <w:szCs w:val="24"/>
              </w:rPr>
              <w:t>、</w:t>
            </w:r>
            <w:r>
              <w:rPr>
                <w:rFonts w:hint="eastAsia" w:ascii="宋体" w:hAnsi="宋体"/>
                <w:b/>
                <w:bCs/>
                <w:sz w:val="24"/>
                <w:szCs w:val="24"/>
                <w:lang w:val="en-US" w:eastAsia="zh-CN"/>
              </w:rPr>
              <w:t>目前公司采购的原材料价格是否稳定</w:t>
            </w:r>
            <w:r>
              <w:rPr>
                <w:rFonts w:hint="eastAsia" w:ascii="宋体" w:hAnsi="宋体"/>
                <w:b/>
                <w:bCs/>
                <w:sz w:val="24"/>
                <w:szCs w:val="24"/>
              </w:rPr>
              <w:t>？</w:t>
            </w:r>
          </w:p>
          <w:p w14:paraId="0827CE4D">
            <w:pPr>
              <w:pStyle w:val="14"/>
              <w:spacing w:line="460" w:lineRule="exact"/>
              <w:ind w:left="-2" w:leftChars="-1" w:firstLine="480" w:firstLineChars="0"/>
              <w:rPr>
                <w:rFonts w:ascii="宋体" w:hAnsi="宋体"/>
                <w:b/>
                <w:bCs/>
                <w:sz w:val="24"/>
                <w:szCs w:val="24"/>
              </w:rPr>
            </w:pPr>
            <w:r>
              <w:rPr>
                <w:rFonts w:hint="eastAsia" w:ascii="宋体" w:hAnsi="宋体"/>
                <w:sz w:val="24"/>
                <w:szCs w:val="24"/>
              </w:rPr>
              <w:t>答:</w:t>
            </w:r>
            <w:r>
              <w:rPr>
                <w:rFonts w:ascii="宋体" w:hAnsi="宋体"/>
                <w:sz w:val="24"/>
                <w:szCs w:val="24"/>
              </w:rPr>
              <w:t>公司日常会根据各类原材料的市场情况以及需求计划灵活制定采购策略，以</w:t>
            </w:r>
            <w:r>
              <w:rPr>
                <w:rFonts w:hint="eastAsia" w:ascii="宋体" w:hAnsi="宋体"/>
                <w:sz w:val="24"/>
                <w:szCs w:val="24"/>
                <w:lang w:val="en-US" w:eastAsia="zh-CN"/>
              </w:rPr>
              <w:t>降低</w:t>
            </w:r>
            <w:r>
              <w:rPr>
                <w:rFonts w:ascii="宋体" w:hAnsi="宋体"/>
                <w:sz w:val="24"/>
                <w:szCs w:val="24"/>
              </w:rPr>
              <w:t>原材料价格波动对公司带来的不利影响。</w:t>
            </w:r>
          </w:p>
          <w:p w14:paraId="51564487">
            <w:pPr>
              <w:pStyle w:val="14"/>
              <w:spacing w:line="460" w:lineRule="exact"/>
              <w:ind w:left="-2" w:leftChars="-1" w:firstLine="480" w:firstLineChars="0"/>
              <w:rPr>
                <w:rFonts w:ascii="宋体" w:hAnsi="宋体"/>
                <w:b/>
                <w:bCs/>
                <w:sz w:val="24"/>
                <w:szCs w:val="24"/>
              </w:rPr>
            </w:pPr>
            <w:r>
              <w:rPr>
                <w:rFonts w:hint="eastAsia" w:ascii="宋体" w:hAnsi="宋体"/>
                <w:b/>
                <w:bCs/>
                <w:sz w:val="24"/>
                <w:szCs w:val="24"/>
                <w:lang w:val="en-US" w:eastAsia="zh-CN"/>
              </w:rPr>
              <w:t>5</w:t>
            </w:r>
            <w:r>
              <w:rPr>
                <w:rFonts w:hint="eastAsia" w:ascii="宋体" w:hAnsi="宋体"/>
                <w:b/>
                <w:bCs/>
                <w:sz w:val="24"/>
                <w:szCs w:val="24"/>
              </w:rPr>
              <w:t>、</w:t>
            </w:r>
            <w:r>
              <w:rPr>
                <w:rFonts w:hint="eastAsia" w:ascii="宋体" w:hAnsi="宋体"/>
                <w:b/>
                <w:bCs/>
                <w:sz w:val="24"/>
                <w:szCs w:val="24"/>
                <w:lang w:val="en-US" w:eastAsia="zh-CN"/>
              </w:rPr>
              <w:t>公司上半年在新品研发上有产出吗</w:t>
            </w:r>
            <w:r>
              <w:rPr>
                <w:rFonts w:ascii="宋体" w:hAnsi="宋体"/>
                <w:b/>
                <w:bCs/>
                <w:sz w:val="24"/>
                <w:szCs w:val="24"/>
              </w:rPr>
              <w:t>？</w:t>
            </w:r>
          </w:p>
          <w:p w14:paraId="6D98C06A">
            <w:pPr>
              <w:pStyle w:val="14"/>
              <w:spacing w:line="460" w:lineRule="exact"/>
              <w:ind w:left="-2" w:leftChars="-1" w:firstLine="480" w:firstLineChars="0"/>
              <w:rPr>
                <w:rFonts w:hint="eastAsia" w:ascii="宋体" w:hAnsi="宋体"/>
                <w:sz w:val="24"/>
                <w:szCs w:val="24"/>
                <w:lang w:val="en-US" w:eastAsia="zh-CN"/>
              </w:rPr>
            </w:pPr>
            <w:r>
              <w:rPr>
                <w:rFonts w:ascii="宋体" w:hAnsi="宋体"/>
                <w:sz w:val="24"/>
                <w:szCs w:val="24"/>
              </w:rPr>
              <w:t>答:</w:t>
            </w:r>
            <w:r>
              <w:rPr>
                <w:rFonts w:hint="eastAsia" w:ascii="宋体" w:hAnsi="宋体"/>
                <w:sz w:val="24"/>
                <w:szCs w:val="24"/>
                <w:lang w:val="en-US" w:eastAsia="zh-CN"/>
              </w:rPr>
              <w:t>集团坚持全球研发布局与产学研深度融合，在全球建立了4个研发中心，形成覆盖基础研究、应用开发与成果转化的完整创新体系。</w:t>
            </w:r>
          </w:p>
          <w:p w14:paraId="64D01BBC">
            <w:pPr>
              <w:pStyle w:val="14"/>
              <w:spacing w:line="460" w:lineRule="exact"/>
              <w:ind w:left="-2" w:leftChars="-1" w:firstLine="480" w:firstLineChars="0"/>
              <w:rPr>
                <w:rFonts w:hint="eastAsia" w:ascii="宋体" w:hAnsi="宋体"/>
                <w:sz w:val="24"/>
                <w:szCs w:val="24"/>
              </w:rPr>
            </w:pPr>
            <w:r>
              <w:rPr>
                <w:rFonts w:hint="eastAsia" w:ascii="宋体" w:hAnsi="宋体"/>
                <w:sz w:val="24"/>
                <w:szCs w:val="24"/>
                <w:lang w:val="en-US" w:eastAsia="zh-CN"/>
              </w:rPr>
              <w:t>全钢轮胎领域，公司面向海内外市场推出新能源专用、重载、长途干线、矿区工况等多款新品。半钢轮胎领域，高端夏季运动型UHP产品US61顺利投产，兼顾新能源车型对续航与安全性的双重要求；多款冬季轮胎通过欧洲TÜV Mark认证；越野轮胎助力合作车队拿下环塔国际拉力赛多项组别冠军。非公路轮胎业务持续深耕，完成巨型工程子午胎新工艺、耐磨抗切割技术升级</w:t>
            </w:r>
            <w:r>
              <w:rPr>
                <w:rFonts w:hint="eastAsia" w:ascii="宋体" w:hAnsi="宋体"/>
                <w:sz w:val="24"/>
                <w:szCs w:val="24"/>
              </w:rPr>
              <w:t>。</w:t>
            </w:r>
          </w:p>
          <w:p w14:paraId="5E884C2F">
            <w:pPr>
              <w:pStyle w:val="14"/>
              <w:spacing w:line="460" w:lineRule="exact"/>
              <w:ind w:left="-2" w:leftChars="-1" w:firstLine="480" w:firstLineChars="0"/>
              <w:rPr>
                <w:rFonts w:ascii="宋体" w:hAnsi="宋体"/>
                <w:b/>
                <w:bCs/>
                <w:sz w:val="24"/>
                <w:szCs w:val="24"/>
              </w:rPr>
            </w:pPr>
            <w:r>
              <w:rPr>
                <w:rFonts w:hint="eastAsia" w:ascii="宋体" w:hAnsi="宋体"/>
                <w:sz w:val="24"/>
                <w:szCs w:val="24"/>
                <w:lang w:val="en-US" w:eastAsia="zh-CN"/>
              </w:rPr>
              <w:t>此外，2026</w:t>
            </w:r>
            <w:r>
              <w:rPr>
                <w:rFonts w:hint="eastAsia" w:ascii="宋体" w:hAnsi="宋体"/>
                <w:sz w:val="24"/>
                <w:szCs w:val="24"/>
                <w:highlight w:val="none"/>
                <w:lang w:val="en-US" w:eastAsia="zh-CN"/>
              </w:rPr>
              <w:t>年8月，公司联合其他单位攻关的“高端轮胎无人成型智能制造装备研发及</w:t>
            </w:r>
            <w:r>
              <w:rPr>
                <w:rFonts w:hint="eastAsia" w:ascii="宋体" w:hAnsi="宋体"/>
                <w:sz w:val="24"/>
                <w:szCs w:val="24"/>
                <w:lang w:val="en-US" w:eastAsia="zh-CN"/>
              </w:rPr>
              <w:t>应用”项目，荣获2025年度山东省科技进步一等奖。</w:t>
            </w:r>
          </w:p>
          <w:p w14:paraId="29CFA23E">
            <w:pPr>
              <w:pStyle w:val="14"/>
              <w:spacing w:line="460" w:lineRule="exact"/>
              <w:ind w:left="-2" w:leftChars="-1" w:firstLine="480" w:firstLineChars="0"/>
              <w:rPr>
                <w:rFonts w:ascii="宋体" w:hAnsi="宋体"/>
                <w:b/>
                <w:bCs/>
                <w:sz w:val="24"/>
                <w:szCs w:val="24"/>
              </w:rPr>
            </w:pPr>
            <w:r>
              <w:rPr>
                <w:rFonts w:hint="eastAsia" w:ascii="宋体" w:hAnsi="宋体"/>
                <w:b/>
                <w:bCs/>
                <w:sz w:val="24"/>
                <w:szCs w:val="24"/>
                <w:highlight w:val="none"/>
                <w:lang w:val="en-US" w:eastAsia="zh-CN"/>
              </w:rPr>
              <w:t>6、公司半钢配套业务进展</w:t>
            </w:r>
            <w:r>
              <w:rPr>
                <w:rFonts w:hint="eastAsia" w:ascii="宋体" w:hAnsi="宋体"/>
                <w:b/>
                <w:bCs/>
                <w:sz w:val="24"/>
                <w:szCs w:val="24"/>
                <w:highlight w:val="none"/>
              </w:rPr>
              <w:t>？</w:t>
            </w:r>
          </w:p>
          <w:p w14:paraId="5BC61601">
            <w:pPr>
              <w:pStyle w:val="14"/>
              <w:numPr>
                <w:ilvl w:val="-1"/>
                <w:numId w:val="0"/>
              </w:numPr>
              <w:spacing w:line="460" w:lineRule="exact"/>
              <w:ind w:left="-2" w:leftChars="-1" w:firstLine="480" w:firstLineChars="0"/>
              <w:rPr>
                <w:rFonts w:hint="eastAsia" w:ascii="宋体" w:hAnsi="宋体"/>
                <w:b/>
                <w:bCs/>
                <w:sz w:val="24"/>
                <w:szCs w:val="24"/>
              </w:rPr>
            </w:pPr>
            <w:r>
              <w:rPr>
                <w:rFonts w:hint="eastAsia" w:ascii="宋体" w:hAnsi="宋体"/>
                <w:sz w:val="24"/>
                <w:szCs w:val="24"/>
              </w:rPr>
              <w:t>答:</w:t>
            </w:r>
            <w:r>
              <w:rPr>
                <w:rFonts w:hint="eastAsia" w:ascii="宋体" w:hAnsi="宋体"/>
                <w:sz w:val="24"/>
                <w:szCs w:val="24"/>
                <w:lang w:val="en-US" w:eastAsia="zh-CN"/>
              </w:rPr>
              <w:t>公司半钢胎配套结构不断优化，已实现向比亚迪、吉利、奇瑞、长安、红旗、一汽-大众、北汽、蔚来、南京依维柯、越南VinFast、马来西亚宝腾等国内外车企的供货。上半年除原有配套客户外，还实现了对红旗汽车的配套供货，并获得大众汽车多个项目定点；与比亚迪中高端体系深度合作，实现海狮06闪充版车型配套供货及方程豹新项目定点。对东南亚区域持续深耕，实现对相关中资车企在越南、泰国生产基地的稳定供货与数量提升，同时还获得了多个印尼项目定点；在巴西已实现对车企的配套轮胎供货，并取得其他车企的项目定点，全球化配套体系持续完善</w:t>
            </w:r>
            <w:r>
              <w:rPr>
                <w:rFonts w:hint="eastAsia" w:ascii="宋体" w:hAnsi="宋体"/>
                <w:sz w:val="24"/>
                <w:szCs w:val="24"/>
              </w:rPr>
              <w:t>。</w:t>
            </w:r>
          </w:p>
          <w:p w14:paraId="57102298">
            <w:pPr>
              <w:pStyle w:val="14"/>
              <w:spacing w:line="460" w:lineRule="exact"/>
              <w:ind w:left="-2" w:leftChars="-1" w:firstLine="480" w:firstLineChars="0"/>
              <w:rPr>
                <w:rFonts w:ascii="宋体" w:hAnsi="宋体"/>
                <w:b/>
                <w:bCs/>
                <w:sz w:val="24"/>
                <w:szCs w:val="24"/>
              </w:rPr>
            </w:pPr>
            <w:r>
              <w:rPr>
                <w:rFonts w:hint="eastAsia" w:ascii="宋体" w:hAnsi="宋体"/>
                <w:b/>
                <w:bCs/>
                <w:sz w:val="24"/>
                <w:szCs w:val="24"/>
                <w:lang w:val="en-US" w:eastAsia="zh-CN"/>
              </w:rPr>
              <w:t>7</w:t>
            </w:r>
            <w:r>
              <w:rPr>
                <w:rFonts w:hint="eastAsia" w:ascii="宋体" w:hAnsi="宋体"/>
                <w:b/>
                <w:bCs/>
                <w:sz w:val="24"/>
                <w:szCs w:val="24"/>
              </w:rPr>
              <w:t>、</w:t>
            </w:r>
            <w:r>
              <w:rPr>
                <w:rFonts w:hint="eastAsia" w:ascii="宋体" w:hAnsi="宋体"/>
                <w:b/>
                <w:bCs/>
                <w:sz w:val="24"/>
                <w:szCs w:val="24"/>
                <w:lang w:val="en-US" w:eastAsia="zh-CN"/>
              </w:rPr>
              <w:t>公司可持续发展情况</w:t>
            </w:r>
            <w:r>
              <w:rPr>
                <w:rFonts w:hint="eastAsia" w:ascii="宋体" w:hAnsi="宋体"/>
                <w:b/>
                <w:bCs/>
                <w:sz w:val="24"/>
                <w:szCs w:val="24"/>
              </w:rPr>
              <w:t>？</w:t>
            </w:r>
          </w:p>
          <w:p w14:paraId="74B44094">
            <w:pPr>
              <w:pStyle w:val="14"/>
              <w:spacing w:line="460" w:lineRule="exact"/>
              <w:ind w:left="-2" w:leftChars="-1" w:firstLine="480" w:firstLineChars="0"/>
              <w:rPr>
                <w:rFonts w:hint="eastAsia" w:ascii="宋体" w:hAnsi="宋体" w:cs="宋体"/>
                <w:sz w:val="24"/>
                <w:szCs w:val="24"/>
                <w:lang w:val="en-US" w:eastAsia="zh-CN"/>
              </w:rPr>
            </w:pPr>
            <w:r>
              <w:rPr>
                <w:rFonts w:hint="eastAsia" w:ascii="宋体" w:hAnsi="宋体" w:cs="宋体"/>
                <w:sz w:val="24"/>
                <w:szCs w:val="24"/>
                <w:lang w:val="en-US" w:eastAsia="zh-CN"/>
              </w:rPr>
              <w:t>公司深入贯彻可持续发展理念，以“eco+”可持续发展战略为指引，围绕“生态卓越、人文共生、价值驱动、精益治理”四大支柱，聚焦核心行动领域，系统性将可持续发展理念嵌入公司治理顶层架构与全流程生产经营活动。公司凭借创新实践与成效，以及与巴西淡水河谷的ESG协同实践，荣获“上海浦东新区中外企业可持续发展（ESG）产业生态创新大赛”的“创新样本”奖，成为唯一获此殊荣的轮胎企业，同时，公司的短期与长期科学减碳目标通过科学碳目标倡议（SBTi）官方验证，成为中国轮胎行业首家通过SBTi验证的企业。此外，公司凭借液体黄金轮胎全生命周期气候行动实践入选“碳路未来—2025 气候行动典型案例”，系本次唯一入选的轮胎企业。公司MSCI ESG评级升至AA级，位居中国轮胎行业榜首，根据国际权威机构Brand Finance发布的轮胎行业《2025年全球可持续发展报告》，公司位列全球轮胎行业可持续发展排名第8位，位居中国轮胎行业首位。</w:t>
            </w:r>
          </w:p>
        </w:tc>
      </w:tr>
      <w:tr w14:paraId="76708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08" w:type="dxa"/>
            <w:tcBorders>
              <w:top w:val="single" w:color="auto" w:sz="4" w:space="0"/>
              <w:left w:val="single" w:color="auto" w:sz="4" w:space="0"/>
              <w:bottom w:val="single" w:color="auto" w:sz="4" w:space="0"/>
              <w:right w:val="single" w:color="auto" w:sz="4" w:space="0"/>
            </w:tcBorders>
            <w:vAlign w:val="center"/>
          </w:tcPr>
          <w:p w14:paraId="37AFD816">
            <w:pPr>
              <w:spacing w:line="420" w:lineRule="exact"/>
              <w:rPr>
                <w:rFonts w:hAnsi="宋体"/>
                <w:bCs/>
                <w:iCs/>
                <w:color w:val="000000"/>
                <w:kern w:val="0"/>
                <w:sz w:val="24"/>
              </w:rPr>
            </w:pPr>
            <w:r>
              <w:rPr>
                <w:rFonts w:hint="eastAsia" w:hAnsi="宋体"/>
                <w:bCs/>
                <w:iCs/>
                <w:color w:val="000000"/>
                <w:kern w:val="0"/>
                <w:sz w:val="24"/>
              </w:rPr>
              <w:t>关于本次活动是否涉及应披露重大信息的说明</w:t>
            </w:r>
          </w:p>
        </w:tc>
        <w:tc>
          <w:tcPr>
            <w:tcW w:w="7159" w:type="dxa"/>
            <w:tcBorders>
              <w:top w:val="single" w:color="auto" w:sz="4" w:space="0"/>
              <w:left w:val="single" w:color="auto" w:sz="4" w:space="0"/>
              <w:bottom w:val="single" w:color="auto" w:sz="4" w:space="0"/>
              <w:right w:val="single" w:color="auto" w:sz="4" w:space="0"/>
            </w:tcBorders>
          </w:tcPr>
          <w:p w14:paraId="586CC537">
            <w:pPr>
              <w:pStyle w:val="14"/>
              <w:spacing w:line="460" w:lineRule="exact"/>
              <w:ind w:firstLine="0" w:firstLineChars="0"/>
              <w:rPr>
                <w:rFonts w:ascii="宋体" w:hAnsi="宋体"/>
                <w:sz w:val="24"/>
                <w:szCs w:val="24"/>
              </w:rPr>
            </w:pPr>
            <w:r>
              <w:rPr>
                <w:rFonts w:hint="eastAsia" w:ascii="宋体" w:hAnsi="宋体"/>
                <w:sz w:val="24"/>
                <w:szCs w:val="24"/>
              </w:rPr>
              <w:t>无</w:t>
            </w:r>
          </w:p>
        </w:tc>
      </w:tr>
      <w:tr w14:paraId="745C2A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08" w:type="dxa"/>
            <w:tcBorders>
              <w:top w:val="single" w:color="auto" w:sz="4" w:space="0"/>
              <w:left w:val="single" w:color="auto" w:sz="4" w:space="0"/>
              <w:bottom w:val="single" w:color="auto" w:sz="4" w:space="0"/>
              <w:right w:val="single" w:color="auto" w:sz="4" w:space="0"/>
            </w:tcBorders>
            <w:vAlign w:val="center"/>
          </w:tcPr>
          <w:p w14:paraId="23FBB159">
            <w:pPr>
              <w:spacing w:line="420" w:lineRule="exact"/>
              <w:rPr>
                <w:bCs/>
                <w:iCs/>
                <w:color w:val="000000"/>
                <w:kern w:val="0"/>
                <w:sz w:val="24"/>
              </w:rPr>
            </w:pPr>
            <w:r>
              <w:rPr>
                <w:rFonts w:hAnsi="宋体"/>
                <w:bCs/>
                <w:iCs/>
                <w:color w:val="000000"/>
                <w:kern w:val="0"/>
                <w:sz w:val="24"/>
              </w:rPr>
              <w:t>附件清单（如有）</w:t>
            </w:r>
          </w:p>
        </w:tc>
        <w:tc>
          <w:tcPr>
            <w:tcW w:w="7159" w:type="dxa"/>
            <w:tcBorders>
              <w:top w:val="single" w:color="auto" w:sz="4" w:space="0"/>
              <w:left w:val="single" w:color="auto" w:sz="4" w:space="0"/>
              <w:bottom w:val="single" w:color="auto" w:sz="4" w:space="0"/>
              <w:right w:val="single" w:color="auto" w:sz="4" w:space="0"/>
            </w:tcBorders>
          </w:tcPr>
          <w:p w14:paraId="6AED7C54">
            <w:pPr>
              <w:spacing w:line="420" w:lineRule="exact"/>
              <w:rPr>
                <w:bCs/>
                <w:iCs/>
                <w:color w:val="000000"/>
                <w:sz w:val="24"/>
              </w:rPr>
            </w:pPr>
            <w:r>
              <w:rPr>
                <w:rFonts w:hint="eastAsia"/>
                <w:bCs/>
                <w:iCs/>
                <w:color w:val="000000"/>
                <w:sz w:val="24"/>
              </w:rPr>
              <w:t>无</w:t>
            </w:r>
          </w:p>
        </w:tc>
      </w:tr>
    </w:tbl>
    <w:p w14:paraId="55C34ED7"/>
    <w:sectPr>
      <w:headerReference r:id="rId3" w:type="default"/>
      <w:footerReference r:id="rId4" w:type="default"/>
      <w:pgSz w:w="11906" w:h="16838"/>
      <w:pgMar w:top="1418" w:right="1418" w:bottom="1418" w:left="141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Wingdings 2">
    <w:panose1 w:val="05020102010507070707"/>
    <w:charset w:val="02"/>
    <w:family w:val="roman"/>
    <w:pitch w:val="default"/>
    <w:sig w:usb0="00000000" w:usb1="00000000" w:usb2="00000000" w:usb3="00000000" w:csb0="8000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CF20F7">
    <w:pPr>
      <w:pStyle w:val="5"/>
      <w:jc w:val="right"/>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96F6E1">
    <w:pPr>
      <w:pStyle w:val="6"/>
      <w:pBdr>
        <w:bottom w:val="none" w:color="auto" w:sz="0" w:space="0"/>
      </w:pBdr>
      <w:jc w:val="lef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61C7"/>
    <w:rsid w:val="000268C0"/>
    <w:rsid w:val="000363B5"/>
    <w:rsid w:val="000375D7"/>
    <w:rsid w:val="00043015"/>
    <w:rsid w:val="00046DDE"/>
    <w:rsid w:val="00047EB9"/>
    <w:rsid w:val="00060A74"/>
    <w:rsid w:val="00067110"/>
    <w:rsid w:val="000759BE"/>
    <w:rsid w:val="00090A08"/>
    <w:rsid w:val="0009298A"/>
    <w:rsid w:val="000A06FF"/>
    <w:rsid w:val="000A2808"/>
    <w:rsid w:val="000A3BAC"/>
    <w:rsid w:val="000B6E1C"/>
    <w:rsid w:val="000C26FD"/>
    <w:rsid w:val="000C2D85"/>
    <w:rsid w:val="000E5700"/>
    <w:rsid w:val="000F0C4B"/>
    <w:rsid w:val="000F0E22"/>
    <w:rsid w:val="00105A04"/>
    <w:rsid w:val="001169A9"/>
    <w:rsid w:val="00125EB2"/>
    <w:rsid w:val="00142A4C"/>
    <w:rsid w:val="00144279"/>
    <w:rsid w:val="001452FF"/>
    <w:rsid w:val="001514AB"/>
    <w:rsid w:val="00164F36"/>
    <w:rsid w:val="0016617A"/>
    <w:rsid w:val="00167E99"/>
    <w:rsid w:val="0017500C"/>
    <w:rsid w:val="001943FE"/>
    <w:rsid w:val="001975AB"/>
    <w:rsid w:val="001A00F5"/>
    <w:rsid w:val="001A1F65"/>
    <w:rsid w:val="001A5CE9"/>
    <w:rsid w:val="001C50AD"/>
    <w:rsid w:val="001C53CF"/>
    <w:rsid w:val="001D22EE"/>
    <w:rsid w:val="001D4C89"/>
    <w:rsid w:val="001E1838"/>
    <w:rsid w:val="001E3145"/>
    <w:rsid w:val="001E6509"/>
    <w:rsid w:val="001E7968"/>
    <w:rsid w:val="001F34CD"/>
    <w:rsid w:val="0021223F"/>
    <w:rsid w:val="0022180A"/>
    <w:rsid w:val="00223ABC"/>
    <w:rsid w:val="002241B9"/>
    <w:rsid w:val="002274D9"/>
    <w:rsid w:val="0023455A"/>
    <w:rsid w:val="00237994"/>
    <w:rsid w:val="00250810"/>
    <w:rsid w:val="00251D58"/>
    <w:rsid w:val="00252824"/>
    <w:rsid w:val="002530EE"/>
    <w:rsid w:val="002549E6"/>
    <w:rsid w:val="00256602"/>
    <w:rsid w:val="0026685A"/>
    <w:rsid w:val="00271C8D"/>
    <w:rsid w:val="00273B53"/>
    <w:rsid w:val="002774F7"/>
    <w:rsid w:val="0028080C"/>
    <w:rsid w:val="00281089"/>
    <w:rsid w:val="00284D8E"/>
    <w:rsid w:val="00295257"/>
    <w:rsid w:val="00297703"/>
    <w:rsid w:val="002A0826"/>
    <w:rsid w:val="002A0984"/>
    <w:rsid w:val="002A0F7E"/>
    <w:rsid w:val="002A589B"/>
    <w:rsid w:val="002A5CE1"/>
    <w:rsid w:val="002B1184"/>
    <w:rsid w:val="002B71B8"/>
    <w:rsid w:val="002B7469"/>
    <w:rsid w:val="002C22C6"/>
    <w:rsid w:val="002C23FC"/>
    <w:rsid w:val="002C6568"/>
    <w:rsid w:val="002C723B"/>
    <w:rsid w:val="002D2151"/>
    <w:rsid w:val="002D39BC"/>
    <w:rsid w:val="002D4E50"/>
    <w:rsid w:val="002D5E38"/>
    <w:rsid w:val="002D6611"/>
    <w:rsid w:val="002E1B15"/>
    <w:rsid w:val="002E1D3A"/>
    <w:rsid w:val="002F556B"/>
    <w:rsid w:val="003005F0"/>
    <w:rsid w:val="00300E73"/>
    <w:rsid w:val="003030BF"/>
    <w:rsid w:val="00304F89"/>
    <w:rsid w:val="00306023"/>
    <w:rsid w:val="00324953"/>
    <w:rsid w:val="00327D5D"/>
    <w:rsid w:val="00344914"/>
    <w:rsid w:val="00346917"/>
    <w:rsid w:val="00354A7B"/>
    <w:rsid w:val="00360FDA"/>
    <w:rsid w:val="00363075"/>
    <w:rsid w:val="00367D18"/>
    <w:rsid w:val="00372A1C"/>
    <w:rsid w:val="0037435A"/>
    <w:rsid w:val="00377D8F"/>
    <w:rsid w:val="00383679"/>
    <w:rsid w:val="003A1E68"/>
    <w:rsid w:val="003B0122"/>
    <w:rsid w:val="003B0BE5"/>
    <w:rsid w:val="003B424A"/>
    <w:rsid w:val="003D18F1"/>
    <w:rsid w:val="003E001E"/>
    <w:rsid w:val="003F7C4D"/>
    <w:rsid w:val="0040075F"/>
    <w:rsid w:val="00403300"/>
    <w:rsid w:val="004118C0"/>
    <w:rsid w:val="00417A31"/>
    <w:rsid w:val="0042004B"/>
    <w:rsid w:val="00421A4F"/>
    <w:rsid w:val="00433384"/>
    <w:rsid w:val="0043777D"/>
    <w:rsid w:val="00456810"/>
    <w:rsid w:val="0045767F"/>
    <w:rsid w:val="00463E9B"/>
    <w:rsid w:val="00467414"/>
    <w:rsid w:val="004713D3"/>
    <w:rsid w:val="00473F30"/>
    <w:rsid w:val="0048591A"/>
    <w:rsid w:val="00486D86"/>
    <w:rsid w:val="0048721A"/>
    <w:rsid w:val="004A0BD5"/>
    <w:rsid w:val="004A1BBF"/>
    <w:rsid w:val="004A73E5"/>
    <w:rsid w:val="004C19BF"/>
    <w:rsid w:val="004D7640"/>
    <w:rsid w:val="004E1A9B"/>
    <w:rsid w:val="004E76B6"/>
    <w:rsid w:val="00500AB6"/>
    <w:rsid w:val="005155FB"/>
    <w:rsid w:val="00523907"/>
    <w:rsid w:val="00533D7F"/>
    <w:rsid w:val="00537C53"/>
    <w:rsid w:val="005438F5"/>
    <w:rsid w:val="00544901"/>
    <w:rsid w:val="00545A2E"/>
    <w:rsid w:val="005474D3"/>
    <w:rsid w:val="00550737"/>
    <w:rsid w:val="00551B41"/>
    <w:rsid w:val="00555DD2"/>
    <w:rsid w:val="00565819"/>
    <w:rsid w:val="00565ED9"/>
    <w:rsid w:val="0057339F"/>
    <w:rsid w:val="005760C6"/>
    <w:rsid w:val="00585A1B"/>
    <w:rsid w:val="00591260"/>
    <w:rsid w:val="00591314"/>
    <w:rsid w:val="00593D40"/>
    <w:rsid w:val="00595F1B"/>
    <w:rsid w:val="005A3BE0"/>
    <w:rsid w:val="005B1026"/>
    <w:rsid w:val="005B642F"/>
    <w:rsid w:val="005C04C1"/>
    <w:rsid w:val="005C1785"/>
    <w:rsid w:val="005D2D87"/>
    <w:rsid w:val="005D6A09"/>
    <w:rsid w:val="005E2B4B"/>
    <w:rsid w:val="005E5F63"/>
    <w:rsid w:val="005E6BA1"/>
    <w:rsid w:val="00601B92"/>
    <w:rsid w:val="0060779A"/>
    <w:rsid w:val="00617A62"/>
    <w:rsid w:val="00622F13"/>
    <w:rsid w:val="00625503"/>
    <w:rsid w:val="0062662D"/>
    <w:rsid w:val="00632E78"/>
    <w:rsid w:val="006344F1"/>
    <w:rsid w:val="00637186"/>
    <w:rsid w:val="00641810"/>
    <w:rsid w:val="00645D80"/>
    <w:rsid w:val="00646DF4"/>
    <w:rsid w:val="00651DE6"/>
    <w:rsid w:val="006523BB"/>
    <w:rsid w:val="00652928"/>
    <w:rsid w:val="0065347E"/>
    <w:rsid w:val="00654B49"/>
    <w:rsid w:val="00662505"/>
    <w:rsid w:val="00664538"/>
    <w:rsid w:val="0066674C"/>
    <w:rsid w:val="006760F7"/>
    <w:rsid w:val="00682777"/>
    <w:rsid w:val="006861C7"/>
    <w:rsid w:val="00686DDF"/>
    <w:rsid w:val="00697B12"/>
    <w:rsid w:val="006A55BB"/>
    <w:rsid w:val="006A7613"/>
    <w:rsid w:val="006B661A"/>
    <w:rsid w:val="006B7D00"/>
    <w:rsid w:val="006B7EA0"/>
    <w:rsid w:val="006C6BC5"/>
    <w:rsid w:val="006D61A2"/>
    <w:rsid w:val="006E1DB4"/>
    <w:rsid w:val="00714059"/>
    <w:rsid w:val="00716833"/>
    <w:rsid w:val="00723BFA"/>
    <w:rsid w:val="00726DC9"/>
    <w:rsid w:val="00753DB6"/>
    <w:rsid w:val="007555E7"/>
    <w:rsid w:val="00763847"/>
    <w:rsid w:val="007702B4"/>
    <w:rsid w:val="00771FE3"/>
    <w:rsid w:val="00776BDE"/>
    <w:rsid w:val="007816EC"/>
    <w:rsid w:val="007845A3"/>
    <w:rsid w:val="00786870"/>
    <w:rsid w:val="00792237"/>
    <w:rsid w:val="0079272A"/>
    <w:rsid w:val="00794A1A"/>
    <w:rsid w:val="007A1DA9"/>
    <w:rsid w:val="007B2252"/>
    <w:rsid w:val="007B79D9"/>
    <w:rsid w:val="007C67B1"/>
    <w:rsid w:val="007D3272"/>
    <w:rsid w:val="007E354A"/>
    <w:rsid w:val="007E69C8"/>
    <w:rsid w:val="0080525B"/>
    <w:rsid w:val="008062C5"/>
    <w:rsid w:val="0080741A"/>
    <w:rsid w:val="00814B5B"/>
    <w:rsid w:val="00836F34"/>
    <w:rsid w:val="00843E73"/>
    <w:rsid w:val="00844EBF"/>
    <w:rsid w:val="00854F61"/>
    <w:rsid w:val="0086193F"/>
    <w:rsid w:val="00864202"/>
    <w:rsid w:val="00873B59"/>
    <w:rsid w:val="0087701F"/>
    <w:rsid w:val="0089283D"/>
    <w:rsid w:val="00893108"/>
    <w:rsid w:val="00896F6C"/>
    <w:rsid w:val="008A0ADC"/>
    <w:rsid w:val="008A1813"/>
    <w:rsid w:val="008A1BAB"/>
    <w:rsid w:val="008B38B7"/>
    <w:rsid w:val="008B458E"/>
    <w:rsid w:val="008C4D4A"/>
    <w:rsid w:val="008D14CC"/>
    <w:rsid w:val="008E11AE"/>
    <w:rsid w:val="008E1708"/>
    <w:rsid w:val="008E1E3A"/>
    <w:rsid w:val="008E25C7"/>
    <w:rsid w:val="008E4844"/>
    <w:rsid w:val="00904492"/>
    <w:rsid w:val="00904DFB"/>
    <w:rsid w:val="0091457B"/>
    <w:rsid w:val="00923763"/>
    <w:rsid w:val="00930C19"/>
    <w:rsid w:val="00930ED6"/>
    <w:rsid w:val="0093293F"/>
    <w:rsid w:val="00933105"/>
    <w:rsid w:val="0094408E"/>
    <w:rsid w:val="00944147"/>
    <w:rsid w:val="009474EF"/>
    <w:rsid w:val="00962626"/>
    <w:rsid w:val="00975657"/>
    <w:rsid w:val="009767DD"/>
    <w:rsid w:val="00977AF2"/>
    <w:rsid w:val="00985FC5"/>
    <w:rsid w:val="00991CFA"/>
    <w:rsid w:val="00993BDD"/>
    <w:rsid w:val="009A6DFB"/>
    <w:rsid w:val="009B6EC0"/>
    <w:rsid w:val="009C7FAF"/>
    <w:rsid w:val="009D4199"/>
    <w:rsid w:val="009E5E6A"/>
    <w:rsid w:val="009F0DD5"/>
    <w:rsid w:val="009F1B95"/>
    <w:rsid w:val="009F58E0"/>
    <w:rsid w:val="009F6C05"/>
    <w:rsid w:val="00A05FD7"/>
    <w:rsid w:val="00A12C73"/>
    <w:rsid w:val="00A13CB6"/>
    <w:rsid w:val="00A14A1A"/>
    <w:rsid w:val="00A22CDD"/>
    <w:rsid w:val="00A25AEE"/>
    <w:rsid w:val="00A31EB1"/>
    <w:rsid w:val="00A33AEA"/>
    <w:rsid w:val="00A3668F"/>
    <w:rsid w:val="00A43D62"/>
    <w:rsid w:val="00A461CD"/>
    <w:rsid w:val="00A469C5"/>
    <w:rsid w:val="00A5317D"/>
    <w:rsid w:val="00A6284E"/>
    <w:rsid w:val="00A63E81"/>
    <w:rsid w:val="00A8775A"/>
    <w:rsid w:val="00AA5998"/>
    <w:rsid w:val="00AB07E7"/>
    <w:rsid w:val="00AD1BA8"/>
    <w:rsid w:val="00AE49A4"/>
    <w:rsid w:val="00B02A29"/>
    <w:rsid w:val="00B03522"/>
    <w:rsid w:val="00B04AD6"/>
    <w:rsid w:val="00B14CAA"/>
    <w:rsid w:val="00B24C80"/>
    <w:rsid w:val="00B257CE"/>
    <w:rsid w:val="00B377C1"/>
    <w:rsid w:val="00B4746C"/>
    <w:rsid w:val="00B65354"/>
    <w:rsid w:val="00B71A0E"/>
    <w:rsid w:val="00B80C24"/>
    <w:rsid w:val="00B81765"/>
    <w:rsid w:val="00B832F5"/>
    <w:rsid w:val="00BA2FAB"/>
    <w:rsid w:val="00BB4BD0"/>
    <w:rsid w:val="00BB5E28"/>
    <w:rsid w:val="00BC7AD1"/>
    <w:rsid w:val="00BD15F3"/>
    <w:rsid w:val="00BD7986"/>
    <w:rsid w:val="00BD79D3"/>
    <w:rsid w:val="00C01D49"/>
    <w:rsid w:val="00C04F82"/>
    <w:rsid w:val="00C15AC0"/>
    <w:rsid w:val="00C26030"/>
    <w:rsid w:val="00C41091"/>
    <w:rsid w:val="00C45222"/>
    <w:rsid w:val="00C63056"/>
    <w:rsid w:val="00C661D1"/>
    <w:rsid w:val="00C735E6"/>
    <w:rsid w:val="00C73E0A"/>
    <w:rsid w:val="00C753D3"/>
    <w:rsid w:val="00C775BA"/>
    <w:rsid w:val="00C85331"/>
    <w:rsid w:val="00C85A50"/>
    <w:rsid w:val="00C94D46"/>
    <w:rsid w:val="00CA443A"/>
    <w:rsid w:val="00CB2461"/>
    <w:rsid w:val="00CB37FD"/>
    <w:rsid w:val="00CC4D65"/>
    <w:rsid w:val="00CC61E7"/>
    <w:rsid w:val="00CD25AD"/>
    <w:rsid w:val="00CD2FB8"/>
    <w:rsid w:val="00CD3FFC"/>
    <w:rsid w:val="00CE493F"/>
    <w:rsid w:val="00CF565C"/>
    <w:rsid w:val="00D016A3"/>
    <w:rsid w:val="00D10C83"/>
    <w:rsid w:val="00D31004"/>
    <w:rsid w:val="00D512E3"/>
    <w:rsid w:val="00D602C9"/>
    <w:rsid w:val="00D659D1"/>
    <w:rsid w:val="00D8372D"/>
    <w:rsid w:val="00D94E90"/>
    <w:rsid w:val="00D96EE2"/>
    <w:rsid w:val="00DA26A9"/>
    <w:rsid w:val="00DB01FF"/>
    <w:rsid w:val="00DC291C"/>
    <w:rsid w:val="00DC7778"/>
    <w:rsid w:val="00DD594E"/>
    <w:rsid w:val="00DE7391"/>
    <w:rsid w:val="00DF2DB5"/>
    <w:rsid w:val="00DF361E"/>
    <w:rsid w:val="00DF6560"/>
    <w:rsid w:val="00E03F1F"/>
    <w:rsid w:val="00E0422F"/>
    <w:rsid w:val="00E04CC0"/>
    <w:rsid w:val="00E136FF"/>
    <w:rsid w:val="00E32528"/>
    <w:rsid w:val="00E35F26"/>
    <w:rsid w:val="00E43DF6"/>
    <w:rsid w:val="00E51C50"/>
    <w:rsid w:val="00E53165"/>
    <w:rsid w:val="00E61EF7"/>
    <w:rsid w:val="00E663B4"/>
    <w:rsid w:val="00E80CEB"/>
    <w:rsid w:val="00E971F4"/>
    <w:rsid w:val="00EA5103"/>
    <w:rsid w:val="00EA6FB9"/>
    <w:rsid w:val="00EB5E6A"/>
    <w:rsid w:val="00EC2AD7"/>
    <w:rsid w:val="00ED7DE0"/>
    <w:rsid w:val="00EE3956"/>
    <w:rsid w:val="00EE7891"/>
    <w:rsid w:val="00EF2EC8"/>
    <w:rsid w:val="00EF3388"/>
    <w:rsid w:val="00EF49FE"/>
    <w:rsid w:val="00EF5341"/>
    <w:rsid w:val="00F00714"/>
    <w:rsid w:val="00F04908"/>
    <w:rsid w:val="00F07C21"/>
    <w:rsid w:val="00F12EF6"/>
    <w:rsid w:val="00F21065"/>
    <w:rsid w:val="00F24311"/>
    <w:rsid w:val="00F24CB4"/>
    <w:rsid w:val="00F43465"/>
    <w:rsid w:val="00F45475"/>
    <w:rsid w:val="00F64E72"/>
    <w:rsid w:val="00F70C7D"/>
    <w:rsid w:val="00F9272E"/>
    <w:rsid w:val="00F95565"/>
    <w:rsid w:val="00F96D8F"/>
    <w:rsid w:val="00F97743"/>
    <w:rsid w:val="00FA64EF"/>
    <w:rsid w:val="00FA6DAF"/>
    <w:rsid w:val="00FC6884"/>
    <w:rsid w:val="00FE62F3"/>
    <w:rsid w:val="00FF2D81"/>
    <w:rsid w:val="00FF71D2"/>
    <w:rsid w:val="010C0FBF"/>
    <w:rsid w:val="014E47A4"/>
    <w:rsid w:val="024B5C25"/>
    <w:rsid w:val="02A71995"/>
    <w:rsid w:val="02F43955"/>
    <w:rsid w:val="03872335"/>
    <w:rsid w:val="04074A2A"/>
    <w:rsid w:val="041148EE"/>
    <w:rsid w:val="045E6982"/>
    <w:rsid w:val="04CD4E0D"/>
    <w:rsid w:val="04E5152E"/>
    <w:rsid w:val="05207AA1"/>
    <w:rsid w:val="053F335C"/>
    <w:rsid w:val="05F30D52"/>
    <w:rsid w:val="06E17628"/>
    <w:rsid w:val="06F82B7E"/>
    <w:rsid w:val="07275CE5"/>
    <w:rsid w:val="07B20C20"/>
    <w:rsid w:val="07BA5E31"/>
    <w:rsid w:val="07BC033E"/>
    <w:rsid w:val="07E84685"/>
    <w:rsid w:val="07EA33B7"/>
    <w:rsid w:val="07F43921"/>
    <w:rsid w:val="0837350B"/>
    <w:rsid w:val="083F4D57"/>
    <w:rsid w:val="08582CB3"/>
    <w:rsid w:val="0888352F"/>
    <w:rsid w:val="08964C8B"/>
    <w:rsid w:val="08E5231F"/>
    <w:rsid w:val="090360D7"/>
    <w:rsid w:val="093D3C5E"/>
    <w:rsid w:val="09955729"/>
    <w:rsid w:val="099B29F9"/>
    <w:rsid w:val="0A312134"/>
    <w:rsid w:val="0A63192C"/>
    <w:rsid w:val="0ACC5CE8"/>
    <w:rsid w:val="0AFA761E"/>
    <w:rsid w:val="0BC07254"/>
    <w:rsid w:val="0C493B9B"/>
    <w:rsid w:val="0C911330"/>
    <w:rsid w:val="0C93758E"/>
    <w:rsid w:val="0D1A3D9C"/>
    <w:rsid w:val="0D4D0B5F"/>
    <w:rsid w:val="0D4D2354"/>
    <w:rsid w:val="0D666523"/>
    <w:rsid w:val="0D966F17"/>
    <w:rsid w:val="0DC47F11"/>
    <w:rsid w:val="0DEB6B03"/>
    <w:rsid w:val="0E1D5BD4"/>
    <w:rsid w:val="0E207A31"/>
    <w:rsid w:val="0EDC54B6"/>
    <w:rsid w:val="0FA30C9F"/>
    <w:rsid w:val="0FD733BC"/>
    <w:rsid w:val="108D6EB8"/>
    <w:rsid w:val="10A61842"/>
    <w:rsid w:val="110F4875"/>
    <w:rsid w:val="11600FCF"/>
    <w:rsid w:val="12DF0C65"/>
    <w:rsid w:val="12E87AEB"/>
    <w:rsid w:val="13313537"/>
    <w:rsid w:val="13544387"/>
    <w:rsid w:val="13706BF0"/>
    <w:rsid w:val="137F11E8"/>
    <w:rsid w:val="13811984"/>
    <w:rsid w:val="13C4450D"/>
    <w:rsid w:val="141B6967"/>
    <w:rsid w:val="14304EC9"/>
    <w:rsid w:val="143F6870"/>
    <w:rsid w:val="147565DF"/>
    <w:rsid w:val="14CE5B5B"/>
    <w:rsid w:val="14D57ABB"/>
    <w:rsid w:val="14E70151"/>
    <w:rsid w:val="158B67E1"/>
    <w:rsid w:val="1628759E"/>
    <w:rsid w:val="165C02A1"/>
    <w:rsid w:val="16975FB0"/>
    <w:rsid w:val="16C01B54"/>
    <w:rsid w:val="16D2356A"/>
    <w:rsid w:val="172C1957"/>
    <w:rsid w:val="17363AA3"/>
    <w:rsid w:val="175C51BC"/>
    <w:rsid w:val="17B3729E"/>
    <w:rsid w:val="17E96DCA"/>
    <w:rsid w:val="17F95A0A"/>
    <w:rsid w:val="180F7009"/>
    <w:rsid w:val="18567E5D"/>
    <w:rsid w:val="18D93A98"/>
    <w:rsid w:val="19277BC7"/>
    <w:rsid w:val="19384E4C"/>
    <w:rsid w:val="195106E6"/>
    <w:rsid w:val="19BD3E5D"/>
    <w:rsid w:val="19E37083"/>
    <w:rsid w:val="1A442861"/>
    <w:rsid w:val="1A51497C"/>
    <w:rsid w:val="1A5F2288"/>
    <w:rsid w:val="1A816DFF"/>
    <w:rsid w:val="1AC35C7E"/>
    <w:rsid w:val="1B1D2492"/>
    <w:rsid w:val="1B2418A5"/>
    <w:rsid w:val="1B263D19"/>
    <w:rsid w:val="1B415A19"/>
    <w:rsid w:val="1C1B07AD"/>
    <w:rsid w:val="1CB15A1E"/>
    <w:rsid w:val="1D445E50"/>
    <w:rsid w:val="1D812873"/>
    <w:rsid w:val="1E1A6F96"/>
    <w:rsid w:val="1E6D3A4C"/>
    <w:rsid w:val="1E8F5DA1"/>
    <w:rsid w:val="1FBFC074"/>
    <w:rsid w:val="203C5BD3"/>
    <w:rsid w:val="204B02F6"/>
    <w:rsid w:val="2052439D"/>
    <w:rsid w:val="206E768C"/>
    <w:rsid w:val="20A21C41"/>
    <w:rsid w:val="20AF57CA"/>
    <w:rsid w:val="211B6FA2"/>
    <w:rsid w:val="21AB744A"/>
    <w:rsid w:val="21DE12B6"/>
    <w:rsid w:val="21E26D9D"/>
    <w:rsid w:val="22050DDE"/>
    <w:rsid w:val="22531071"/>
    <w:rsid w:val="22B65ABC"/>
    <w:rsid w:val="23B83520"/>
    <w:rsid w:val="240F1744"/>
    <w:rsid w:val="241C2252"/>
    <w:rsid w:val="244A38CE"/>
    <w:rsid w:val="247456DF"/>
    <w:rsid w:val="2485597A"/>
    <w:rsid w:val="24A501A2"/>
    <w:rsid w:val="24E80350"/>
    <w:rsid w:val="2510555E"/>
    <w:rsid w:val="2518296A"/>
    <w:rsid w:val="25213F70"/>
    <w:rsid w:val="257B30A7"/>
    <w:rsid w:val="25AC38D5"/>
    <w:rsid w:val="261D2E7F"/>
    <w:rsid w:val="26372DC2"/>
    <w:rsid w:val="26492CDC"/>
    <w:rsid w:val="26AB47E5"/>
    <w:rsid w:val="26C339D5"/>
    <w:rsid w:val="27486743"/>
    <w:rsid w:val="27950D85"/>
    <w:rsid w:val="27E94D39"/>
    <w:rsid w:val="27FC492A"/>
    <w:rsid w:val="280645A5"/>
    <w:rsid w:val="28B03A1C"/>
    <w:rsid w:val="29167E25"/>
    <w:rsid w:val="29254846"/>
    <w:rsid w:val="293272A7"/>
    <w:rsid w:val="2936378C"/>
    <w:rsid w:val="298E08BA"/>
    <w:rsid w:val="29A71DB7"/>
    <w:rsid w:val="29AC03B5"/>
    <w:rsid w:val="29B52BCB"/>
    <w:rsid w:val="29FA2D3E"/>
    <w:rsid w:val="2A2003A2"/>
    <w:rsid w:val="2A2618A2"/>
    <w:rsid w:val="2A923B80"/>
    <w:rsid w:val="2A924D25"/>
    <w:rsid w:val="2A9422A9"/>
    <w:rsid w:val="2AED757D"/>
    <w:rsid w:val="2B285F9E"/>
    <w:rsid w:val="2B620922"/>
    <w:rsid w:val="2B734E9D"/>
    <w:rsid w:val="2BA7533C"/>
    <w:rsid w:val="2C177530"/>
    <w:rsid w:val="2C253D8E"/>
    <w:rsid w:val="2C4460A7"/>
    <w:rsid w:val="2CF14F20"/>
    <w:rsid w:val="2DBB077A"/>
    <w:rsid w:val="2DCB41D6"/>
    <w:rsid w:val="2E256BC7"/>
    <w:rsid w:val="2E592F1A"/>
    <w:rsid w:val="2E687965"/>
    <w:rsid w:val="2E8B1648"/>
    <w:rsid w:val="2EF06807"/>
    <w:rsid w:val="2F3A1C8E"/>
    <w:rsid w:val="2F8A1FFE"/>
    <w:rsid w:val="2F94550B"/>
    <w:rsid w:val="2FB34177"/>
    <w:rsid w:val="2FD315FB"/>
    <w:rsid w:val="2FF91C3F"/>
    <w:rsid w:val="305B4C29"/>
    <w:rsid w:val="30700449"/>
    <w:rsid w:val="31105E66"/>
    <w:rsid w:val="31B85A3E"/>
    <w:rsid w:val="31F54A45"/>
    <w:rsid w:val="31FD161E"/>
    <w:rsid w:val="320E6A5D"/>
    <w:rsid w:val="32406492"/>
    <w:rsid w:val="327645E7"/>
    <w:rsid w:val="32CC663E"/>
    <w:rsid w:val="33645CC3"/>
    <w:rsid w:val="33A23960"/>
    <w:rsid w:val="33E21941"/>
    <w:rsid w:val="3488335F"/>
    <w:rsid w:val="349E052A"/>
    <w:rsid w:val="34A301D0"/>
    <w:rsid w:val="34D652B4"/>
    <w:rsid w:val="34FD33C1"/>
    <w:rsid w:val="35415B1D"/>
    <w:rsid w:val="35917824"/>
    <w:rsid w:val="359B46F3"/>
    <w:rsid w:val="35B61405"/>
    <w:rsid w:val="35DC7F6D"/>
    <w:rsid w:val="36160449"/>
    <w:rsid w:val="363E7508"/>
    <w:rsid w:val="3698771E"/>
    <w:rsid w:val="36BE50F4"/>
    <w:rsid w:val="36FB9E1F"/>
    <w:rsid w:val="36FC5627"/>
    <w:rsid w:val="3741073C"/>
    <w:rsid w:val="381D5949"/>
    <w:rsid w:val="387B2C93"/>
    <w:rsid w:val="38D32EB4"/>
    <w:rsid w:val="38DA69D3"/>
    <w:rsid w:val="393A6248"/>
    <w:rsid w:val="39590076"/>
    <w:rsid w:val="3961212F"/>
    <w:rsid w:val="39970D31"/>
    <w:rsid w:val="39C443D2"/>
    <w:rsid w:val="39FE388F"/>
    <w:rsid w:val="3A811618"/>
    <w:rsid w:val="3AE95412"/>
    <w:rsid w:val="3B517531"/>
    <w:rsid w:val="3BFA3B96"/>
    <w:rsid w:val="3C197A65"/>
    <w:rsid w:val="3C4A44EB"/>
    <w:rsid w:val="3CAF7E6D"/>
    <w:rsid w:val="3CE226B1"/>
    <w:rsid w:val="3CEF3472"/>
    <w:rsid w:val="3D834ACE"/>
    <w:rsid w:val="3E572604"/>
    <w:rsid w:val="3E6B460E"/>
    <w:rsid w:val="3E73157F"/>
    <w:rsid w:val="3E86281D"/>
    <w:rsid w:val="3EFF16E9"/>
    <w:rsid w:val="3F6825F3"/>
    <w:rsid w:val="3F7D54CC"/>
    <w:rsid w:val="3F9603D9"/>
    <w:rsid w:val="3FCD71CD"/>
    <w:rsid w:val="402C16C5"/>
    <w:rsid w:val="40952455"/>
    <w:rsid w:val="40CD3EC6"/>
    <w:rsid w:val="417D7544"/>
    <w:rsid w:val="419210A2"/>
    <w:rsid w:val="420E64EB"/>
    <w:rsid w:val="4213434C"/>
    <w:rsid w:val="428377AF"/>
    <w:rsid w:val="42C03D90"/>
    <w:rsid w:val="42DB23BC"/>
    <w:rsid w:val="42F76469"/>
    <w:rsid w:val="431F67B4"/>
    <w:rsid w:val="43EC12FF"/>
    <w:rsid w:val="43FB5176"/>
    <w:rsid w:val="445F30DB"/>
    <w:rsid w:val="448156A1"/>
    <w:rsid w:val="44A12290"/>
    <w:rsid w:val="44D218B8"/>
    <w:rsid w:val="450A4511"/>
    <w:rsid w:val="45321F95"/>
    <w:rsid w:val="45811178"/>
    <w:rsid w:val="46947ED0"/>
    <w:rsid w:val="472965B9"/>
    <w:rsid w:val="478712AE"/>
    <w:rsid w:val="47A24893"/>
    <w:rsid w:val="47C71D42"/>
    <w:rsid w:val="4823219D"/>
    <w:rsid w:val="484D40EA"/>
    <w:rsid w:val="485729AA"/>
    <w:rsid w:val="48B37F53"/>
    <w:rsid w:val="490B575C"/>
    <w:rsid w:val="49330481"/>
    <w:rsid w:val="499D3A9F"/>
    <w:rsid w:val="499D4576"/>
    <w:rsid w:val="49AB2B98"/>
    <w:rsid w:val="49CE5F56"/>
    <w:rsid w:val="49F02C87"/>
    <w:rsid w:val="49FA39A7"/>
    <w:rsid w:val="4A041E7F"/>
    <w:rsid w:val="4A59738B"/>
    <w:rsid w:val="4A6B702A"/>
    <w:rsid w:val="4AD9315C"/>
    <w:rsid w:val="4AFD441A"/>
    <w:rsid w:val="4B0D7215"/>
    <w:rsid w:val="4B0F5A0D"/>
    <w:rsid w:val="4B465D0E"/>
    <w:rsid w:val="4BA27FBC"/>
    <w:rsid w:val="4C1C56C7"/>
    <w:rsid w:val="4C2F3402"/>
    <w:rsid w:val="4D2526C9"/>
    <w:rsid w:val="4D506E7B"/>
    <w:rsid w:val="4D864777"/>
    <w:rsid w:val="4DE91E71"/>
    <w:rsid w:val="4E1370FB"/>
    <w:rsid w:val="4E166300"/>
    <w:rsid w:val="4E291C1E"/>
    <w:rsid w:val="4E2F3499"/>
    <w:rsid w:val="4EBA27E3"/>
    <w:rsid w:val="4EC95731"/>
    <w:rsid w:val="4F8C651D"/>
    <w:rsid w:val="4F9323C9"/>
    <w:rsid w:val="4FEB4EA6"/>
    <w:rsid w:val="50B41C78"/>
    <w:rsid w:val="50B463F5"/>
    <w:rsid w:val="50B7737A"/>
    <w:rsid w:val="50E41142"/>
    <w:rsid w:val="513E42F5"/>
    <w:rsid w:val="515458B0"/>
    <w:rsid w:val="518537EA"/>
    <w:rsid w:val="51874D64"/>
    <w:rsid w:val="51F4195F"/>
    <w:rsid w:val="527111C9"/>
    <w:rsid w:val="52733715"/>
    <w:rsid w:val="52A56BA5"/>
    <w:rsid w:val="53634460"/>
    <w:rsid w:val="5388729E"/>
    <w:rsid w:val="53AB0651"/>
    <w:rsid w:val="53BF706C"/>
    <w:rsid w:val="549338FF"/>
    <w:rsid w:val="54994F4D"/>
    <w:rsid w:val="55286314"/>
    <w:rsid w:val="552E13E0"/>
    <w:rsid w:val="565B781E"/>
    <w:rsid w:val="56611B3C"/>
    <w:rsid w:val="56CB6786"/>
    <w:rsid w:val="56D604B0"/>
    <w:rsid w:val="56E76DAC"/>
    <w:rsid w:val="573A3ECB"/>
    <w:rsid w:val="57AA7B05"/>
    <w:rsid w:val="57E4165B"/>
    <w:rsid w:val="581157B6"/>
    <w:rsid w:val="58356479"/>
    <w:rsid w:val="58B0047A"/>
    <w:rsid w:val="58ED0274"/>
    <w:rsid w:val="590E07A8"/>
    <w:rsid w:val="592C42F5"/>
    <w:rsid w:val="59E542B1"/>
    <w:rsid w:val="5A196F18"/>
    <w:rsid w:val="5A604790"/>
    <w:rsid w:val="5A650D5A"/>
    <w:rsid w:val="5A686798"/>
    <w:rsid w:val="5B7A4104"/>
    <w:rsid w:val="5B7E2B2B"/>
    <w:rsid w:val="5BD62EE5"/>
    <w:rsid w:val="5C26156B"/>
    <w:rsid w:val="5C3C41E3"/>
    <w:rsid w:val="5CAA57DD"/>
    <w:rsid w:val="5CBC0AC3"/>
    <w:rsid w:val="5CD76845"/>
    <w:rsid w:val="5CF8569A"/>
    <w:rsid w:val="5D121B72"/>
    <w:rsid w:val="5D350B78"/>
    <w:rsid w:val="5D3A0B7D"/>
    <w:rsid w:val="5D464695"/>
    <w:rsid w:val="5DAE4E34"/>
    <w:rsid w:val="5DD82899"/>
    <w:rsid w:val="5E5D5DF2"/>
    <w:rsid w:val="5ECF671B"/>
    <w:rsid w:val="5EE4753E"/>
    <w:rsid w:val="5F314559"/>
    <w:rsid w:val="5FE72FC9"/>
    <w:rsid w:val="601257DB"/>
    <w:rsid w:val="60216979"/>
    <w:rsid w:val="603B10E3"/>
    <w:rsid w:val="60D46992"/>
    <w:rsid w:val="60E648BD"/>
    <w:rsid w:val="61001EB2"/>
    <w:rsid w:val="61146382"/>
    <w:rsid w:val="61CE3805"/>
    <w:rsid w:val="61D01DD2"/>
    <w:rsid w:val="61F0786B"/>
    <w:rsid w:val="62D83CB7"/>
    <w:rsid w:val="630D3729"/>
    <w:rsid w:val="631B780A"/>
    <w:rsid w:val="63340B4D"/>
    <w:rsid w:val="63C76407"/>
    <w:rsid w:val="63C7659C"/>
    <w:rsid w:val="63F4247E"/>
    <w:rsid w:val="6413431C"/>
    <w:rsid w:val="642671DC"/>
    <w:rsid w:val="64671F01"/>
    <w:rsid w:val="646C3068"/>
    <w:rsid w:val="64BA262A"/>
    <w:rsid w:val="64CC5BCB"/>
    <w:rsid w:val="653A410A"/>
    <w:rsid w:val="657E5B22"/>
    <w:rsid w:val="65FE7991"/>
    <w:rsid w:val="66AA5270"/>
    <w:rsid w:val="67001099"/>
    <w:rsid w:val="67587146"/>
    <w:rsid w:val="683A2C86"/>
    <w:rsid w:val="685C2C70"/>
    <w:rsid w:val="68751207"/>
    <w:rsid w:val="687D428F"/>
    <w:rsid w:val="68D56618"/>
    <w:rsid w:val="69BD686D"/>
    <w:rsid w:val="69F814E0"/>
    <w:rsid w:val="69F91A4B"/>
    <w:rsid w:val="6A090B86"/>
    <w:rsid w:val="6AA129DF"/>
    <w:rsid w:val="6AAB4860"/>
    <w:rsid w:val="6ADE0725"/>
    <w:rsid w:val="6B106B72"/>
    <w:rsid w:val="6B527023"/>
    <w:rsid w:val="6B925083"/>
    <w:rsid w:val="6BFA733C"/>
    <w:rsid w:val="6C737CFB"/>
    <w:rsid w:val="6E072310"/>
    <w:rsid w:val="6E480B7B"/>
    <w:rsid w:val="6EA35B19"/>
    <w:rsid w:val="6EA665E1"/>
    <w:rsid w:val="6EDD17F3"/>
    <w:rsid w:val="6F247A8A"/>
    <w:rsid w:val="6F2871E3"/>
    <w:rsid w:val="6F4A74A4"/>
    <w:rsid w:val="6F734DE5"/>
    <w:rsid w:val="6F9817A2"/>
    <w:rsid w:val="6FE44502"/>
    <w:rsid w:val="70236471"/>
    <w:rsid w:val="70426DA6"/>
    <w:rsid w:val="705160B5"/>
    <w:rsid w:val="70766666"/>
    <w:rsid w:val="70A66632"/>
    <w:rsid w:val="70FA1D49"/>
    <w:rsid w:val="71333506"/>
    <w:rsid w:val="718D24AC"/>
    <w:rsid w:val="71905711"/>
    <w:rsid w:val="723306AF"/>
    <w:rsid w:val="724C61CB"/>
    <w:rsid w:val="72753AB5"/>
    <w:rsid w:val="728B6EC5"/>
    <w:rsid w:val="734E202F"/>
    <w:rsid w:val="7468238A"/>
    <w:rsid w:val="74E03D43"/>
    <w:rsid w:val="755F2B0A"/>
    <w:rsid w:val="75760AE5"/>
    <w:rsid w:val="75F436FE"/>
    <w:rsid w:val="76573DB4"/>
    <w:rsid w:val="76A72C39"/>
    <w:rsid w:val="76D67F05"/>
    <w:rsid w:val="779276DF"/>
    <w:rsid w:val="779C26DE"/>
    <w:rsid w:val="77CF73AC"/>
    <w:rsid w:val="780D45FF"/>
    <w:rsid w:val="781C344D"/>
    <w:rsid w:val="786B3053"/>
    <w:rsid w:val="78FF0116"/>
    <w:rsid w:val="79006EC8"/>
    <w:rsid w:val="79401402"/>
    <w:rsid w:val="796400B3"/>
    <w:rsid w:val="79B24925"/>
    <w:rsid w:val="79E47B44"/>
    <w:rsid w:val="7A3157EF"/>
    <w:rsid w:val="7A5E1EB6"/>
    <w:rsid w:val="7ADE2779"/>
    <w:rsid w:val="7AF44B85"/>
    <w:rsid w:val="7B1200DF"/>
    <w:rsid w:val="7B1E408D"/>
    <w:rsid w:val="7C656439"/>
    <w:rsid w:val="7C7B6547"/>
    <w:rsid w:val="7CA95199"/>
    <w:rsid w:val="7CD96954"/>
    <w:rsid w:val="7D253043"/>
    <w:rsid w:val="7D3B6687"/>
    <w:rsid w:val="7D5E7E3F"/>
    <w:rsid w:val="7D6C41BB"/>
    <w:rsid w:val="7DC115C4"/>
    <w:rsid w:val="7DD62F81"/>
    <w:rsid w:val="7DD84285"/>
    <w:rsid w:val="7DF0789D"/>
    <w:rsid w:val="7E14406C"/>
    <w:rsid w:val="7E1878B9"/>
    <w:rsid w:val="7E2471D6"/>
    <w:rsid w:val="7E737D25"/>
    <w:rsid w:val="7E857F9E"/>
    <w:rsid w:val="7E9E4F16"/>
    <w:rsid w:val="7EB01A8A"/>
    <w:rsid w:val="B7DDD54D"/>
    <w:rsid w:val="E3FFE6ED"/>
    <w:rsid w:val="F5DB8A63"/>
    <w:rsid w:val="F797912E"/>
    <w:rsid w:val="FE7B48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qFormat="1" w:uiPriority="0" w:semiHidden="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0" w:semiHidden="0" w:name="Hyperlink"/>
    <w:lsdException w:qFormat="1"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qFormat="1"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spacing w:beforeAutospacing="1" w:afterAutospacing="1"/>
      <w:jc w:val="left"/>
      <w:outlineLvl w:val="0"/>
    </w:pPr>
    <w:rPr>
      <w:rFonts w:hint="eastAsia" w:ascii="宋体" w:hAnsi="宋体"/>
      <w:b/>
      <w:bCs/>
      <w:kern w:val="44"/>
      <w:sz w:val="48"/>
      <w:szCs w:val="48"/>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21"/>
    <w:unhideWhenUsed/>
    <w:qFormat/>
    <w:uiPriority w:val="0"/>
    <w:pPr>
      <w:jc w:val="left"/>
    </w:pPr>
  </w:style>
  <w:style w:type="paragraph" w:styleId="4">
    <w:name w:val="Balloon Text"/>
    <w:basedOn w:val="1"/>
    <w:link w:val="20"/>
    <w:qFormat/>
    <w:uiPriority w:val="0"/>
    <w:rPr>
      <w:sz w:val="18"/>
      <w:szCs w:val="18"/>
    </w:rPr>
  </w:style>
  <w:style w:type="paragraph" w:styleId="5">
    <w:name w:val="footer"/>
    <w:basedOn w:val="1"/>
    <w:link w:val="18"/>
    <w:qFormat/>
    <w:uiPriority w:val="0"/>
    <w:pPr>
      <w:tabs>
        <w:tab w:val="center" w:pos="4153"/>
        <w:tab w:val="right" w:pos="8306"/>
      </w:tabs>
      <w:snapToGrid w:val="0"/>
      <w:jc w:val="left"/>
    </w:pPr>
    <w:rPr>
      <w:sz w:val="18"/>
      <w:szCs w:val="18"/>
    </w:rPr>
  </w:style>
  <w:style w:type="paragraph" w:styleId="6">
    <w:name w:val="header"/>
    <w:basedOn w:val="1"/>
    <w:link w:val="19"/>
    <w:qFormat/>
    <w:uiPriority w:val="0"/>
    <w:pPr>
      <w:pBdr>
        <w:bottom w:val="single" w:color="auto" w:sz="6" w:space="1"/>
      </w:pBdr>
      <w:tabs>
        <w:tab w:val="center" w:pos="4153"/>
        <w:tab w:val="right" w:pos="8306"/>
      </w:tabs>
      <w:snapToGrid w:val="0"/>
      <w:jc w:val="center"/>
    </w:pPr>
    <w:rPr>
      <w:sz w:val="18"/>
      <w:szCs w:val="18"/>
    </w:rPr>
  </w:style>
  <w:style w:type="paragraph" w:styleId="7">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kern w:val="0"/>
      <w:sz w:val="24"/>
    </w:rPr>
  </w:style>
  <w:style w:type="paragraph" w:styleId="8">
    <w:name w:val="annotation subject"/>
    <w:basedOn w:val="3"/>
    <w:next w:val="3"/>
    <w:link w:val="22"/>
    <w:semiHidden/>
    <w:unhideWhenUsed/>
    <w:qFormat/>
    <w:uiPriority w:val="0"/>
    <w:rPr>
      <w:b/>
      <w:bCs/>
    </w:rPr>
  </w:style>
  <w:style w:type="character" w:styleId="11">
    <w:name w:val="FollowedHyperlink"/>
    <w:basedOn w:val="10"/>
    <w:semiHidden/>
    <w:unhideWhenUsed/>
    <w:qFormat/>
    <w:uiPriority w:val="0"/>
    <w:rPr>
      <w:color w:val="800080" w:themeColor="followedHyperlink"/>
      <w:u w:val="single"/>
      <w14:textFill>
        <w14:solidFill>
          <w14:schemeClr w14:val="folHlink"/>
        </w14:solidFill>
      </w14:textFill>
    </w:rPr>
  </w:style>
  <w:style w:type="character" w:styleId="12">
    <w:name w:val="Hyperlink"/>
    <w:basedOn w:val="10"/>
    <w:unhideWhenUsed/>
    <w:qFormat/>
    <w:uiPriority w:val="0"/>
    <w:rPr>
      <w:color w:val="0000FF" w:themeColor="hyperlink"/>
      <w:u w:val="single"/>
      <w14:textFill>
        <w14:solidFill>
          <w14:schemeClr w14:val="hlink"/>
        </w14:solidFill>
      </w14:textFill>
    </w:rPr>
  </w:style>
  <w:style w:type="character" w:styleId="13">
    <w:name w:val="annotation reference"/>
    <w:basedOn w:val="10"/>
    <w:semiHidden/>
    <w:unhideWhenUsed/>
    <w:qFormat/>
    <w:uiPriority w:val="0"/>
    <w:rPr>
      <w:sz w:val="21"/>
      <w:szCs w:val="21"/>
    </w:rPr>
  </w:style>
  <w:style w:type="paragraph" w:customStyle="1" w:styleId="14">
    <w:name w:val="_Style 6"/>
    <w:basedOn w:val="1"/>
    <w:qFormat/>
    <w:uiPriority w:val="34"/>
    <w:pPr>
      <w:ind w:firstLine="420" w:firstLineChars="200"/>
    </w:pPr>
    <w:rPr>
      <w:rFonts w:ascii="Calibri" w:hAnsi="Calibri"/>
      <w:szCs w:val="22"/>
    </w:rPr>
  </w:style>
  <w:style w:type="paragraph" w:customStyle="1" w:styleId="15">
    <w:name w:val="Char Char Char"/>
    <w:basedOn w:val="1"/>
    <w:qFormat/>
    <w:uiPriority w:val="0"/>
    <w:rPr>
      <w:szCs w:val="21"/>
    </w:rPr>
  </w:style>
  <w:style w:type="paragraph" w:customStyle="1" w:styleId="16">
    <w:name w:val="Char Char Char Char Char Char Char Char Char Char Char Char Char Char Char Char"/>
    <w:basedOn w:val="1"/>
    <w:qFormat/>
    <w:uiPriority w:val="0"/>
  </w:style>
  <w:style w:type="paragraph" w:customStyle="1" w:styleId="17">
    <w:name w:val="Char Char Char1"/>
    <w:basedOn w:val="1"/>
    <w:qFormat/>
    <w:uiPriority w:val="0"/>
  </w:style>
  <w:style w:type="character" w:customStyle="1" w:styleId="18">
    <w:name w:val="页脚 字符"/>
    <w:basedOn w:val="10"/>
    <w:link w:val="5"/>
    <w:qFormat/>
    <w:uiPriority w:val="0"/>
    <w:rPr>
      <w:kern w:val="2"/>
      <w:sz w:val="18"/>
      <w:szCs w:val="18"/>
    </w:rPr>
  </w:style>
  <w:style w:type="character" w:customStyle="1" w:styleId="19">
    <w:name w:val="页眉 字符"/>
    <w:basedOn w:val="10"/>
    <w:link w:val="6"/>
    <w:qFormat/>
    <w:uiPriority w:val="0"/>
    <w:rPr>
      <w:kern w:val="2"/>
      <w:sz w:val="18"/>
      <w:szCs w:val="18"/>
    </w:rPr>
  </w:style>
  <w:style w:type="character" w:customStyle="1" w:styleId="20">
    <w:name w:val="批注框文本 字符"/>
    <w:basedOn w:val="10"/>
    <w:link w:val="4"/>
    <w:qFormat/>
    <w:uiPriority w:val="0"/>
    <w:rPr>
      <w:kern w:val="2"/>
      <w:sz w:val="18"/>
      <w:szCs w:val="18"/>
    </w:rPr>
  </w:style>
  <w:style w:type="character" w:customStyle="1" w:styleId="21">
    <w:name w:val="批注文字 字符"/>
    <w:basedOn w:val="10"/>
    <w:link w:val="3"/>
    <w:qFormat/>
    <w:uiPriority w:val="0"/>
    <w:rPr>
      <w:kern w:val="2"/>
      <w:sz w:val="21"/>
      <w:szCs w:val="24"/>
    </w:rPr>
  </w:style>
  <w:style w:type="character" w:customStyle="1" w:styleId="22">
    <w:name w:val="批注主题 字符"/>
    <w:basedOn w:val="21"/>
    <w:link w:val="8"/>
    <w:semiHidden/>
    <w:qFormat/>
    <w:uiPriority w:val="0"/>
    <w:rPr>
      <w:b/>
      <w:bCs/>
      <w:kern w:val="2"/>
      <w:sz w:val="21"/>
      <w:szCs w:val="24"/>
    </w:rPr>
  </w:style>
  <w:style w:type="paragraph" w:styleId="23">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5157f3aa-adda-47ac-b3b6-d8fa8c1e21fb</errorID>
      <errorWord>轮胎</errorWord>
      <group>L1_Grammar</group>
      <groupName>语法问题</groupName>
      <ability>L2_Grammar</ability>
      <abilityName>语法错误</abilityName>
      <candidateList>
        <item>集团股份有限公司</item>
      </candidateList>
      <explain/>
      <paraID>169B3CB3</paraID>
      <start>59</start>
      <end>61</end>
      <status>unmodified</status>
      <modifiedWord/>
      <trackRevisions>false</trackRevisions>
    </reviewItem>
    <reviewItem>
      <errorID>8ff58ed5-280e-4719-be1c-75cf5d7a37ce</errorID>
      <errorWord>:</errorWord>
      <group>L1_Format</group>
      <groupName>格式问题</groupName>
      <ability>L2_HalfPunc_CN</ability>
      <abilityName>全半角问题</abilityName>
      <candidateList>
        <item>：</item>
      </candidateList>
      <explain>文本全半角错误。</explain>
      <paraID> 4B587F0</paraID>
      <start>19</start>
      <end>20</end>
      <status>unmodified</status>
      <modifiedWord/>
      <trackRevisions>false</trackRevisions>
    </reviewItem>
    <reviewItem>
      <errorID>db251392-1ff7-4828-b4c5-8c7bc6756ad7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11DF7924</paraID>
      <start>0</start>
      <end>2</end>
      <status>unmodified</status>
      <modifiedWord/>
      <trackRevisions>false</trackRevisions>
    </reviewItem>
    <reviewItem>
      <errorID>e070a88b-a281-49c1-995b-039ed59bf1a8</errorID>
      <errorWord>4,697.49万条</errorWord>
      <group>L1_Other</group>
      <groupName>其他问题</groupName>
      <ability>L2_Consistency</ability>
      <abilityName>一致性检查</abilityName>
      <candidateList>
        <item>4,697.48万条</item>
      </candidateList>
      <explain>数字一致性，原文前文披露上半年轮胎产量为4,697.48万条，此处产量数字不一致</explain>
      <paraID>4477C8A0</paraID>
      <start>44</start>
      <end>54</end>
      <status>unmodified</status>
      <modifiedWord/>
      <trackRevisions>false</trackRevisions>
    </reviewItem>
    <reviewItem>
      <errorID>59de38fc-26d1-4743-aa78-2f77af9d9f33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4F464831</paraID>
      <start>0</start>
      <end>2</end>
      <status>unmodified</status>
      <modifiedWord/>
      <trackRevisions>false</trackRevisions>
    </reviewItem>
    <reviewItem>
      <errorID>e988345c-bf52-4ef6-b025-0f080330cae2</errorID>
      <errorWord>:</errorWord>
      <group>L1_Format</group>
      <groupName>格式问题</groupName>
      <ability>L2_HalfPunc_CN</ability>
      <abilityName>全半角问题</abilityName>
      <candidateList>
        <item>：</item>
      </candidateList>
      <explain>文本全半角错误。</explain>
      <paraID> 522E27B</paraID>
      <start>1</start>
      <end>2</end>
      <status>unmodified</status>
      <modifiedWord/>
      <trackRevisions>false</trackRevisions>
    </reviewItem>
    <reviewItem>
      <errorID>14ccaacc-78e7-4b8d-8782-ef840366cd31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634613B7</paraID>
      <start>0</start>
      <end>2</end>
      <status>unmodified</status>
      <modifiedWord/>
      <trackRevisions>false</trackRevisions>
    </reviewItem>
    <reviewItem>
      <errorID>0c72cc73-8f4a-40c8-b1d2-281ab7d4cdac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7F3C0B8C</paraID>
      <start>0</start>
      <end>2</end>
      <status>unmodified</status>
      <modifiedWord/>
      <trackRevisions>false</trackRevisions>
    </reviewItem>
    <reviewItem>
      <errorID>dc16b15d-2778-40df-a227-1a9fcadd22df</errorID>
      <errorWord>:</errorWord>
      <group>L1_Format</group>
      <groupName>格式问题</groupName>
      <ability>L2_HalfPunc_CN</ability>
      <abilityName>全半角问题</abilityName>
      <candidateList>
        <item>：</item>
      </candidateList>
      <explain>文本全半角错误。</explain>
      <paraID> 827CE4D</paraID>
      <start>1</start>
      <end>2</end>
      <status>unmodified</status>
      <modifiedWord/>
      <trackRevisions>false</trackRevisions>
    </reviewItem>
    <reviewItem>
      <errorID>5c981ae8-a8e5-4a43-9f9d-91d42842050d</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51564487</paraID>
      <start>0</start>
      <end>2</end>
      <status>unmodified</status>
      <modifiedWord/>
      <trackRevisions>false</trackRevisions>
    </reviewItem>
    <reviewItem>
      <errorID>6e8781ce-1624-47de-87a4-95739fb20eec</errorID>
      <errorWord>:</errorWord>
      <group>L1_Format</group>
      <groupName>格式问题</groupName>
      <ability>L2_HalfPunc_CN</ability>
      <abilityName>全半角问题</abilityName>
      <candidateList>
        <item>：</item>
      </candidateList>
      <explain>文本全半角错误。</explain>
      <paraID>6D98C06A</paraID>
      <start>1</start>
      <end>2</end>
      <status>unmodified</status>
      <modifiedWord/>
      <trackRevisions>false</trackRevisions>
    </reviewItem>
    <reviewItem>
      <errorID>01597552-e655-4c19-b5b8-ec127112efc8</errorID>
      <errorWord>科技进步一等奖</errorWord>
      <group>L1_Political</group>
      <groupName>政治性问题</groupName>
      <ability>L2_Unpolitical</ability>
      <abilityName>政治敏感错误</abilityName>
      <candidateList>
        <item>科技进步奖一等奖</item>
      </candidateList>
      <explain/>
      <paraID>5E884C2F</paraID>
      <start>57</start>
      <end>64</end>
      <status>unmodified</status>
      <modifiedWord/>
      <trackRevisions>false</trackRevisions>
    </reviewItem>
    <reviewItem>
      <errorID>58253265-4559-4933-b796-c98e7ce89d73</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29CFA23E</paraID>
      <start>0</start>
      <end>2</end>
      <status>unmodified</status>
      <modifiedWord/>
      <trackRevisions>false</trackRevisions>
    </reviewItem>
    <reviewItem>
      <errorID>517dda2d-0f1a-47cb-990b-002d90bd751c</errorID>
      <errorWord>:</errorWord>
      <group>L1_Format</group>
      <groupName>格式问题</groupName>
      <ability>L2_HalfPunc_CN</ability>
      <abilityName>全半角问题</abilityName>
      <candidateList>
        <item>：</item>
      </candidateList>
      <explain>文本全半角错误。</explain>
      <paraID>5BC61601</paraID>
      <start>1</start>
      <end>2</end>
      <status>unmodified</status>
      <modifiedWord/>
      <trackRevisions>false</trackRevisions>
    </reviewItem>
    <reviewItem>
      <errorID>89eb2d02-0537-443b-8971-0ba2c4922c34</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57102298</paraID>
      <start>0</start>
      <end>2</end>
      <status>unmodified</status>
      <modifiedWord/>
      <trackRevisions>false</trackRevisions>
    </reviewItem>
    <reviewItem>
      <errorID>da2814b0-3014-48f1-aafc-eec55a0c4867</errorID>
      <errorWord>四大支柱</errorWord>
      <group>L1_Political</group>
      <groupName>政治性问题</groupName>
      <ability>L2_Unpolitical</ability>
      <abilityName>政治敏感错误</abilityName>
      <candidateList/>
      <explain>“台独”</explain>
      <paraID>74B44094</paraID>
      <start>55</start>
      <end>59</end>
      <status>unmodified</status>
      <modifiedWord/>
      <trackRevisions>false</trackRevisions>
    </reviewItem>
    <reviewItem>
      <errorID>766ba05b-b58a-45be-ba8c-969da24ccacd</errorID>
      <errorWord>排名第</errorWord>
      <group>L1_Grammar</group>
      <groupName>语法问题</groupName>
      <ability>L2_Grammar</ability>
      <abilityName>语法错误</abilityName>
      <candidateList>
        <item>第</item>
      </candidateList>
      <explain/>
      <paraID>74B44094</paraID>
      <start>404</start>
      <end>407</end>
      <status>unmodified</status>
      <modifiedWord/>
      <trackRevisions>false</trackRevisions>
    </reviewItem>
  </reviewItems>
  <config/>
</contractReview>
</file>

<file path=customXml/itemProps1.xml><?xml version="1.0" encoding="utf-8"?>
<ds:datastoreItem xmlns:ds="http://schemas.openxmlformats.org/officeDocument/2006/customXml" ds:itemID="{4197fb3f-e578-4ef4-94c5-d4ba96463ce7}">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4</Pages>
  <Words>2272</Words>
  <Characters>2484</Characters>
  <Lines>29</Lines>
  <Paragraphs>8</Paragraphs>
  <TotalTime>75</TotalTime>
  <ScaleCrop>false</ScaleCrop>
  <LinksUpToDate>false</LinksUpToDate>
  <CharactersWithSpaces>2590</CharactersWithSpaces>
  <Application>WPS Office_12.1.0.28022_F1E327BC-269C-435d-A152-05C5408002CA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2025-04-30T03:49:00Z</dcterms:created>
  <dc:creator>微软用户</dc:creator>
  <cp:lastModifiedBy>曲蕾</cp:lastModifiedBy>
  <cp:lastPrinted>2014-02-21T05:34:00Z</cp:lastPrinted>
  <dcterms:modified xsi:type="dcterms:W3CDTF">2026-08-31T06:28:23Z</dcterms:modified>
  <cp:revision>38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2052-12.1.0.28022</vt:lpwstr>
  </property>
  <property fmtid="{D5CDD505-2E9C-101B-9397-08002B2CF9AE}" pid="3" name="ICV">
    <vt:lpwstr>551BA10BE3E44B739D75810B8C83C31F</vt:lpwstr>
  </property>
  <property fmtid="{D5CDD505-2E9C-101B-9397-08002B2CF9AE}" pid="4" name="KSOTemplateDocerSaveRecord">
    <vt:lpwstr>eyJoZGlkIjoiM2UyODQ1ZGNkNGNjODBlMmNkMThkM2FjYzQ5MDE5ZmQiLCJ1c2VySWQiOiIxNzY1NTU4MDEyIn0=</vt:lpwstr>
  </property>
</Properties>
</file>