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eastAsia" w:ascii="宋体" w:hAnsi="宋体" w:eastAsia="宋体"/>
          <w:sz w:val="24"/>
          <w:szCs w:val="24"/>
        </w:rPr>
      </w:pPr>
      <w:r>
        <w:rPr>
          <w:rFonts w:ascii="宋体" w:hAnsi="宋体" w:eastAsia="宋体"/>
          <w:sz w:val="24"/>
          <w:szCs w:val="24"/>
        </w:rPr>
        <w:t>证券代码：</w:t>
      </w:r>
      <w:r>
        <w:rPr>
          <w:rFonts w:hint="eastAsia" w:ascii="宋体" w:hAnsi="宋体" w:eastAsia="宋体"/>
          <w:sz w:val="24"/>
          <w:szCs w:val="24"/>
        </w:rPr>
        <w:t>600887</w:t>
      </w:r>
      <w:r>
        <w:rPr>
          <w:rFonts w:ascii="宋体" w:hAnsi="宋体" w:eastAsia="宋体"/>
          <w:sz w:val="24"/>
          <w:szCs w:val="24"/>
        </w:rPr>
        <w:t xml:space="preserve"> </w:t>
      </w:r>
      <w:r>
        <w:rPr>
          <w:rFonts w:hint="eastAsia" w:ascii="宋体" w:hAnsi="宋体" w:eastAsia="宋体"/>
          <w:sz w:val="24"/>
          <w:szCs w:val="24"/>
        </w:rPr>
        <w:t xml:space="preserve">                             </w:t>
      </w:r>
      <w:r>
        <w:rPr>
          <w:rFonts w:ascii="宋体" w:hAnsi="宋体" w:eastAsia="宋体"/>
          <w:sz w:val="24"/>
          <w:szCs w:val="24"/>
        </w:rPr>
        <w:t xml:space="preserve">     证券简称：</w:t>
      </w:r>
      <w:r>
        <w:rPr>
          <w:rFonts w:hint="eastAsia" w:ascii="宋体" w:hAnsi="宋体" w:eastAsia="宋体"/>
          <w:sz w:val="24"/>
          <w:szCs w:val="24"/>
        </w:rPr>
        <w:t>伊利股份</w:t>
      </w:r>
    </w:p>
    <w:p>
      <w:pPr>
        <w:spacing w:line="360" w:lineRule="auto"/>
        <w:jc w:val="center"/>
        <w:rPr>
          <w:b/>
          <w:bCs/>
          <w:sz w:val="24"/>
          <w:szCs w:val="24"/>
        </w:rPr>
      </w:pPr>
      <w:r>
        <w:rPr>
          <w:rFonts w:hint="eastAsia"/>
          <w:b/>
          <w:bCs/>
          <w:sz w:val="24"/>
          <w:szCs w:val="24"/>
        </w:rPr>
        <w:t>内蒙古伊利实业集团股份有限公司</w:t>
      </w:r>
    </w:p>
    <w:p>
      <w:pPr>
        <w:spacing w:line="360" w:lineRule="auto"/>
        <w:jc w:val="center"/>
        <w:rPr>
          <w:b/>
          <w:bCs/>
          <w:sz w:val="24"/>
          <w:szCs w:val="24"/>
        </w:rPr>
      </w:pPr>
      <w:r>
        <w:rPr>
          <w:b/>
          <w:bCs/>
          <w:sz w:val="24"/>
          <w:szCs w:val="24"/>
        </w:rPr>
        <w:t>投资者关系活动记录表</w:t>
      </w:r>
    </w:p>
    <w:p>
      <w:pPr>
        <w:spacing w:line="360" w:lineRule="auto"/>
        <w:ind w:right="1200"/>
        <w:jc w:val="right"/>
        <w:rPr>
          <w:sz w:val="24"/>
          <w:szCs w:val="24"/>
        </w:rPr>
      </w:pPr>
      <w:r>
        <w:rPr>
          <w:rFonts w:hint="eastAsia"/>
          <w:sz w:val="24"/>
          <w:szCs w:val="24"/>
        </w:rPr>
        <w:t>编号：20260</w:t>
      </w:r>
      <w:r>
        <w:rPr>
          <w:sz w:val="24"/>
          <w:szCs w:val="24"/>
        </w:rPr>
        <w:t>8</w:t>
      </w:r>
      <w:r>
        <w:rPr>
          <w:rFonts w:hint="eastAsia"/>
          <w:sz w:val="24"/>
          <w:szCs w:val="24"/>
        </w:rPr>
        <w:t>27</w:t>
      </w:r>
    </w:p>
    <w:tbl>
      <w:tblPr>
        <w:tblStyle w:val="8"/>
        <w:tblW w:w="84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5"/>
        <w:gridCol w:w="6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0" w:hRule="atLeast"/>
          <w:jc w:val="center"/>
        </w:trPr>
        <w:tc>
          <w:tcPr>
            <w:tcW w:w="1695" w:type="dxa"/>
            <w:vAlign w:val="center"/>
          </w:tcPr>
          <w:p>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投资者关系</w:t>
            </w:r>
          </w:p>
          <w:p>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活动类别</w:t>
            </w:r>
          </w:p>
        </w:tc>
        <w:tc>
          <w:tcPr>
            <w:tcW w:w="6793" w:type="dxa"/>
            <w:vAlign w:val="center"/>
          </w:tcPr>
          <w:p>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 xml:space="preserve">特定对象调研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分析师会议</w:t>
            </w:r>
          </w:p>
          <w:p>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 xml:space="preserve">媒体采访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sym w:font="Wingdings 2" w:char="0052"/>
            </w:r>
            <w:r>
              <w:rPr>
                <w:rFonts w:hint="eastAsia" w:ascii="Liberation Serif" w:hAnsi="Liberation Serif" w:eastAsia="宋体" w:cs="Arial"/>
                <w:kern w:val="0"/>
                <w:sz w:val="24"/>
                <w:szCs w:val="24"/>
              </w:rPr>
              <w:t>业绩说明会</w:t>
            </w:r>
          </w:p>
          <w:p>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 xml:space="preserve">新闻发布会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路演活动</w:t>
            </w:r>
          </w:p>
          <w:p>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 xml:space="preserve">现场参观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7" w:hRule="atLeast"/>
          <w:jc w:val="center"/>
        </w:trPr>
        <w:tc>
          <w:tcPr>
            <w:tcW w:w="1695" w:type="dxa"/>
            <w:vAlign w:val="center"/>
          </w:tcPr>
          <w:p>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参与单位名称及人员姓名</w:t>
            </w:r>
          </w:p>
        </w:tc>
        <w:tc>
          <w:tcPr>
            <w:tcW w:w="6793" w:type="dxa"/>
          </w:tcPr>
          <w:p>
            <w:pPr>
              <w:spacing w:line="360" w:lineRule="auto"/>
              <w:jc w:val="left"/>
              <w:rPr>
                <w:rFonts w:hint="eastAsia" w:cs="Arial" w:asciiTheme="minorEastAsia" w:hAnsiTheme="minorEastAsia"/>
                <w:kern w:val="0"/>
                <w:sz w:val="24"/>
                <w:szCs w:val="24"/>
              </w:rPr>
            </w:pPr>
            <w:r>
              <w:rPr>
                <w:rFonts w:hint="eastAsia" w:cs="Arial" w:asciiTheme="minorEastAsia" w:hAnsiTheme="minorEastAsia"/>
                <w:kern w:val="0"/>
                <w:sz w:val="24"/>
                <w:szCs w:val="24"/>
              </w:rPr>
              <w:t>参与伊利股份2026年半年度业绩说明会的广大投资者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95" w:type="dxa"/>
            <w:vAlign w:val="center"/>
          </w:tcPr>
          <w:p>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 xml:space="preserve">时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t>间</w:t>
            </w:r>
          </w:p>
        </w:tc>
        <w:tc>
          <w:tcPr>
            <w:tcW w:w="6793" w:type="dxa"/>
          </w:tcPr>
          <w:p>
            <w:pPr>
              <w:spacing w:line="360" w:lineRule="auto"/>
              <w:jc w:val="left"/>
              <w:rPr>
                <w:rFonts w:hint="eastAsia" w:cs="Arial" w:asciiTheme="minorEastAsia" w:hAnsiTheme="minorEastAsia"/>
                <w:kern w:val="0"/>
                <w:sz w:val="24"/>
                <w:szCs w:val="24"/>
              </w:rPr>
            </w:pPr>
            <w:r>
              <w:rPr>
                <w:rFonts w:hint="eastAsia" w:cs="Arial" w:asciiTheme="minorEastAsia" w:hAnsiTheme="minorEastAsia"/>
                <w:kern w:val="0"/>
                <w:sz w:val="24"/>
                <w:szCs w:val="24"/>
              </w:rPr>
              <w:t>2026年</w:t>
            </w:r>
            <w:r>
              <w:rPr>
                <w:rFonts w:cs="Arial" w:asciiTheme="minorEastAsia" w:hAnsiTheme="minorEastAsia"/>
                <w:kern w:val="0"/>
                <w:sz w:val="24"/>
                <w:szCs w:val="24"/>
              </w:rPr>
              <w:t>8</w:t>
            </w:r>
            <w:r>
              <w:rPr>
                <w:rFonts w:hint="eastAsia" w:cs="Arial" w:asciiTheme="minorEastAsia" w:hAnsiTheme="minorEastAsia"/>
                <w:kern w:val="0"/>
                <w:sz w:val="24"/>
                <w:szCs w:val="24"/>
              </w:rPr>
              <w:t>月27日上午8:30-10:00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atLeast"/>
          <w:jc w:val="center"/>
        </w:trPr>
        <w:tc>
          <w:tcPr>
            <w:tcW w:w="1695" w:type="dxa"/>
            <w:vAlign w:val="center"/>
          </w:tcPr>
          <w:p>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 xml:space="preserve">地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t>点</w:t>
            </w:r>
          </w:p>
        </w:tc>
        <w:tc>
          <w:tcPr>
            <w:tcW w:w="6793" w:type="dxa"/>
          </w:tcPr>
          <w:p>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电话会议及网络音频直播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jc w:val="center"/>
        </w:trPr>
        <w:tc>
          <w:tcPr>
            <w:tcW w:w="1695" w:type="dxa"/>
            <w:vAlign w:val="center"/>
          </w:tcPr>
          <w:p>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公司接待</w:t>
            </w:r>
          </w:p>
          <w:p>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人员姓名</w:t>
            </w:r>
          </w:p>
        </w:tc>
        <w:tc>
          <w:tcPr>
            <w:tcW w:w="6793" w:type="dxa"/>
          </w:tcPr>
          <w:p>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公司董事会秘书邱向敏先生、独立董事张宏先生、独立董事范文娟女士、投资者关系部总经理赵琳女士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06" w:hRule="atLeast"/>
          <w:jc w:val="center"/>
        </w:trPr>
        <w:tc>
          <w:tcPr>
            <w:tcW w:w="1695" w:type="dxa"/>
            <w:vAlign w:val="center"/>
          </w:tcPr>
          <w:p>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投资者关系 活动主要内容</w:t>
            </w:r>
          </w:p>
        </w:tc>
        <w:tc>
          <w:tcPr>
            <w:tcW w:w="6793" w:type="dxa"/>
          </w:tcPr>
          <w:p>
            <w:pPr>
              <w:widowControl/>
              <w:shd w:val="clear" w:color="auto" w:fill="FFFFFF"/>
              <w:spacing w:line="360" w:lineRule="auto"/>
              <w:ind w:firstLine="33"/>
              <w:jc w:val="left"/>
              <w:rPr>
                <w:rFonts w:hint="eastAsia" w:ascii="宋体" w:hAnsi="宋体"/>
                <w:sz w:val="24"/>
                <w:szCs w:val="24"/>
              </w:rPr>
            </w:pPr>
            <w:r>
              <w:rPr>
                <w:rFonts w:hint="eastAsia" w:ascii="宋体" w:hAnsi="宋体" w:eastAsia="宋体" w:cs="宋体"/>
                <w:kern w:val="0"/>
                <w:sz w:val="24"/>
                <w:szCs w:val="24"/>
              </w:rPr>
              <w:t>一、</w:t>
            </w:r>
            <w:r>
              <w:rPr>
                <w:rFonts w:hint="eastAsia" w:ascii="宋体" w:hAnsi="宋体"/>
                <w:sz w:val="24"/>
                <w:szCs w:val="24"/>
              </w:rPr>
              <w:t>公司</w:t>
            </w:r>
            <w:r>
              <w:rPr>
                <w:rFonts w:hint="eastAsia" w:ascii="Liberation Serif" w:hAnsi="Liberation Serif" w:eastAsia="宋体" w:cs="Arial"/>
                <w:kern w:val="0"/>
                <w:sz w:val="24"/>
                <w:szCs w:val="24"/>
              </w:rPr>
              <w:t>投资者关系部总经理赵琳女士</w:t>
            </w:r>
            <w:r>
              <w:rPr>
                <w:rFonts w:hint="eastAsia" w:ascii="宋体" w:hAnsi="宋体"/>
                <w:sz w:val="24"/>
                <w:szCs w:val="24"/>
              </w:rPr>
              <w:t>对伊利股份2026年上半年的经营情况和财务表现进行了解读；公司管理层就投资者主要关注的问题与参会者进行了互动交流，互动环节主要内容如下。</w:t>
            </w:r>
          </w:p>
          <w:p>
            <w:pPr>
              <w:pStyle w:val="10"/>
              <w:numPr>
                <w:ilvl w:val="0"/>
                <w:numId w:val="1"/>
              </w:numPr>
              <w:autoSpaceDE w:val="0"/>
              <w:autoSpaceDN w:val="0"/>
              <w:adjustRightInd w:val="0"/>
              <w:spacing w:line="360" w:lineRule="auto"/>
              <w:ind w:firstLineChars="0"/>
              <w:jc w:val="left"/>
              <w:rPr>
                <w:rFonts w:hint="eastAsia" w:ascii="宋体" w:hAnsi="宋体" w:eastAsia="宋体" w:cs="宋体"/>
                <w:kern w:val="0"/>
                <w:sz w:val="24"/>
                <w:szCs w:val="24"/>
              </w:rPr>
            </w:pPr>
            <w:r>
              <w:rPr>
                <w:rFonts w:hint="eastAsia" w:ascii="宋体" w:hAnsi="宋体" w:eastAsia="宋体" w:cs="宋体"/>
                <w:kern w:val="0"/>
                <w:sz w:val="24"/>
                <w:szCs w:val="24"/>
              </w:rPr>
              <w:t>与投资者互动交流环节</w:t>
            </w:r>
          </w:p>
          <w:p>
            <w:pPr>
              <w:pStyle w:val="9"/>
              <w:numPr>
                <w:ilvl w:val="0"/>
                <w:numId w:val="2"/>
              </w:numPr>
              <w:spacing w:line="360" w:lineRule="auto"/>
              <w:ind w:firstLineChars="0"/>
              <w:rPr>
                <w:sz w:val="24"/>
                <w:szCs w:val="24"/>
              </w:rPr>
            </w:pPr>
            <w:r>
              <w:rPr>
                <w:rFonts w:hint="eastAsia"/>
                <w:sz w:val="24"/>
                <w:szCs w:val="24"/>
              </w:rPr>
              <w:t>请介绍下公司下半年</w:t>
            </w:r>
            <w:r>
              <w:rPr>
                <w:rFonts w:hint="eastAsia"/>
                <w:sz w:val="24"/>
                <w:szCs w:val="24"/>
                <w:lang w:eastAsia="zh-CN"/>
              </w:rPr>
              <w:t>的</w:t>
            </w:r>
            <w:r>
              <w:rPr>
                <w:rFonts w:hint="eastAsia"/>
                <w:sz w:val="24"/>
                <w:szCs w:val="24"/>
              </w:rPr>
              <w:t>经营展望，全年收入、盈利业绩指引是否</w:t>
            </w:r>
            <w:r>
              <w:rPr>
                <w:rFonts w:hint="eastAsia"/>
                <w:sz w:val="24"/>
                <w:szCs w:val="24"/>
                <w:lang w:val="en-US" w:eastAsia="zh-CN"/>
              </w:rPr>
              <w:t>会</w:t>
            </w:r>
            <w:r>
              <w:rPr>
                <w:rFonts w:hint="eastAsia"/>
                <w:sz w:val="24"/>
                <w:szCs w:val="24"/>
              </w:rPr>
              <w:t>调整？</w:t>
            </w:r>
          </w:p>
          <w:p>
            <w:pPr>
              <w:autoSpaceDE w:val="0"/>
              <w:autoSpaceDN w:val="0"/>
              <w:adjustRightInd w:val="0"/>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回答：</w:t>
            </w:r>
          </w:p>
          <w:p>
            <w:pPr>
              <w:pStyle w:val="9"/>
              <w:ind w:firstLine="480"/>
              <w:rPr>
                <w:rFonts w:ascii="Liberation Serif" w:hAnsi="Liberation Serif" w:cs="Arial"/>
                <w:kern w:val="0"/>
                <w:sz w:val="24"/>
                <w:szCs w:val="24"/>
              </w:rPr>
            </w:pPr>
            <w:r>
              <w:rPr>
                <w:rFonts w:hint="eastAsia" w:ascii="Liberation Serif" w:hAnsi="Liberation Serif" w:cs="Arial"/>
                <w:kern w:val="0"/>
                <w:sz w:val="24"/>
                <w:szCs w:val="24"/>
                <w:lang w:val="en-US" w:eastAsia="zh-CN"/>
              </w:rPr>
              <w:t>今年</w:t>
            </w:r>
            <w:r>
              <w:rPr>
                <w:rFonts w:hint="eastAsia" w:ascii="Liberation Serif" w:hAnsi="Liberation Serif" w:cs="Arial"/>
                <w:kern w:val="0"/>
                <w:sz w:val="24"/>
                <w:szCs w:val="24"/>
              </w:rPr>
              <w:t>上半年</w:t>
            </w:r>
            <w:r>
              <w:rPr>
                <w:rFonts w:hint="eastAsia" w:ascii="Liberation Serif" w:hAnsi="Liberation Serif" w:cs="Arial"/>
                <w:kern w:val="0"/>
                <w:sz w:val="24"/>
                <w:szCs w:val="24"/>
                <w:lang w:eastAsia="zh-CN"/>
              </w:rPr>
              <w:t>，</w:t>
            </w:r>
            <w:r>
              <w:rPr>
                <w:rFonts w:hint="eastAsia" w:ascii="Liberation Serif" w:hAnsi="Liberation Serif" w:cs="Arial"/>
                <w:kern w:val="0"/>
                <w:sz w:val="24"/>
                <w:szCs w:val="24"/>
                <w:lang w:val="en-US" w:eastAsia="zh-CN"/>
              </w:rPr>
              <w:t>公司的</w:t>
            </w:r>
            <w:r>
              <w:rPr>
                <w:rFonts w:hint="eastAsia" w:ascii="Liberation Serif" w:hAnsi="Liberation Serif" w:cs="Arial"/>
                <w:kern w:val="0"/>
                <w:sz w:val="24"/>
                <w:szCs w:val="24"/>
              </w:rPr>
              <w:t>整体业务经营节奏保持稳健，多项业务亮点突出</w:t>
            </w:r>
            <w:r>
              <w:rPr>
                <w:rFonts w:hint="eastAsia" w:ascii="Liberation Serif" w:hAnsi="Liberation Serif" w:cs="Arial"/>
                <w:kern w:val="0"/>
                <w:sz w:val="24"/>
                <w:szCs w:val="24"/>
                <w:lang w:eastAsia="zh-CN"/>
              </w:rPr>
              <w:t>。</w:t>
            </w:r>
            <w:r>
              <w:rPr>
                <w:rFonts w:hint="eastAsia" w:ascii="Liberation Serif" w:hAnsi="Liberation Serif" w:cs="Arial"/>
                <w:kern w:val="0"/>
                <w:sz w:val="24"/>
                <w:szCs w:val="24"/>
              </w:rPr>
              <w:t>在去年同期基数相对不低的情况下，今年</w:t>
            </w:r>
            <w:r>
              <w:rPr>
                <w:rFonts w:hint="eastAsia" w:ascii="Liberation Serif" w:hAnsi="Liberation Serif" w:cs="Arial"/>
                <w:kern w:val="0"/>
                <w:sz w:val="24"/>
                <w:szCs w:val="24"/>
                <w:lang w:val="en-US" w:eastAsia="zh-CN"/>
              </w:rPr>
              <w:t>上半年，</w:t>
            </w:r>
            <w:r>
              <w:rPr>
                <w:rFonts w:hint="eastAsia" w:ascii="Liberation Serif" w:hAnsi="Liberation Serif" w:cs="Arial"/>
                <w:kern w:val="0"/>
                <w:sz w:val="24"/>
                <w:szCs w:val="24"/>
              </w:rPr>
              <w:t>液态奶</w:t>
            </w:r>
            <w:r>
              <w:rPr>
                <w:rFonts w:hint="eastAsia" w:ascii="Liberation Serif" w:hAnsi="Liberation Serif" w:cs="Arial"/>
                <w:kern w:val="0"/>
                <w:sz w:val="24"/>
                <w:szCs w:val="24"/>
                <w:lang w:val="en-US" w:eastAsia="zh-CN"/>
              </w:rPr>
              <w:t>收入</w:t>
            </w:r>
            <w:r>
              <w:rPr>
                <w:rFonts w:hint="eastAsia" w:ascii="Liberation Serif" w:hAnsi="Liberation Serif" w:cs="Arial"/>
                <w:kern w:val="0"/>
                <w:sz w:val="24"/>
                <w:szCs w:val="24"/>
              </w:rPr>
              <w:t>同比提升，库存水平基本处于最优状态</w:t>
            </w:r>
            <w:r>
              <w:rPr>
                <w:rFonts w:hint="eastAsia" w:ascii="Liberation Serif" w:hAnsi="Liberation Serif" w:cs="Arial"/>
                <w:kern w:val="0"/>
                <w:sz w:val="24"/>
                <w:szCs w:val="24"/>
                <w:lang w:eastAsia="zh-CN"/>
              </w:rPr>
              <w:t>；</w:t>
            </w:r>
            <w:r>
              <w:rPr>
                <w:rFonts w:hint="eastAsia" w:ascii="Liberation Serif" w:hAnsi="Liberation Serif" w:cs="Arial"/>
                <w:kern w:val="0"/>
                <w:sz w:val="24"/>
                <w:szCs w:val="24"/>
              </w:rPr>
              <w:t>婴配粉、成人粉、冷饮业务继续维持行业领先地位；深加工业务延续双位数增长，技术实力与产能建设持续迭代。</w:t>
            </w:r>
          </w:p>
          <w:p>
            <w:pPr>
              <w:pStyle w:val="9"/>
              <w:ind w:firstLine="480"/>
              <w:rPr>
                <w:rFonts w:ascii="Liberation Serif" w:hAnsi="Liberation Serif" w:cs="Arial"/>
                <w:kern w:val="0"/>
                <w:sz w:val="24"/>
                <w:szCs w:val="24"/>
              </w:rPr>
            </w:pPr>
            <w:r>
              <w:rPr>
                <w:rFonts w:hint="eastAsia" w:ascii="Liberation Serif" w:hAnsi="Liberation Serif" w:cs="Arial"/>
                <w:kern w:val="0"/>
                <w:sz w:val="24"/>
                <w:szCs w:val="24"/>
              </w:rPr>
              <w:t>展望下半年，公司业务将轻装上阵。常温液奶板块，依托金典鲜活等创新产品落地、经销商盈利体系持续维护、渠道新鲜度精细化治理，下半年业绩有望进一步释放。</w:t>
            </w:r>
            <w:r>
              <w:rPr>
                <w:rFonts w:hint="eastAsia" w:ascii="Liberation Serif" w:hAnsi="Liberation Serif" w:cs="Arial"/>
                <w:kern w:val="0"/>
                <w:sz w:val="24"/>
                <w:szCs w:val="24"/>
                <w:lang w:val="en-US" w:eastAsia="zh-CN"/>
              </w:rPr>
              <w:t>婴配粉</w:t>
            </w:r>
            <w:r>
              <w:rPr>
                <w:rFonts w:hint="eastAsia" w:ascii="Liberation Serif" w:hAnsi="Liberation Serif" w:cs="Arial"/>
                <w:kern w:val="0"/>
                <w:sz w:val="24"/>
                <w:szCs w:val="24"/>
              </w:rPr>
              <w:t>板块，金领冠经营态势稳健，一段产品的份额持续领跑行业。澳优经过上半年主动开展渠道结构优化、库存精细化管理，下半年有望实现扭亏为盈。此外，低温、奶酪、成人奶粉、冷饮等业务，也有望延续上半年良好</w:t>
            </w:r>
            <w:r>
              <w:rPr>
                <w:rFonts w:hint="eastAsia" w:ascii="Liberation Serif" w:hAnsi="Liberation Serif" w:cs="Arial"/>
                <w:kern w:val="0"/>
                <w:sz w:val="24"/>
                <w:szCs w:val="24"/>
                <w:lang w:eastAsia="zh-CN"/>
              </w:rPr>
              <w:t>的</w:t>
            </w:r>
            <w:r>
              <w:rPr>
                <w:rFonts w:hint="eastAsia" w:ascii="Liberation Serif" w:hAnsi="Liberation Serif" w:cs="Arial"/>
                <w:kern w:val="0"/>
                <w:sz w:val="24"/>
                <w:szCs w:val="24"/>
              </w:rPr>
              <w:t>经营态势。</w:t>
            </w:r>
          </w:p>
          <w:p>
            <w:pPr>
              <w:pStyle w:val="9"/>
              <w:ind w:firstLine="480"/>
              <w:rPr>
                <w:rFonts w:hint="eastAsia" w:ascii="Liberation Serif" w:hAnsi="Liberation Serif" w:cs="Arial"/>
                <w:kern w:val="0"/>
                <w:sz w:val="24"/>
                <w:szCs w:val="24"/>
              </w:rPr>
            </w:pPr>
            <w:r>
              <w:rPr>
                <w:rFonts w:hint="eastAsia" w:ascii="Liberation Serif" w:hAnsi="Liberation Serif" w:cs="Arial"/>
                <w:kern w:val="0"/>
                <w:sz w:val="24"/>
                <w:szCs w:val="24"/>
              </w:rPr>
              <w:t>下半年，公司会继续保持较好的投入产出比，积极把握中秋、国庆双节的消费机会，在实现较好收入增长的同时，也希望保持较好的核心经营利润率水平。</w:t>
            </w:r>
          </w:p>
          <w:p>
            <w:pPr>
              <w:pStyle w:val="9"/>
              <w:numPr>
                <w:ilvl w:val="0"/>
                <w:numId w:val="2"/>
              </w:numPr>
              <w:spacing w:line="360" w:lineRule="auto"/>
              <w:ind w:firstLineChars="0"/>
              <w:rPr>
                <w:sz w:val="24"/>
                <w:szCs w:val="24"/>
              </w:rPr>
            </w:pPr>
            <w:r>
              <w:rPr>
                <w:rFonts w:hint="eastAsia"/>
                <w:sz w:val="24"/>
                <w:szCs w:val="24"/>
              </w:rPr>
              <w:t>上半年常温液奶实现正增长，核心驱动因素是什么？各品类表现如何？下半年</w:t>
            </w:r>
            <w:r>
              <w:rPr>
                <w:rFonts w:hint="eastAsia"/>
                <w:sz w:val="24"/>
                <w:szCs w:val="24"/>
                <w:lang w:val="en-US" w:eastAsia="zh-CN"/>
              </w:rPr>
              <w:t>常温</w:t>
            </w:r>
            <w:r>
              <w:rPr>
                <w:rFonts w:hint="eastAsia"/>
                <w:sz w:val="24"/>
                <w:szCs w:val="24"/>
              </w:rPr>
              <w:t>液奶</w:t>
            </w:r>
            <w:r>
              <w:rPr>
                <w:rFonts w:hint="eastAsia"/>
                <w:sz w:val="24"/>
                <w:szCs w:val="24"/>
                <w:lang w:val="en-US" w:eastAsia="zh-CN"/>
              </w:rPr>
              <w:t>收入如何展望</w:t>
            </w:r>
            <w:r>
              <w:rPr>
                <w:rFonts w:hint="eastAsia"/>
                <w:sz w:val="24"/>
                <w:szCs w:val="24"/>
              </w:rPr>
              <w:t>？</w:t>
            </w:r>
          </w:p>
          <w:p>
            <w:pPr>
              <w:autoSpaceDE w:val="0"/>
              <w:autoSpaceDN w:val="0"/>
              <w:adjustRightInd w:val="0"/>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回答：</w:t>
            </w:r>
          </w:p>
          <w:p>
            <w:pPr>
              <w:pStyle w:val="9"/>
              <w:spacing w:line="360" w:lineRule="auto"/>
              <w:ind w:firstLine="480"/>
              <w:rPr>
                <w:rFonts w:hint="eastAsia"/>
                <w:sz w:val="24"/>
                <w:szCs w:val="24"/>
              </w:rPr>
            </w:pPr>
            <w:r>
              <w:rPr>
                <w:rFonts w:hint="eastAsia"/>
                <w:sz w:val="24"/>
                <w:szCs w:val="24"/>
              </w:rPr>
              <w:t>上半年，消费需求仍在持续复苏，且受益于奶牛的持续去化，散奶价格企稳回升，行业竞争格局进一步改善。如果以三年为维度，忽略掉基数影响的话，公司常温液奶的增长还是非常稳健的。公司之所以能够取得这样的成绩，主要基于以下</w:t>
            </w:r>
            <w:r>
              <w:rPr>
                <w:rFonts w:hint="eastAsia"/>
                <w:sz w:val="24"/>
                <w:szCs w:val="24"/>
                <w:lang w:val="en-US" w:eastAsia="zh-CN"/>
              </w:rPr>
              <w:t>几方面的举措</w:t>
            </w:r>
            <w:r>
              <w:rPr>
                <w:rFonts w:hint="eastAsia"/>
                <w:sz w:val="24"/>
                <w:szCs w:val="24"/>
              </w:rPr>
              <w:t>：</w:t>
            </w:r>
          </w:p>
          <w:p>
            <w:pPr>
              <w:pStyle w:val="9"/>
              <w:spacing w:line="360" w:lineRule="auto"/>
              <w:ind w:firstLine="480"/>
              <w:rPr>
                <w:rFonts w:hint="eastAsia"/>
                <w:sz w:val="24"/>
                <w:szCs w:val="24"/>
              </w:rPr>
            </w:pPr>
            <w:r>
              <w:rPr>
                <w:rFonts w:hint="eastAsia"/>
                <w:sz w:val="24"/>
                <w:szCs w:val="24"/>
              </w:rPr>
              <w:t>第一，坚定推进新鲜度战略。面对行业需求短期承压的挑战，我们早在2024年春节后便率先启动去库存战略，凭借前瞻性的布局，2025年渠道新鲜度大幅改善。今年以来，我们持续深化新鲜度战略，常温液奶渠道库存水平较去年同期进一步优化，终端产品新鲜度持续改善，经销商周转效率不断提升。同时，我们始终坚守终端价格体系稳定，坚决维护渠道利益，为业务长期健康发展筑牢根基。</w:t>
            </w:r>
          </w:p>
          <w:p>
            <w:pPr>
              <w:pStyle w:val="9"/>
              <w:spacing w:line="360" w:lineRule="auto"/>
              <w:ind w:firstLine="480"/>
              <w:rPr>
                <w:rFonts w:hint="eastAsia"/>
                <w:sz w:val="24"/>
                <w:szCs w:val="24"/>
              </w:rPr>
            </w:pPr>
            <w:r>
              <w:rPr>
                <w:rFonts w:hint="eastAsia"/>
                <w:sz w:val="24"/>
                <w:szCs w:val="24"/>
              </w:rPr>
              <w:t>第二，持续优化渠道结构。2025年，在渠道新鲜度大幅改善的基础上，我们精准把握渠道变革机遇，积极探索各类新渠道、新场景，推出适配不同渠道的定制化产品，实现渠道布局的全面升级。上半年，我们在巩固线下传统优势渠道的基础上，持续发力新零售赛道，重点拓展会员店、零售量贩、即时零售等新兴场景，通过差异化产品、精准化匹配，全面拓宽市场覆盖范围，提升渠道运营效率。其中，零食量贩、会员店、即时零售、2B 等新兴渠道均实现双位数及以上增长，成为业务增长的重要引擎。</w:t>
            </w:r>
          </w:p>
          <w:p>
            <w:pPr>
              <w:pStyle w:val="9"/>
              <w:spacing w:line="360" w:lineRule="auto"/>
              <w:ind w:firstLine="480"/>
              <w:rPr>
                <w:rFonts w:hint="eastAsia"/>
                <w:sz w:val="24"/>
                <w:szCs w:val="24"/>
              </w:rPr>
            </w:pPr>
            <w:r>
              <w:rPr>
                <w:rFonts w:hint="eastAsia"/>
                <w:sz w:val="24"/>
                <w:szCs w:val="24"/>
              </w:rPr>
              <w:t>第三，积极进行产品创新。上半年，公司依托INF锁鲜工艺，推出了金典鲜活产品，精准匹配消费者对新鲜口感的核心需求，在金典有机产品的基础上，进一步打开了高端常温白奶增量市场；凭借新品驱动和重点渠道深耕，上半年，金典收入实现了快于基础白奶的增速。常温酸奶安慕希通过产品升级与口味创新，保持了稳定的收入规模，进一步巩固了公司在常温酸奶领域的行业领先地位。乳饮料板块也依托持续的新品迭代，继续保持较快增长。</w:t>
            </w:r>
          </w:p>
          <w:p>
            <w:pPr>
              <w:pStyle w:val="9"/>
              <w:spacing w:line="360" w:lineRule="auto"/>
              <w:ind w:firstLine="480"/>
              <w:rPr>
                <w:rFonts w:hint="eastAsia"/>
                <w:sz w:val="24"/>
                <w:szCs w:val="24"/>
              </w:rPr>
            </w:pPr>
            <w:r>
              <w:rPr>
                <w:rFonts w:hint="eastAsia"/>
                <w:sz w:val="24"/>
                <w:szCs w:val="24"/>
              </w:rPr>
              <w:t>今年以来，随着消费信心的逐步回暖，我们发现，高端奶制品消费出现了一定的复苏迹象。因此，我们前瞻性地推出了多款高端产品。上半年，常温液奶业务达成内部经营预期，在确保新鲜度和渠道健康的同时，收入也实现了同比正增长。展望下半年，一方面，我们会积极备货中秋和国庆双节，今年上半年推出的金典鲜活新品在下半年将会进入持续放量阶段，成为拉动收入增长的核心动力；另一方面，我们将继续延续上半年的经营策略，坚定推进新鲜度战略，持续深化新渠道布局，推出更多渠道定制化产品，精准满足消费者多元化需求，持续挖掘增量市场潜力。</w:t>
            </w:r>
          </w:p>
          <w:p>
            <w:pPr>
              <w:pStyle w:val="9"/>
              <w:spacing w:line="360" w:lineRule="auto"/>
              <w:ind w:firstLine="480" w:firstLineChars="200"/>
              <w:rPr>
                <w:sz w:val="24"/>
                <w:szCs w:val="24"/>
              </w:rPr>
            </w:pPr>
            <w:r>
              <w:rPr>
                <w:rFonts w:hint="eastAsia"/>
                <w:sz w:val="24"/>
                <w:szCs w:val="24"/>
              </w:rPr>
              <w:t>总体而言，今年常温液奶业务</w:t>
            </w:r>
            <w:r>
              <w:rPr>
                <w:rFonts w:hint="eastAsia"/>
                <w:sz w:val="24"/>
                <w:szCs w:val="24"/>
                <w:lang w:val="en-US" w:eastAsia="zh-CN"/>
              </w:rPr>
              <w:t>仍</w:t>
            </w:r>
            <w:r>
              <w:rPr>
                <w:rFonts w:hint="eastAsia"/>
                <w:sz w:val="24"/>
                <w:szCs w:val="24"/>
              </w:rPr>
              <w:t>处于夯实基础、积蓄动能的阶段。随着消费信心</w:t>
            </w:r>
            <w:r>
              <w:rPr>
                <w:rFonts w:hint="eastAsia"/>
                <w:sz w:val="24"/>
                <w:szCs w:val="24"/>
                <w:lang w:eastAsia="zh-CN"/>
              </w:rPr>
              <w:t>的</w:t>
            </w:r>
            <w:r>
              <w:rPr>
                <w:rFonts w:hint="eastAsia"/>
                <w:sz w:val="24"/>
                <w:szCs w:val="24"/>
              </w:rPr>
              <w:t>逐步恢复，上游原奶供需格局</w:t>
            </w:r>
            <w:r>
              <w:rPr>
                <w:rFonts w:hint="eastAsia"/>
                <w:sz w:val="24"/>
                <w:szCs w:val="24"/>
                <w:lang w:eastAsia="zh-CN"/>
              </w:rPr>
              <w:t>的</w:t>
            </w:r>
            <w:r>
              <w:rPr>
                <w:rFonts w:hint="eastAsia"/>
                <w:sz w:val="24"/>
                <w:szCs w:val="24"/>
              </w:rPr>
              <w:t>持续优化，叠加我们在产品创新、新渠道拓展、供应链提效等方面的持续突破，我们坚信，2027年常温液奶业务将迎来全面收获期，持续引领行业高质量发展。</w:t>
            </w:r>
          </w:p>
          <w:p>
            <w:pPr>
              <w:pStyle w:val="9"/>
              <w:numPr>
                <w:ilvl w:val="0"/>
                <w:numId w:val="2"/>
              </w:numPr>
              <w:spacing w:line="360" w:lineRule="auto"/>
              <w:ind w:firstLineChars="0"/>
              <w:rPr>
                <w:sz w:val="24"/>
                <w:szCs w:val="24"/>
              </w:rPr>
            </w:pPr>
            <w:r>
              <w:rPr>
                <w:rFonts w:hint="eastAsia"/>
                <w:sz w:val="24"/>
                <w:szCs w:val="24"/>
              </w:rPr>
              <w:t>公司如何看待行业供需的变化情况，如何判断下半年的奶价变化？</w:t>
            </w:r>
            <w:r>
              <w:rPr>
                <w:rFonts w:hint="eastAsia"/>
                <w:sz w:val="24"/>
                <w:szCs w:val="24"/>
                <w:lang w:val="en-US" w:eastAsia="zh-CN"/>
              </w:rPr>
              <w:t>预计</w:t>
            </w:r>
            <w:r>
              <w:rPr>
                <w:rFonts w:hint="eastAsia"/>
                <w:sz w:val="24"/>
                <w:szCs w:val="24"/>
              </w:rPr>
              <w:t>什么时候能够实现供需全面平衡？原奶进入恢复和上行周期后，公司</w:t>
            </w:r>
            <w:r>
              <w:rPr>
                <w:rFonts w:hint="eastAsia"/>
                <w:sz w:val="24"/>
                <w:szCs w:val="24"/>
                <w:lang w:eastAsia="zh-CN"/>
              </w:rPr>
              <w:t>的</w:t>
            </w:r>
            <w:r>
              <w:rPr>
                <w:rFonts w:hint="eastAsia"/>
                <w:sz w:val="24"/>
                <w:szCs w:val="24"/>
              </w:rPr>
              <w:t>费用和利润率</w:t>
            </w:r>
            <w:r>
              <w:rPr>
                <w:rFonts w:hint="eastAsia"/>
                <w:sz w:val="24"/>
                <w:szCs w:val="24"/>
                <w:lang w:val="en-US" w:eastAsia="zh-CN"/>
              </w:rPr>
              <w:t>如何</w:t>
            </w:r>
            <w:r>
              <w:rPr>
                <w:rFonts w:hint="eastAsia"/>
                <w:sz w:val="24"/>
                <w:szCs w:val="24"/>
              </w:rPr>
              <w:t>展望？</w:t>
            </w:r>
          </w:p>
          <w:p>
            <w:pPr>
              <w:autoSpaceDE w:val="0"/>
              <w:autoSpaceDN w:val="0"/>
              <w:adjustRightInd w:val="0"/>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回答：</w:t>
            </w:r>
          </w:p>
          <w:p>
            <w:pPr>
              <w:pStyle w:val="9"/>
              <w:spacing w:line="360" w:lineRule="auto"/>
              <w:ind w:firstLine="480"/>
              <w:rPr>
                <w:rFonts w:hint="eastAsia"/>
                <w:sz w:val="24"/>
                <w:szCs w:val="24"/>
              </w:rPr>
            </w:pPr>
            <w:r>
              <w:rPr>
                <w:rFonts w:hint="eastAsia"/>
                <w:sz w:val="24"/>
                <w:szCs w:val="24"/>
              </w:rPr>
              <w:t>从供给端来看，上半年</w:t>
            </w:r>
            <w:r>
              <w:rPr>
                <w:rFonts w:hint="eastAsia"/>
                <w:sz w:val="24"/>
                <w:szCs w:val="24"/>
                <w:lang w:eastAsia="zh-CN"/>
              </w:rPr>
              <w:t>，</w:t>
            </w:r>
            <w:r>
              <w:rPr>
                <w:rFonts w:hint="eastAsia"/>
                <w:sz w:val="24"/>
                <w:szCs w:val="24"/>
              </w:rPr>
              <w:t>上游</w:t>
            </w:r>
            <w:r>
              <w:rPr>
                <w:rFonts w:hint="eastAsia"/>
                <w:sz w:val="24"/>
                <w:szCs w:val="24"/>
                <w:lang w:val="en-US" w:eastAsia="zh-CN"/>
              </w:rPr>
              <w:t>牧场</w:t>
            </w:r>
            <w:r>
              <w:rPr>
                <w:rFonts w:hint="eastAsia"/>
                <w:sz w:val="24"/>
                <w:szCs w:val="24"/>
              </w:rPr>
              <w:t>延续了过去两年的</w:t>
            </w:r>
            <w:r>
              <w:rPr>
                <w:rFonts w:hint="eastAsia"/>
                <w:sz w:val="24"/>
                <w:szCs w:val="24"/>
                <w:lang w:val="en-US" w:eastAsia="zh-CN"/>
              </w:rPr>
              <w:t>持续</w:t>
            </w:r>
            <w:r>
              <w:rPr>
                <w:rFonts w:hint="eastAsia"/>
                <w:sz w:val="24"/>
                <w:szCs w:val="24"/>
              </w:rPr>
              <w:t>去化趋势</w:t>
            </w:r>
            <w:r>
              <w:rPr>
                <w:rFonts w:hint="eastAsia"/>
                <w:sz w:val="24"/>
                <w:szCs w:val="24"/>
                <w:lang w:eastAsia="zh-CN"/>
              </w:rPr>
              <w:t>。</w:t>
            </w:r>
            <w:r>
              <w:rPr>
                <w:rFonts w:hint="eastAsia"/>
                <w:sz w:val="24"/>
                <w:szCs w:val="24"/>
              </w:rPr>
              <w:t>根据农业农村部的监测数据，截止6月底，奶牛存栏量同比减少4.3%，牛群结构继续优化。养殖户数量同比也下降超过20%，上游集中度持续提升，盈利能力有所改善。下半年，预计</w:t>
            </w:r>
            <w:r>
              <w:rPr>
                <w:rFonts w:hint="eastAsia"/>
                <w:sz w:val="24"/>
                <w:szCs w:val="24"/>
                <w:lang w:val="en-US" w:eastAsia="zh-CN"/>
              </w:rPr>
              <w:t>上游产能</w:t>
            </w:r>
            <w:r>
              <w:rPr>
                <w:rFonts w:hint="eastAsia"/>
                <w:sz w:val="24"/>
                <w:szCs w:val="24"/>
              </w:rPr>
              <w:t>去化的趋势还会持续，我们也会</w:t>
            </w:r>
            <w:r>
              <w:rPr>
                <w:rFonts w:hint="eastAsia"/>
                <w:sz w:val="24"/>
                <w:szCs w:val="24"/>
                <w:lang w:val="en-US" w:eastAsia="zh-CN"/>
              </w:rPr>
              <w:t>与上游</w:t>
            </w:r>
            <w:r>
              <w:rPr>
                <w:rFonts w:hint="eastAsia"/>
                <w:sz w:val="24"/>
                <w:szCs w:val="24"/>
              </w:rPr>
              <w:t>紧密合作</w:t>
            </w:r>
            <w:r>
              <w:rPr>
                <w:rFonts w:hint="eastAsia"/>
                <w:sz w:val="24"/>
                <w:szCs w:val="24"/>
                <w:lang w:eastAsia="zh-CN"/>
              </w:rPr>
              <w:t>，</w:t>
            </w:r>
            <w:r>
              <w:rPr>
                <w:rFonts w:hint="eastAsia"/>
                <w:sz w:val="24"/>
                <w:szCs w:val="24"/>
              </w:rPr>
              <w:t>继续提升牧场</w:t>
            </w:r>
            <w:r>
              <w:rPr>
                <w:rFonts w:hint="eastAsia"/>
                <w:sz w:val="24"/>
                <w:szCs w:val="24"/>
                <w:lang w:eastAsia="zh-CN"/>
              </w:rPr>
              <w:t>的</w:t>
            </w:r>
            <w:r>
              <w:rPr>
                <w:rFonts w:hint="eastAsia"/>
                <w:sz w:val="24"/>
                <w:szCs w:val="24"/>
              </w:rPr>
              <w:t>经营效率。</w:t>
            </w:r>
          </w:p>
          <w:p>
            <w:pPr>
              <w:pStyle w:val="9"/>
              <w:spacing w:line="360" w:lineRule="auto"/>
              <w:ind w:firstLine="480"/>
              <w:rPr>
                <w:rFonts w:hint="eastAsia"/>
                <w:sz w:val="24"/>
                <w:szCs w:val="24"/>
              </w:rPr>
            </w:pPr>
            <w:r>
              <w:rPr>
                <w:rFonts w:hint="eastAsia"/>
                <w:sz w:val="24"/>
                <w:szCs w:val="24"/>
              </w:rPr>
              <w:t>从需求端来看，乳制品需求量在上半年实现了增长</w:t>
            </w:r>
            <w:r>
              <w:rPr>
                <w:rFonts w:hint="eastAsia"/>
                <w:sz w:val="24"/>
                <w:szCs w:val="24"/>
                <w:lang w:eastAsia="zh-CN"/>
              </w:rPr>
              <w:t>。</w:t>
            </w:r>
            <w:r>
              <w:rPr>
                <w:rFonts w:hint="eastAsia"/>
                <w:sz w:val="24"/>
                <w:szCs w:val="24"/>
              </w:rPr>
              <w:t>根据统计局数据，上半年，规模化企业乳制品产量同比增长6%；从凯度终端消费数据</w:t>
            </w:r>
            <w:r>
              <w:rPr>
                <w:rFonts w:hint="eastAsia"/>
                <w:sz w:val="24"/>
                <w:szCs w:val="24"/>
                <w:lang w:eastAsia="zh-CN"/>
              </w:rPr>
              <w:t>，</w:t>
            </w:r>
            <w:r>
              <w:rPr>
                <w:rFonts w:hint="eastAsia"/>
                <w:sz w:val="24"/>
                <w:szCs w:val="24"/>
                <w:lang w:val="en-US" w:eastAsia="zh-CN"/>
              </w:rPr>
              <w:t>我们</w:t>
            </w:r>
            <w:r>
              <w:rPr>
                <w:rFonts w:hint="eastAsia"/>
                <w:sz w:val="24"/>
                <w:szCs w:val="24"/>
              </w:rPr>
              <w:t>也看到了乳制品消费量的止跌企稳。主要原因是，一方面，国内乳制品尤其是白奶具备刚性的消费特征，消费者对健康</w:t>
            </w:r>
            <w:r>
              <w:rPr>
                <w:rFonts w:hint="eastAsia"/>
                <w:sz w:val="24"/>
                <w:szCs w:val="24"/>
                <w:lang w:val="en-US" w:eastAsia="zh-CN"/>
              </w:rPr>
              <w:t>比较关注，对</w:t>
            </w:r>
            <w:r>
              <w:rPr>
                <w:rFonts w:hint="eastAsia"/>
                <w:sz w:val="24"/>
                <w:szCs w:val="24"/>
              </w:rPr>
              <w:t>功能性</w:t>
            </w:r>
            <w:r>
              <w:rPr>
                <w:rFonts w:hint="eastAsia"/>
                <w:sz w:val="24"/>
                <w:szCs w:val="24"/>
                <w:lang w:val="en-US" w:eastAsia="zh-CN"/>
              </w:rPr>
              <w:t>产品</w:t>
            </w:r>
            <w:r>
              <w:rPr>
                <w:rFonts w:hint="eastAsia"/>
                <w:sz w:val="24"/>
                <w:szCs w:val="24"/>
              </w:rPr>
              <w:t>有较强的需求，所以包装类乳品销量相对坚挺；另一方面，国内乳深加工产业快速发展，延展了乳品的消费场景，这些带来了乳品原料的增量需求。展望下半年，随着三季度旺季临近，下游乳企也开始</w:t>
            </w:r>
            <w:r>
              <w:rPr>
                <w:rFonts w:hint="eastAsia"/>
                <w:sz w:val="24"/>
                <w:szCs w:val="24"/>
                <w:lang w:val="en-US" w:eastAsia="zh-CN"/>
              </w:rPr>
              <w:t>进行</w:t>
            </w:r>
            <w:r>
              <w:rPr>
                <w:rFonts w:hint="eastAsia"/>
                <w:sz w:val="24"/>
                <w:szCs w:val="24"/>
              </w:rPr>
              <w:t>双节备货，对于原奶的需求量有望进一步提升。</w:t>
            </w:r>
          </w:p>
          <w:p>
            <w:pPr>
              <w:pStyle w:val="9"/>
              <w:spacing w:line="360" w:lineRule="auto"/>
              <w:ind w:firstLine="480"/>
              <w:rPr>
                <w:rFonts w:hint="eastAsia"/>
                <w:sz w:val="24"/>
                <w:szCs w:val="24"/>
              </w:rPr>
            </w:pPr>
            <w:r>
              <w:rPr>
                <w:rFonts w:hint="eastAsia"/>
                <w:sz w:val="24"/>
                <w:szCs w:val="24"/>
              </w:rPr>
              <w:t>关于奶价，上半年合同奶价已经触底企稳，散奶价格持续回升，证明了供需关系正在持续改善。今年下半年，随着供给去化趋势不变，需求量</w:t>
            </w:r>
            <w:r>
              <w:rPr>
                <w:rFonts w:hint="eastAsia"/>
                <w:sz w:val="24"/>
                <w:szCs w:val="24"/>
                <w:lang w:val="en-US" w:eastAsia="zh-CN"/>
              </w:rPr>
              <w:t>保持</w:t>
            </w:r>
            <w:r>
              <w:rPr>
                <w:rFonts w:hint="eastAsia"/>
                <w:sz w:val="24"/>
                <w:szCs w:val="24"/>
              </w:rPr>
              <w:t>坚挺，行业供需将进一步改善。</w:t>
            </w:r>
            <w:bookmarkStart w:id="0" w:name="_GoBack"/>
            <w:bookmarkEnd w:id="0"/>
          </w:p>
          <w:p>
            <w:pPr>
              <w:pStyle w:val="9"/>
              <w:spacing w:line="360" w:lineRule="auto"/>
              <w:ind w:firstLine="480"/>
              <w:rPr>
                <w:sz w:val="24"/>
                <w:szCs w:val="24"/>
              </w:rPr>
            </w:pPr>
            <w:r>
              <w:rPr>
                <w:rFonts w:hint="eastAsia"/>
                <w:sz w:val="24"/>
                <w:szCs w:val="24"/>
              </w:rPr>
              <w:t>原奶上行周期会有助于龙头企业盈利的进一步提升。一方面，奶源的相对短缺会带来行业竞争的趋缓，龙头企业在奶源方面有更强的优势，行业的集中度会进一步提升。另一方面，由于龙头企业有更强的品牌力和创新能力，在奶价上行周期，也更有能力进行</w:t>
            </w:r>
            <w:r>
              <w:rPr>
                <w:rFonts w:hint="eastAsia"/>
                <w:sz w:val="24"/>
                <w:szCs w:val="24"/>
                <w:lang w:val="en-US" w:eastAsia="zh-CN"/>
              </w:rPr>
              <w:t>产品</w:t>
            </w:r>
            <w:r>
              <w:rPr>
                <w:rFonts w:hint="eastAsia"/>
                <w:sz w:val="24"/>
                <w:szCs w:val="24"/>
              </w:rPr>
              <w:t>结构升级，从而带来更好的盈利。</w:t>
            </w:r>
          </w:p>
          <w:p>
            <w:pPr>
              <w:pStyle w:val="9"/>
              <w:spacing w:line="360" w:lineRule="auto"/>
              <w:ind w:firstLine="480"/>
              <w:rPr>
                <w:sz w:val="24"/>
                <w:szCs w:val="24"/>
              </w:rPr>
            </w:pPr>
            <w:r>
              <w:rPr>
                <w:rFonts w:hint="eastAsia"/>
                <w:sz w:val="24"/>
                <w:szCs w:val="24"/>
              </w:rPr>
              <w:t>中长期来看，随着供需改善</w:t>
            </w:r>
            <w:r>
              <w:rPr>
                <w:rFonts w:hint="eastAsia"/>
                <w:sz w:val="24"/>
                <w:szCs w:val="24"/>
                <w:lang w:eastAsia="zh-CN"/>
              </w:rPr>
              <w:t>、</w:t>
            </w:r>
            <w:r>
              <w:rPr>
                <w:rFonts w:hint="eastAsia"/>
                <w:sz w:val="24"/>
                <w:szCs w:val="24"/>
              </w:rPr>
              <w:t>竞争放缓，行业正进入一个更健康的发展环境，头部乳企在过程中有望持续受益。</w:t>
            </w:r>
          </w:p>
          <w:p>
            <w:pPr>
              <w:pStyle w:val="9"/>
              <w:numPr>
                <w:ilvl w:val="0"/>
                <w:numId w:val="2"/>
              </w:numPr>
              <w:spacing w:line="360" w:lineRule="auto"/>
              <w:ind w:firstLineChars="0"/>
              <w:rPr>
                <w:sz w:val="24"/>
                <w:szCs w:val="24"/>
              </w:rPr>
            </w:pPr>
            <w:r>
              <w:rPr>
                <w:rFonts w:hint="eastAsia"/>
                <w:sz w:val="24"/>
                <w:szCs w:val="24"/>
              </w:rPr>
              <w:t>公司婴配粉市占率持续提升，核心竞争策略是什么？全年收入增速如何展望？未来，如何与澳优进行更好的协同？</w:t>
            </w:r>
          </w:p>
          <w:p>
            <w:pPr>
              <w:pStyle w:val="9"/>
              <w:spacing w:line="360" w:lineRule="auto"/>
              <w:ind w:firstLine="0" w:firstLineChars="0"/>
              <w:rPr>
                <w:sz w:val="24"/>
                <w:szCs w:val="24"/>
              </w:rPr>
            </w:pPr>
            <w:r>
              <w:rPr>
                <w:rFonts w:hint="eastAsia"/>
                <w:sz w:val="24"/>
                <w:szCs w:val="24"/>
              </w:rPr>
              <w:t>回答：</w:t>
            </w:r>
          </w:p>
          <w:p>
            <w:pPr>
              <w:pStyle w:val="9"/>
              <w:spacing w:line="360" w:lineRule="auto"/>
              <w:ind w:firstLine="480"/>
              <w:rPr>
                <w:rFonts w:hint="eastAsia"/>
                <w:sz w:val="24"/>
                <w:szCs w:val="24"/>
              </w:rPr>
            </w:pPr>
            <w:r>
              <w:rPr>
                <w:rFonts w:hint="eastAsia"/>
                <w:sz w:val="24"/>
                <w:szCs w:val="24"/>
              </w:rPr>
              <w:t>近些年，公司婴配粉业务高速发展，成为公司第二大体量的业务板块，盈利能力也保持着</w:t>
            </w:r>
            <w:r>
              <w:rPr>
                <w:rFonts w:hint="eastAsia"/>
                <w:sz w:val="24"/>
                <w:szCs w:val="24"/>
                <w:lang w:val="en-US" w:eastAsia="zh-CN"/>
              </w:rPr>
              <w:t>较</w:t>
            </w:r>
            <w:r>
              <w:rPr>
                <w:rFonts w:hint="eastAsia"/>
                <w:sz w:val="24"/>
                <w:szCs w:val="24"/>
              </w:rPr>
              <w:t>好的表现。公司主要从产品与运营效率两</w:t>
            </w:r>
            <w:r>
              <w:rPr>
                <w:rFonts w:hint="eastAsia"/>
                <w:sz w:val="24"/>
                <w:szCs w:val="24"/>
                <w:lang w:val="en-US" w:eastAsia="zh-CN"/>
              </w:rPr>
              <w:t>方面</w:t>
            </w:r>
            <w:r>
              <w:rPr>
                <w:rFonts w:hint="eastAsia"/>
                <w:sz w:val="24"/>
                <w:szCs w:val="24"/>
              </w:rPr>
              <w:t>发力。</w:t>
            </w:r>
          </w:p>
          <w:p>
            <w:pPr>
              <w:pStyle w:val="9"/>
              <w:spacing w:line="360" w:lineRule="auto"/>
              <w:ind w:firstLine="480"/>
              <w:rPr>
                <w:rFonts w:hint="eastAsia"/>
                <w:sz w:val="24"/>
                <w:szCs w:val="24"/>
              </w:rPr>
            </w:pPr>
            <w:r>
              <w:rPr>
                <w:rFonts w:hint="eastAsia"/>
                <w:sz w:val="24"/>
                <w:szCs w:val="24"/>
              </w:rPr>
              <w:t>首先，产品层面，公司坚持配方升级、优化品类结构。依托在母乳研究领域的长期积累，持续迭代升级核心配方，强化高端化、功能化产品布局。上半年，</w:t>
            </w:r>
            <w:r>
              <w:rPr>
                <w:rFonts w:hint="eastAsia"/>
                <w:sz w:val="24"/>
                <w:szCs w:val="24"/>
                <w:lang w:val="en-US" w:eastAsia="zh-CN"/>
              </w:rPr>
              <w:t>通过</w:t>
            </w:r>
            <w:r>
              <w:rPr>
                <w:rFonts w:hint="eastAsia"/>
                <w:sz w:val="24"/>
                <w:szCs w:val="24"/>
              </w:rPr>
              <w:t>加快发展超高端产品矩阵，有机系列同比增长50%以上</w:t>
            </w:r>
            <w:r>
              <w:rPr>
                <w:rFonts w:hint="eastAsia"/>
                <w:sz w:val="24"/>
                <w:szCs w:val="24"/>
                <w:lang w:eastAsia="zh-CN"/>
              </w:rPr>
              <w:t>；</w:t>
            </w:r>
            <w:r>
              <w:rPr>
                <w:rFonts w:hint="eastAsia"/>
                <w:sz w:val="24"/>
                <w:szCs w:val="24"/>
              </w:rPr>
              <w:t>新上市的顶级配方产品珍护源初</w:t>
            </w:r>
            <w:r>
              <w:rPr>
                <w:rFonts w:hint="eastAsia"/>
                <w:sz w:val="24"/>
                <w:szCs w:val="24"/>
                <w:lang w:val="en-US" w:eastAsia="zh-CN"/>
              </w:rPr>
              <w:t>也</w:t>
            </w:r>
            <w:r>
              <w:rPr>
                <w:rFonts w:hint="eastAsia"/>
                <w:sz w:val="24"/>
                <w:szCs w:val="24"/>
              </w:rPr>
              <w:t>实现高速增长，产品结构持续优化，带动整体盈利能力进一步提升。</w:t>
            </w:r>
          </w:p>
          <w:p>
            <w:pPr>
              <w:pStyle w:val="9"/>
              <w:spacing w:line="360" w:lineRule="auto"/>
              <w:ind w:firstLine="480"/>
              <w:rPr>
                <w:rFonts w:hint="eastAsia"/>
                <w:sz w:val="24"/>
                <w:szCs w:val="24"/>
              </w:rPr>
            </w:pPr>
            <w:r>
              <w:rPr>
                <w:rFonts w:hint="eastAsia"/>
                <w:sz w:val="24"/>
                <w:szCs w:val="24"/>
              </w:rPr>
              <w:t>其次，公司通过供应链管理与会员营销，持续提升运营效率。一方面，公司持续优化覆盖奶源、生产到配送的全链条供应链体系，产能调配与库存周转效率不断提升，并依托数字化全链路运营实现了婴配粉的“28天新鲜购”。同时，全渠道库存水平维持低位、经销商库存天数持续下降、价格体系稳健，为份额继续提升提供了坚实支撑。另一方面，公司去年落地了16亿元生育补贴计划，通过生育补贴与会员运营的有机结合，构建了很强的获客能力。从结果看，“金领冠”品牌一段奶粉市场份额已连续两年位居行业第一。同时，公司加大内容营销，增强与消费者互动，沉淀高复购的私域会员，持续提升用户留存与品牌忠诚度。</w:t>
            </w:r>
          </w:p>
          <w:p>
            <w:pPr>
              <w:pStyle w:val="9"/>
              <w:spacing w:line="360" w:lineRule="auto"/>
              <w:ind w:firstLine="480"/>
              <w:rPr>
                <w:rFonts w:hint="eastAsia"/>
                <w:sz w:val="24"/>
                <w:szCs w:val="24"/>
              </w:rPr>
            </w:pPr>
            <w:r>
              <w:rPr>
                <w:rFonts w:hint="eastAsia"/>
                <w:sz w:val="24"/>
                <w:szCs w:val="24"/>
              </w:rPr>
              <w:t>此外，公司从去年起也在持续加大电商布局。一方面，公司会员体系完善、线下渠道更加扎实；另一方面，公司已组建</w:t>
            </w:r>
            <w:r>
              <w:rPr>
                <w:rFonts w:hint="eastAsia"/>
                <w:sz w:val="24"/>
                <w:szCs w:val="24"/>
                <w:lang w:eastAsia="zh-CN"/>
              </w:rPr>
              <w:t>了</w:t>
            </w:r>
            <w:r>
              <w:rPr>
                <w:rFonts w:hint="eastAsia"/>
                <w:sz w:val="24"/>
                <w:szCs w:val="24"/>
              </w:rPr>
              <w:t>专门的电商运营团队，通过会员营销做深留存与复购，</w:t>
            </w:r>
            <w:r>
              <w:rPr>
                <w:rFonts w:hint="eastAsia"/>
                <w:sz w:val="24"/>
                <w:szCs w:val="24"/>
                <w:lang w:val="en-US" w:eastAsia="zh-CN"/>
              </w:rPr>
              <w:t>将</w:t>
            </w:r>
            <w:r>
              <w:rPr>
                <w:rFonts w:hint="eastAsia"/>
                <w:sz w:val="24"/>
                <w:szCs w:val="24"/>
              </w:rPr>
              <w:t>带来更可持续的增长。</w:t>
            </w:r>
          </w:p>
          <w:p>
            <w:pPr>
              <w:pStyle w:val="9"/>
              <w:spacing w:line="360" w:lineRule="auto"/>
              <w:ind w:firstLine="480"/>
              <w:rPr>
                <w:rFonts w:hint="eastAsia"/>
                <w:sz w:val="24"/>
                <w:szCs w:val="24"/>
              </w:rPr>
            </w:pPr>
            <w:r>
              <w:rPr>
                <w:rFonts w:hint="eastAsia"/>
                <w:sz w:val="24"/>
                <w:szCs w:val="24"/>
              </w:rPr>
              <w:t>依托在研发、产品、渠道端的系统性竞争优势，上半年“金领冠”收入实现了中高个位数增长，市场份额提升1.2个百分点。</w:t>
            </w:r>
          </w:p>
          <w:p>
            <w:pPr>
              <w:pStyle w:val="9"/>
              <w:spacing w:line="360" w:lineRule="auto"/>
              <w:ind w:firstLine="480"/>
              <w:rPr>
                <w:rFonts w:hint="eastAsia"/>
                <w:sz w:val="24"/>
                <w:szCs w:val="24"/>
              </w:rPr>
            </w:pPr>
            <w:r>
              <w:rPr>
                <w:rFonts w:hint="eastAsia"/>
                <w:sz w:val="24"/>
                <w:szCs w:val="24"/>
              </w:rPr>
              <w:t>从与澳优的协同来看，一方面，我们会继续在渠道运营、数字化管理等方面对澳优进行深度赋能。帮助澳优打通国内外生产、物流、渠道、终端库存等的全链路数据，努力实现市场需求与生产发货的精准匹配，常态化管控渠道库存，减少大额存货减值等损失。另一方面，依托伊利全球化的产业规模优势，通过全球大宗原料联合集中采购、锁定长期优惠价格，以及国内外产能的双向协同，持续优化澳优的综合经营成本。此外，我们也从会员运营、品牌内容营销等维度为澳优提供赋能支持，助力澳优打造可持续增长的运营模式。多措并举，助力澳优经营效率和盈利水平的稳步恢复。</w:t>
            </w:r>
          </w:p>
          <w:p>
            <w:pPr>
              <w:pStyle w:val="9"/>
              <w:spacing w:line="360" w:lineRule="auto"/>
              <w:ind w:firstLine="480"/>
              <w:rPr>
                <w:sz w:val="24"/>
                <w:szCs w:val="24"/>
              </w:rPr>
            </w:pPr>
            <w:r>
              <w:rPr>
                <w:rFonts w:hint="eastAsia"/>
                <w:sz w:val="24"/>
                <w:szCs w:val="24"/>
              </w:rPr>
              <w:t>婴配粉是一个专业性很强的行业，未来</w:t>
            </w:r>
            <w:r>
              <w:rPr>
                <w:rFonts w:hint="eastAsia"/>
                <w:sz w:val="24"/>
                <w:szCs w:val="24"/>
                <w:lang w:eastAsia="zh-CN"/>
              </w:rPr>
              <w:t>，</w:t>
            </w:r>
            <w:r>
              <w:rPr>
                <w:rFonts w:hint="eastAsia"/>
                <w:sz w:val="24"/>
                <w:szCs w:val="24"/>
              </w:rPr>
              <w:t>中小品牌</w:t>
            </w:r>
            <w:r>
              <w:rPr>
                <w:rFonts w:hint="eastAsia"/>
                <w:sz w:val="24"/>
                <w:szCs w:val="24"/>
                <w:lang w:val="en-US" w:eastAsia="zh-CN"/>
              </w:rPr>
              <w:t>预计会加速</w:t>
            </w:r>
            <w:r>
              <w:rPr>
                <w:rFonts w:hint="eastAsia"/>
                <w:sz w:val="24"/>
                <w:szCs w:val="24"/>
              </w:rPr>
              <w:t>出清，市场份额</w:t>
            </w:r>
            <w:r>
              <w:rPr>
                <w:rFonts w:hint="eastAsia"/>
                <w:sz w:val="24"/>
                <w:szCs w:val="24"/>
                <w:lang w:val="en-US" w:eastAsia="zh-CN"/>
              </w:rPr>
              <w:t>会</w:t>
            </w:r>
            <w:r>
              <w:rPr>
                <w:rFonts w:hint="eastAsia"/>
                <w:sz w:val="24"/>
                <w:szCs w:val="24"/>
              </w:rPr>
              <w:t>持续向头部企业集中，这一趋势会更有利于具备综合竞争力的龙头企业。站在新的战略周期，公司对婴配粉的定位是在确保盈利质量的前提下稳扎稳打，推动市场份额</w:t>
            </w:r>
            <w:r>
              <w:rPr>
                <w:rFonts w:hint="eastAsia"/>
                <w:sz w:val="24"/>
                <w:szCs w:val="24"/>
                <w:lang w:eastAsia="zh-CN"/>
              </w:rPr>
              <w:t>的</w:t>
            </w:r>
            <w:r>
              <w:rPr>
                <w:rFonts w:hint="eastAsia"/>
                <w:sz w:val="24"/>
                <w:szCs w:val="24"/>
              </w:rPr>
              <w:t>持续提升。</w:t>
            </w:r>
          </w:p>
          <w:p>
            <w:pPr>
              <w:pStyle w:val="9"/>
              <w:numPr>
                <w:ilvl w:val="0"/>
                <w:numId w:val="2"/>
              </w:numPr>
              <w:spacing w:line="360" w:lineRule="auto"/>
              <w:ind w:firstLineChars="0"/>
              <w:rPr>
                <w:sz w:val="24"/>
                <w:szCs w:val="24"/>
              </w:rPr>
            </w:pPr>
            <w:r>
              <w:rPr>
                <w:rFonts w:hint="eastAsia"/>
                <w:sz w:val="24"/>
                <w:szCs w:val="24"/>
              </w:rPr>
              <w:t>上半年，公司低温业务实现了较快增长，主要得益于哪些差异化的竞争优势？未来，公司在低温业务上的经营策略是怎样的？</w:t>
            </w:r>
          </w:p>
          <w:p>
            <w:pPr>
              <w:pStyle w:val="9"/>
              <w:spacing w:line="360" w:lineRule="auto"/>
              <w:ind w:firstLine="0" w:firstLineChars="0"/>
              <w:rPr>
                <w:sz w:val="24"/>
                <w:szCs w:val="24"/>
              </w:rPr>
            </w:pPr>
            <w:r>
              <w:rPr>
                <w:rFonts w:hint="eastAsia"/>
                <w:sz w:val="24"/>
                <w:szCs w:val="24"/>
              </w:rPr>
              <w:t>回答：</w:t>
            </w:r>
          </w:p>
          <w:p>
            <w:pPr>
              <w:pStyle w:val="9"/>
              <w:spacing w:line="360" w:lineRule="auto"/>
              <w:ind w:firstLine="480"/>
              <w:rPr>
                <w:rFonts w:hint="eastAsia"/>
                <w:sz w:val="24"/>
                <w:szCs w:val="24"/>
              </w:rPr>
            </w:pPr>
            <w:r>
              <w:rPr>
                <w:rFonts w:hint="eastAsia"/>
                <w:sz w:val="24"/>
                <w:szCs w:val="24"/>
              </w:rPr>
              <w:t>今年上半年，公司低温业务凭借战略定力和精准布局，继续延续较快的增长态势。其中，低温酸奶与低温鲜奶业务均实现正增长，低温产品渗透率持续攀升，充分显示了我们在低温赛道的核心竞争力与高质量发展的势头。</w:t>
            </w:r>
          </w:p>
          <w:p>
            <w:pPr>
              <w:pStyle w:val="9"/>
              <w:spacing w:line="360" w:lineRule="auto"/>
              <w:ind w:firstLine="480"/>
              <w:rPr>
                <w:rFonts w:hint="eastAsia"/>
                <w:sz w:val="24"/>
                <w:szCs w:val="24"/>
              </w:rPr>
            </w:pPr>
            <w:r>
              <w:rPr>
                <w:rFonts w:hint="eastAsia"/>
                <w:sz w:val="24"/>
                <w:szCs w:val="24"/>
              </w:rPr>
              <w:t>这个成绩的取得，是过去五年我们始终秉持长期主义、高质量增长的经营理念，用心培育低温业务、强化核心增长引擎的结果。上一个战略周期，我们低温业务主要聚焦两大核心方向：</w:t>
            </w:r>
          </w:p>
          <w:p>
            <w:pPr>
              <w:pStyle w:val="9"/>
              <w:spacing w:line="360" w:lineRule="auto"/>
              <w:ind w:firstLine="480"/>
              <w:rPr>
                <w:rFonts w:hint="eastAsia"/>
                <w:sz w:val="24"/>
                <w:szCs w:val="24"/>
              </w:rPr>
            </w:pPr>
            <w:r>
              <w:rPr>
                <w:rFonts w:hint="eastAsia"/>
                <w:sz w:val="24"/>
                <w:szCs w:val="24"/>
              </w:rPr>
              <w:t>一是持续优化产品结构。对于低温酸奶业务，我们持续深耕产品创新，聚焦消费者多元化、个性化的需求，推出了畅轻爆珠酸奶、小奶壶、奶皮子酸奶等多款爆款创新产品，有效提升了低温酸奶业务的市场占有率和品牌影响力。对于低温鲜奶业务，作为全国化运营的企业，过去几年，我们一直在持续加大产品的布局力度，积极探索鲜奶的经营和盈利模式。今年上半年，推出了使用INF锁鲜技术的秒鲜低温鲜奶，构建起了金典、秒鲜、母品牌协同发力且具有一定价格梯度的鲜奶产品矩阵，满足不同消费群体的品质需求。</w:t>
            </w:r>
          </w:p>
          <w:p>
            <w:pPr>
              <w:pStyle w:val="9"/>
              <w:spacing w:line="360" w:lineRule="auto"/>
              <w:ind w:firstLine="480"/>
              <w:rPr>
                <w:rFonts w:hint="eastAsia"/>
                <w:sz w:val="24"/>
                <w:szCs w:val="24"/>
              </w:rPr>
            </w:pPr>
            <w:r>
              <w:rPr>
                <w:rFonts w:hint="eastAsia"/>
                <w:sz w:val="24"/>
                <w:szCs w:val="24"/>
              </w:rPr>
              <w:t>二是积极把握新渠道机遇。近年来，随着新渠道的兴起，零售场景加速变革、消费需求日趋多元，公司基于深度消费者洞察，也在主动加强与各新零售平台的战略合作，和渠道方共同推出多款渠道定制化产品，精准匹配不同渠道的消费需求，有效提升了产品在各渠道的适配性。在会员店渠道，我们和山姆深度共创，推出了多款定制产品，凭借差异化品质、规格及独特的包装设计，精准契合会员店高端消费群体需求；在零食量贩店渠道，我们推出小规格、高性价比的低温酸奶便携装，适配零食量贩店的消费场景与定价体系，快速抢占年轻消费群体市场，实现渠道销量的快速突破。另外，借助新零售渠道的下沉优势，我们也将更多低温产品推向低线城市，进一步扩大市场覆盖范围，提升了市场渗透率，为低温业务增长打开全新空间。</w:t>
            </w:r>
          </w:p>
          <w:p>
            <w:pPr>
              <w:pStyle w:val="9"/>
              <w:spacing w:line="360" w:lineRule="auto"/>
              <w:ind w:firstLine="480"/>
              <w:rPr>
                <w:sz w:val="24"/>
                <w:szCs w:val="24"/>
              </w:rPr>
            </w:pPr>
            <w:r>
              <w:rPr>
                <w:rFonts w:hint="eastAsia"/>
                <w:sz w:val="24"/>
                <w:szCs w:val="24"/>
              </w:rPr>
              <w:t>最近几年，行业内不少企业也在纷纷加大对低温业务的投入。面对行业竞争，下一个五年周期，我们将始终保持战略定力，聚焦自身核心优势，在保证盈利的基础上，继续加大投入，坚持高质量发展路径。希望凭借长期的战略投入、深厚的技术积累和完善的布局体系，我们在稳步做大业务规模的同时，也能推动低温业务盈利水平的持续改善。</w:t>
            </w:r>
          </w:p>
          <w:p>
            <w:pPr>
              <w:pStyle w:val="9"/>
              <w:numPr>
                <w:ilvl w:val="0"/>
                <w:numId w:val="2"/>
              </w:numPr>
              <w:spacing w:line="360" w:lineRule="auto"/>
              <w:ind w:firstLineChars="0"/>
              <w:rPr>
                <w:sz w:val="24"/>
                <w:szCs w:val="24"/>
              </w:rPr>
            </w:pPr>
            <w:r>
              <w:rPr>
                <w:rFonts w:hint="eastAsia"/>
                <w:sz w:val="24"/>
                <w:szCs w:val="24"/>
              </w:rPr>
              <w:t>公司乳制品深加工业务发展现状及核心竞争优势是什么？在餐饮ToB业务和原料业务上未来的推进节奏如何？</w:t>
            </w:r>
          </w:p>
          <w:p>
            <w:pPr>
              <w:pStyle w:val="9"/>
              <w:spacing w:line="360" w:lineRule="auto"/>
              <w:ind w:firstLine="0" w:firstLineChars="0"/>
              <w:rPr>
                <w:sz w:val="24"/>
                <w:szCs w:val="24"/>
              </w:rPr>
            </w:pPr>
            <w:r>
              <w:rPr>
                <w:rFonts w:hint="eastAsia"/>
                <w:sz w:val="24"/>
                <w:szCs w:val="24"/>
              </w:rPr>
              <w:t>回答：</w:t>
            </w:r>
          </w:p>
          <w:p>
            <w:pPr>
              <w:pStyle w:val="9"/>
              <w:spacing w:line="360" w:lineRule="auto"/>
              <w:ind w:firstLine="480"/>
              <w:rPr>
                <w:rFonts w:hint="eastAsia"/>
                <w:sz w:val="24"/>
                <w:szCs w:val="24"/>
              </w:rPr>
            </w:pPr>
            <w:r>
              <w:rPr>
                <w:rFonts w:hint="eastAsia"/>
                <w:sz w:val="24"/>
                <w:szCs w:val="24"/>
                <w:lang w:val="en-US" w:eastAsia="zh-CN"/>
              </w:rPr>
              <w:t>近年来</w:t>
            </w:r>
            <w:r>
              <w:rPr>
                <w:rFonts w:hint="eastAsia"/>
                <w:sz w:val="24"/>
                <w:szCs w:val="24"/>
              </w:rPr>
              <w:t>，深加工</w:t>
            </w:r>
            <w:r>
              <w:rPr>
                <w:rFonts w:hint="eastAsia"/>
                <w:sz w:val="24"/>
                <w:szCs w:val="24"/>
                <w:lang w:val="en-US" w:eastAsia="zh-CN"/>
              </w:rPr>
              <w:t>业务</w:t>
            </w:r>
            <w:r>
              <w:rPr>
                <w:rFonts w:hint="eastAsia"/>
                <w:sz w:val="24"/>
                <w:szCs w:val="24"/>
              </w:rPr>
              <w:t>一直处于稳健增长的趋势中。茶饮、烘焙、西餐等业态的快速发展，以及各类餐饮场景对乳制品原料用量的持续增加，带动了乳脂、奶酪等市场需求的持续增长。ToB客户对餐饮原料的产品品质、价格、服务以及供应链的稳定性，也提出了更全面、更高的要求。</w:t>
            </w:r>
          </w:p>
          <w:p>
            <w:pPr>
              <w:pStyle w:val="9"/>
              <w:spacing w:line="360" w:lineRule="auto"/>
              <w:ind w:firstLine="480"/>
              <w:rPr>
                <w:rFonts w:hint="eastAsia"/>
                <w:sz w:val="24"/>
                <w:szCs w:val="24"/>
              </w:rPr>
            </w:pPr>
            <w:r>
              <w:rPr>
                <w:rFonts w:hint="eastAsia"/>
                <w:sz w:val="24"/>
                <w:szCs w:val="24"/>
                <w:lang w:val="en-US" w:eastAsia="zh-CN"/>
              </w:rPr>
              <w:t>此外</w:t>
            </w:r>
            <w:r>
              <w:rPr>
                <w:rFonts w:hint="eastAsia"/>
                <w:sz w:val="24"/>
                <w:szCs w:val="24"/>
              </w:rPr>
              <w:t>，我们也看到国产替代的趋势更加明确。尤其对于一些工艺相对成熟的品类，如淡奶油、黄油、均质大包粉等，随着国内生产技术和产能的持续提升，国内企业已经能够生产出高品质、高质价比，且非常有竞争力的产品。对于高附加值的乳品原料来说，如脱盐乳清、乳清蛋白、乳铁蛋白、乳糖等，过去行业一直大量采购进口原料用于婴配粉等产品的生产；但近年来，国内企业也在逐步扩大产能，未来，国产替代的潜力和空间也非常大。</w:t>
            </w:r>
          </w:p>
          <w:p>
            <w:pPr>
              <w:pStyle w:val="9"/>
              <w:spacing w:line="360" w:lineRule="auto"/>
              <w:ind w:firstLine="480"/>
              <w:rPr>
                <w:rFonts w:hint="eastAsia"/>
                <w:sz w:val="24"/>
                <w:szCs w:val="24"/>
              </w:rPr>
            </w:pPr>
            <w:r>
              <w:rPr>
                <w:rFonts w:hint="eastAsia"/>
                <w:sz w:val="24"/>
                <w:szCs w:val="24"/>
              </w:rPr>
              <w:t>从公司的深加工业务来看，我们的产线这两年也在逐步落地，产品品类持续扩张，在淡奶油、黄油、奶酪等品类上的竞争优势持续加强。淡奶油是目前市场空间最大、且需求持续增长的品类。公司在纯动物奶油领域具有先发优势，已实现中国品牌市占率第一。同时，依托国内与新西兰双核心奶源和双产能优势，公司奶油业务具备较强的供应链抗波动能力，能够充分把握国产替代的发展机遇。上半年，公司的国产淡奶油增速达40%，国产黄油增速超过30%。奶酪方面，今年年产1万吨原制马苏里拉奶酪的生产线也正式投产，标志着公司在高端奶酪领域构建起了从核心原料到终端产品的完整自主生产能力。乳深加工的产能升级也为拓展国产脱盐乳清、乳铁蛋白、酪蛋白等高附加值产品打下坚实的基础。</w:t>
            </w:r>
          </w:p>
          <w:p>
            <w:pPr>
              <w:pStyle w:val="9"/>
              <w:spacing w:line="360" w:lineRule="auto"/>
              <w:ind w:firstLine="480"/>
              <w:rPr>
                <w:sz w:val="24"/>
                <w:szCs w:val="24"/>
              </w:rPr>
            </w:pPr>
            <w:r>
              <w:rPr>
                <w:rFonts w:hint="eastAsia"/>
                <w:sz w:val="24"/>
                <w:szCs w:val="24"/>
              </w:rPr>
              <w:t>公司借助成熟的品牌积淀与渠道网络，形成了ToB深加工原料业务的多品类产品矩阵和全国渠道的布局，能够为客户提供高品质产品及创新解决方案的服务。上半年，公司面向餐饮专业客户的奶酪、乳脂业务营收实现了同比双位数的增长。同时，海外原料业务也在持续扩张。未来，我们会继续朝着国内</w:t>
            </w:r>
            <w:r>
              <w:rPr>
                <w:rFonts w:hint="eastAsia"/>
                <w:sz w:val="24"/>
                <w:szCs w:val="24"/>
                <w:lang w:eastAsia="zh-CN"/>
              </w:rPr>
              <w:t>、</w:t>
            </w:r>
            <w:r>
              <w:rPr>
                <w:rFonts w:hint="eastAsia"/>
                <w:sz w:val="24"/>
                <w:szCs w:val="24"/>
                <w:lang w:val="en-US" w:eastAsia="zh-CN"/>
              </w:rPr>
              <w:t>国</w:t>
            </w:r>
            <w:r>
              <w:rPr>
                <w:rFonts w:hint="eastAsia"/>
                <w:sz w:val="24"/>
                <w:szCs w:val="24"/>
              </w:rPr>
              <w:t>外ToB深加工原料业务营收</w:t>
            </w:r>
            <w:r>
              <w:rPr>
                <w:rFonts w:hint="eastAsia"/>
                <w:sz w:val="24"/>
                <w:szCs w:val="24"/>
                <w:lang w:val="en-US" w:eastAsia="zh-CN"/>
              </w:rPr>
              <w:t>各</w:t>
            </w:r>
            <w:r>
              <w:rPr>
                <w:rFonts w:hint="eastAsia"/>
                <w:sz w:val="24"/>
                <w:szCs w:val="24"/>
              </w:rPr>
              <w:t>百亿的目标而努力。</w:t>
            </w:r>
          </w:p>
          <w:p>
            <w:pPr>
              <w:pStyle w:val="9"/>
              <w:numPr>
                <w:ilvl w:val="0"/>
                <w:numId w:val="2"/>
              </w:numPr>
              <w:spacing w:line="360" w:lineRule="auto"/>
              <w:ind w:firstLineChars="0"/>
              <w:rPr>
                <w:sz w:val="24"/>
                <w:szCs w:val="24"/>
              </w:rPr>
            </w:pPr>
            <w:r>
              <w:rPr>
                <w:rFonts w:hint="eastAsia"/>
                <w:sz w:val="24"/>
                <w:szCs w:val="24"/>
              </w:rPr>
              <w:t>公司怎么看待成人营养品行业未来的发展趋势？公司目前已经是行业第一</w:t>
            </w:r>
            <w:r>
              <w:rPr>
                <w:rFonts w:hint="eastAsia"/>
                <w:sz w:val="24"/>
                <w:szCs w:val="24"/>
                <w:lang w:eastAsia="zh-CN"/>
              </w:rPr>
              <w:t>；</w:t>
            </w:r>
            <w:r>
              <w:rPr>
                <w:rFonts w:hint="eastAsia"/>
                <w:sz w:val="24"/>
                <w:szCs w:val="24"/>
              </w:rPr>
              <w:t>未来，会在哪些方面发力来继续夯实行业的龙头地位？</w:t>
            </w:r>
          </w:p>
          <w:p>
            <w:pPr>
              <w:pStyle w:val="9"/>
              <w:spacing w:line="360" w:lineRule="auto"/>
              <w:ind w:firstLine="0" w:firstLineChars="0"/>
              <w:rPr>
                <w:sz w:val="24"/>
                <w:szCs w:val="24"/>
              </w:rPr>
            </w:pPr>
            <w:r>
              <w:rPr>
                <w:rFonts w:hint="eastAsia"/>
                <w:sz w:val="24"/>
                <w:szCs w:val="24"/>
              </w:rPr>
              <w:t>回答：</w:t>
            </w:r>
          </w:p>
          <w:p>
            <w:pPr>
              <w:pStyle w:val="9"/>
              <w:spacing w:line="360" w:lineRule="auto"/>
              <w:ind w:firstLine="480"/>
              <w:rPr>
                <w:sz w:val="24"/>
                <w:szCs w:val="24"/>
              </w:rPr>
            </w:pPr>
            <w:r>
              <w:rPr>
                <w:rFonts w:hint="eastAsia"/>
                <w:sz w:val="24"/>
                <w:szCs w:val="24"/>
              </w:rPr>
              <w:t>成人营养品是一个行业空间非常广阔的赛道，未来仍有很好的增长潜力</w:t>
            </w:r>
            <w:r>
              <w:rPr>
                <w:rFonts w:hint="eastAsia"/>
                <w:sz w:val="24"/>
                <w:szCs w:val="24"/>
                <w:lang w:eastAsia="zh-CN"/>
              </w:rPr>
              <w:t>，</w:t>
            </w:r>
            <w:r>
              <w:rPr>
                <w:rFonts w:hint="eastAsia"/>
                <w:sz w:val="24"/>
                <w:szCs w:val="24"/>
              </w:rPr>
              <w:t>益生菌、蛋白粉等营养品类规模更大。从银发群体对骨骼健康、平稳血糖的需求，到年轻群体对体重管理、健身营养的需求，成人营养品的消费场景也在持续扩容。</w:t>
            </w:r>
          </w:p>
          <w:p>
            <w:pPr>
              <w:pStyle w:val="9"/>
              <w:spacing w:line="360" w:lineRule="auto"/>
              <w:ind w:firstLine="480"/>
              <w:rPr>
                <w:rFonts w:hint="eastAsia"/>
                <w:sz w:val="24"/>
                <w:szCs w:val="24"/>
              </w:rPr>
            </w:pPr>
            <w:r>
              <w:rPr>
                <w:rFonts w:hint="eastAsia"/>
                <w:sz w:val="24"/>
                <w:szCs w:val="24"/>
              </w:rPr>
              <w:t>今年上半年，成人奶粉行业增速超过双位数，很多企业也纷纷发力这个赛道，进一步印证了我们前瞻性的战略布局。公司将成人营养品分拆为独立的事业部，就是看到了银发经济、健康消费需求对行业的长期驱动以及未来的赛道机会，希望通过体系建设，不断培养业务综合运营的能力。与此同时，行业呈现头部集中以及高端化的趋势，也更有利于具备综合竞争力和先发优势的大企业。</w:t>
            </w:r>
          </w:p>
          <w:p>
            <w:pPr>
              <w:pStyle w:val="9"/>
              <w:spacing w:line="360" w:lineRule="auto"/>
              <w:ind w:firstLine="480"/>
              <w:rPr>
                <w:rFonts w:hint="eastAsia"/>
                <w:sz w:val="24"/>
                <w:szCs w:val="24"/>
              </w:rPr>
            </w:pPr>
            <w:r>
              <w:rPr>
                <w:rFonts w:hint="eastAsia"/>
                <w:sz w:val="24"/>
                <w:szCs w:val="24"/>
              </w:rPr>
              <w:t>今年上半年，公司成人奶粉市场份额提升至26.8%，进一步夯实了龙头地位。我们的核心竞争优势主要在于产品力领先与多元化的产品布局。公司坚持以消费者为中心，在“药食同源”的理念下，精准满足消费者对于营养健康的需求，并与同仁堂深化合作，推出功能属性更强的产品。同时，依托在研发和专利上的多年积累，我们的产品已经全面覆盖控糖、骨骼、心脏、免疫等功能赛道及羊奶粉、驼奶粉等细分品类。今年上半年，“欣活”品牌实现超双位数的增长，“倍畅”品牌取得20%以上增长，产品竞争力持续兑现。</w:t>
            </w:r>
          </w:p>
          <w:p>
            <w:pPr>
              <w:pStyle w:val="9"/>
              <w:spacing w:line="360" w:lineRule="auto"/>
              <w:ind w:firstLine="480"/>
              <w:rPr>
                <w:rFonts w:hint="eastAsia"/>
                <w:sz w:val="24"/>
                <w:szCs w:val="24"/>
              </w:rPr>
            </w:pPr>
            <w:r>
              <w:rPr>
                <w:rFonts w:hint="eastAsia"/>
                <w:sz w:val="24"/>
                <w:szCs w:val="24"/>
              </w:rPr>
              <w:t>在营养品延展方面，公司在益生菌和蛋白粉领域率先发力。依托集团十余年的科研积累，公司已拥有多项益生菌专利，BL-99益生菌、K56纤控益生菌等依托专利技术打造的差异化功效，上市即获得很好的口碑与动销；蛋白粉在提升免疫力与健身人群双重需求下，消费者认知与产品增速均快速提升。上半年，公司营养品业务实现翻倍增长，以"伊利健康科学"为平台，公司正从中老年向全年龄段延伸，加速迈向营养品的蓝海市场。</w:t>
            </w:r>
          </w:p>
          <w:p>
            <w:pPr>
              <w:pStyle w:val="9"/>
              <w:spacing w:line="360" w:lineRule="auto"/>
              <w:ind w:firstLine="480"/>
              <w:rPr>
                <w:sz w:val="24"/>
                <w:szCs w:val="24"/>
              </w:rPr>
            </w:pPr>
            <w:r>
              <w:rPr>
                <w:rFonts w:hint="eastAsia"/>
                <w:sz w:val="24"/>
                <w:szCs w:val="24"/>
              </w:rPr>
              <w:t>在经营理念方面，公司强调健康稳健的高质量发展。一方面，公司持续推动品类结构升级，多元化品类驱动，带来健康、可持续的增长；另一方面，公司持续培育电商自运营能力，并与秉持健康发展理念的头部经销商扩大合作。整体来看，未来公司凭借产品力优势、多元化布局以及稳健的经营，有信心在行业扩容与集中度提升中持续夯实龙头地位。</w:t>
            </w:r>
          </w:p>
          <w:p>
            <w:pPr>
              <w:pStyle w:val="9"/>
              <w:numPr>
                <w:ilvl w:val="0"/>
                <w:numId w:val="2"/>
              </w:numPr>
              <w:spacing w:line="360" w:lineRule="auto"/>
              <w:ind w:firstLineChars="0"/>
              <w:rPr>
                <w:sz w:val="24"/>
                <w:szCs w:val="24"/>
              </w:rPr>
            </w:pPr>
            <w:r>
              <w:rPr>
                <w:rFonts w:hint="eastAsia"/>
                <w:sz w:val="24"/>
                <w:szCs w:val="24"/>
              </w:rPr>
              <w:t>上半年，公司冷饮业务收入取得了双位数增长的亮眼表现；下半年冷饮业务还能否保持这个增速？</w:t>
            </w:r>
          </w:p>
          <w:p>
            <w:pPr>
              <w:pStyle w:val="9"/>
              <w:spacing w:line="360" w:lineRule="auto"/>
              <w:ind w:firstLine="0" w:firstLineChars="0"/>
              <w:rPr>
                <w:sz w:val="24"/>
                <w:szCs w:val="24"/>
              </w:rPr>
            </w:pPr>
            <w:r>
              <w:rPr>
                <w:rFonts w:hint="eastAsia"/>
                <w:sz w:val="24"/>
                <w:szCs w:val="24"/>
              </w:rPr>
              <w:t>回答：</w:t>
            </w:r>
          </w:p>
          <w:p>
            <w:pPr>
              <w:pStyle w:val="9"/>
              <w:spacing w:line="360" w:lineRule="auto"/>
              <w:ind w:firstLine="480"/>
              <w:rPr>
                <w:rFonts w:hint="eastAsia"/>
                <w:sz w:val="24"/>
                <w:szCs w:val="24"/>
              </w:rPr>
            </w:pPr>
            <w:r>
              <w:rPr>
                <w:rFonts w:hint="eastAsia"/>
                <w:sz w:val="24"/>
                <w:szCs w:val="24"/>
              </w:rPr>
              <w:t>今年上半年，公司冷饮业务继续延续去年良好的增长势头，实现了双位数的增长，预计下半年也将继续保持较快的增速。</w:t>
            </w:r>
          </w:p>
          <w:p>
            <w:pPr>
              <w:pStyle w:val="9"/>
              <w:spacing w:line="360" w:lineRule="auto"/>
              <w:ind w:firstLine="480"/>
              <w:rPr>
                <w:rFonts w:hint="eastAsia"/>
                <w:sz w:val="24"/>
                <w:szCs w:val="24"/>
              </w:rPr>
            </w:pPr>
            <w:r>
              <w:rPr>
                <w:rFonts w:hint="eastAsia"/>
                <w:sz w:val="24"/>
                <w:szCs w:val="24"/>
              </w:rPr>
              <w:t>冷饮产品的主要受众是偏年轻的消费群体，所以我们的产品一直保持很快的创新速度，持续响应消费者对于口味口感、健康轻量、场景跨界等多元化的需求。今年以来，“巧乐兹”推出乌漆麻嘿及低糖萌巧系列，打造出亿元级明星新品；“甄稀”上市了多款复合口味新品，以细腻的口感带给消费者更丰富的味觉体验；“须尽欢”占位文旅赛道，推出多款国潮形象景区文创雪糕，“冰工厂”及伊利母品牌布局平价新品，多品牌运营覆盖全价格带产品。同时，公司积极拓展新消费场景，如逛街购物、看演出、旅游、野餐等家外场景，目前家外休闲场景消费已经占冷饮整体销量超60%。</w:t>
            </w:r>
          </w:p>
          <w:p>
            <w:pPr>
              <w:pStyle w:val="9"/>
              <w:spacing w:line="360" w:lineRule="auto"/>
              <w:ind w:firstLine="480"/>
              <w:rPr>
                <w:rFonts w:hint="eastAsia"/>
                <w:sz w:val="24"/>
                <w:szCs w:val="24"/>
              </w:rPr>
            </w:pPr>
            <w:r>
              <w:rPr>
                <w:rFonts w:hint="eastAsia"/>
                <w:sz w:val="24"/>
                <w:szCs w:val="24"/>
              </w:rPr>
              <w:t>其次，我们看到冷饮业务中，高端品类产品有所回暖，“巧乐兹”和“甄稀”品牌呈现出较好的增速，带动产品结构的持续提升。而消费者需求也从单纯消暑向休闲悦己方向不断升级。随着休闲场景占比的提升，消费者对冷饮的需求也更具韧性，对于天气的扰动影响也会有所减弱。</w:t>
            </w:r>
          </w:p>
          <w:p>
            <w:pPr>
              <w:pStyle w:val="9"/>
              <w:spacing w:line="360" w:lineRule="auto"/>
              <w:ind w:firstLine="480"/>
              <w:rPr>
                <w:sz w:val="24"/>
                <w:szCs w:val="24"/>
              </w:rPr>
            </w:pPr>
            <w:r>
              <w:rPr>
                <w:rFonts w:hint="eastAsia"/>
                <w:sz w:val="24"/>
                <w:szCs w:val="24"/>
              </w:rPr>
              <w:t>冷饮行业已经是一个很成熟的市场，所以公司也在不断进行多元化渠道的探索和布局。在夯实传统渠道的基础上，公司积极把握便利店、零食折扣店、即时零售、电商等新兴渠道，渠道占比进一步提升；同时我们也在积极拓展2B业务，如与蜜雪冰城、幸运咖等现制饮品客户合作，</w:t>
            </w:r>
            <w:r>
              <w:rPr>
                <w:rFonts w:hint="eastAsia"/>
                <w:sz w:val="24"/>
                <w:szCs w:val="24"/>
                <w:lang w:val="en-US" w:eastAsia="zh-CN"/>
              </w:rPr>
              <w:t>希望</w:t>
            </w:r>
            <w:r>
              <w:rPr>
                <w:rFonts w:hint="eastAsia"/>
                <w:sz w:val="24"/>
                <w:szCs w:val="24"/>
              </w:rPr>
              <w:t>进一步打开增量空间。</w:t>
            </w:r>
          </w:p>
          <w:p>
            <w:pPr>
              <w:pStyle w:val="9"/>
              <w:numPr>
                <w:ilvl w:val="0"/>
                <w:numId w:val="2"/>
              </w:numPr>
              <w:spacing w:line="360" w:lineRule="auto"/>
              <w:ind w:firstLineChars="0"/>
              <w:rPr>
                <w:sz w:val="24"/>
                <w:szCs w:val="24"/>
              </w:rPr>
            </w:pPr>
            <w:r>
              <w:rPr>
                <w:rFonts w:hint="eastAsia"/>
                <w:sz w:val="24"/>
                <w:szCs w:val="24"/>
              </w:rPr>
              <w:t>今年上半年，公司的国际化业务表现如何？未来，国际化的推进节奏是怎样的？</w:t>
            </w:r>
          </w:p>
          <w:p>
            <w:pPr>
              <w:pStyle w:val="9"/>
              <w:spacing w:line="360" w:lineRule="auto"/>
              <w:ind w:firstLine="0" w:firstLineChars="0"/>
              <w:rPr>
                <w:sz w:val="24"/>
                <w:szCs w:val="24"/>
              </w:rPr>
            </w:pPr>
            <w:r>
              <w:rPr>
                <w:rFonts w:hint="eastAsia"/>
                <w:sz w:val="24"/>
                <w:szCs w:val="24"/>
              </w:rPr>
              <w:t>回答：</w:t>
            </w:r>
          </w:p>
          <w:p>
            <w:pPr>
              <w:pStyle w:val="9"/>
              <w:spacing w:line="360" w:lineRule="auto"/>
              <w:ind w:firstLine="480"/>
              <w:rPr>
                <w:rFonts w:hint="eastAsia"/>
                <w:sz w:val="24"/>
                <w:szCs w:val="24"/>
              </w:rPr>
            </w:pPr>
            <w:r>
              <w:rPr>
                <w:rFonts w:hint="eastAsia"/>
                <w:sz w:val="24"/>
                <w:szCs w:val="24"/>
              </w:rPr>
              <w:t>国际化是公司中长期战略的重要一环。今年上半年，公司国际化业务稳步推进。</w:t>
            </w:r>
            <w:r>
              <w:rPr>
                <w:rFonts w:hint="eastAsia"/>
                <w:sz w:val="24"/>
                <w:szCs w:val="24"/>
                <w:lang w:val="en-US" w:eastAsia="zh-CN"/>
              </w:rPr>
              <w:t>对于</w:t>
            </w:r>
            <w:r>
              <w:rPr>
                <w:rFonts w:hint="eastAsia"/>
                <w:sz w:val="24"/>
                <w:szCs w:val="24"/>
              </w:rPr>
              <w:t>冷饮业务，印尼营收同比增长约20%，菲律宾作为新拓展的市场，实现了营收同比翻倍增长。</w:t>
            </w:r>
            <w:r>
              <w:rPr>
                <w:rFonts w:hint="eastAsia"/>
                <w:sz w:val="24"/>
                <w:szCs w:val="24"/>
                <w:lang w:val="en-US" w:eastAsia="zh-CN"/>
              </w:rPr>
              <w:t>对于婴配粉业务，</w:t>
            </w:r>
            <w:r>
              <w:rPr>
                <w:rFonts w:hint="eastAsia"/>
                <w:sz w:val="24"/>
                <w:szCs w:val="24"/>
              </w:rPr>
              <w:t>澳优品牌在中东主要市场，如阿联酋、科威特等国家</w:t>
            </w:r>
            <w:r>
              <w:rPr>
                <w:rFonts w:hint="eastAsia"/>
                <w:sz w:val="24"/>
                <w:szCs w:val="24"/>
                <w:lang w:eastAsia="zh-CN"/>
              </w:rPr>
              <w:t>的</w:t>
            </w:r>
            <w:r>
              <w:rPr>
                <w:rFonts w:hint="eastAsia"/>
                <w:sz w:val="24"/>
                <w:szCs w:val="24"/>
              </w:rPr>
              <w:t>市场份额持续提升。</w:t>
            </w:r>
          </w:p>
          <w:p>
            <w:pPr>
              <w:pStyle w:val="9"/>
              <w:spacing w:line="360" w:lineRule="auto"/>
              <w:ind w:firstLine="480"/>
              <w:rPr>
                <w:rFonts w:hint="eastAsia"/>
                <w:sz w:val="24"/>
                <w:szCs w:val="24"/>
              </w:rPr>
            </w:pPr>
            <w:r>
              <w:rPr>
                <w:rFonts w:hint="eastAsia"/>
                <w:sz w:val="24"/>
                <w:szCs w:val="24"/>
              </w:rPr>
              <w:t>在东南亚市场，公司除现有冷饮业务外，将进一步拓展乳饮料业务，完善品类矩阵、做深区域布局。新西兰公司则将持续推进高附加值产品与原料战略，把握全球市场高端蛋白发展趋势，持续提升蛋白类产品的收入占比，同时也可以向中国市场提供关键原料，有力保障国内营养品等业务的发展，形成境内外业务的有效协同。</w:t>
            </w:r>
          </w:p>
          <w:p>
            <w:pPr>
              <w:pStyle w:val="9"/>
              <w:spacing w:line="360" w:lineRule="auto"/>
              <w:ind w:firstLine="480"/>
              <w:rPr>
                <w:rFonts w:hint="eastAsia"/>
                <w:sz w:val="24"/>
                <w:szCs w:val="24"/>
              </w:rPr>
            </w:pPr>
            <w:r>
              <w:rPr>
                <w:rFonts w:hint="eastAsia"/>
                <w:sz w:val="24"/>
                <w:szCs w:val="24"/>
              </w:rPr>
              <w:t>盈利方面，目前，东南亚部分市场仍处于战略投入与规模扩张阶段，整体尚未盈利；随着业务布局的完善和产能的逐步落地，盈利潜力将逐步释放。新西兰市场目前已经实现盈利，未来随着高附加值产品占比的持续提升，将为集团带来更多利润贡献。</w:t>
            </w:r>
          </w:p>
          <w:p>
            <w:pPr>
              <w:pStyle w:val="9"/>
              <w:spacing w:line="360" w:lineRule="auto"/>
              <w:ind w:firstLine="480"/>
              <w:rPr>
                <w:sz w:val="24"/>
                <w:szCs w:val="24"/>
              </w:rPr>
            </w:pPr>
            <w:r>
              <w:rPr>
                <w:rFonts w:hint="eastAsia"/>
                <w:sz w:val="24"/>
                <w:szCs w:val="24"/>
              </w:rPr>
              <w:t>未来，我们将坚持稳中求进的节奏，优先巩固东南亚基本盘，同时把握海外消费升级趋势，依托公司海外供应链优势，稳步推进国际化进程。除东南亚、新西兰外，也将逐步推进非洲、中东等潜力市场的开发。相信随着海外布局的不断深化，国际业务将为公司未来五年战略贡献持续且稳定的增长动能。</w:t>
            </w:r>
          </w:p>
          <w:p>
            <w:pPr>
              <w:pStyle w:val="9"/>
              <w:numPr>
                <w:ilvl w:val="0"/>
                <w:numId w:val="2"/>
              </w:numPr>
              <w:spacing w:line="360" w:lineRule="auto"/>
              <w:ind w:firstLineChars="0"/>
              <w:rPr>
                <w:sz w:val="24"/>
                <w:szCs w:val="24"/>
              </w:rPr>
            </w:pPr>
            <w:r>
              <w:rPr>
                <w:rFonts w:hint="eastAsia"/>
                <w:sz w:val="24"/>
                <w:szCs w:val="24"/>
              </w:rPr>
              <w:t>未来，回购注销是否会常态化？今年全年的分红率和分红额是否会受到上半年业绩的影响？</w:t>
            </w:r>
          </w:p>
          <w:p>
            <w:pPr>
              <w:pStyle w:val="9"/>
              <w:spacing w:line="360" w:lineRule="auto"/>
              <w:ind w:firstLine="0" w:firstLineChars="0"/>
              <w:rPr>
                <w:sz w:val="24"/>
                <w:szCs w:val="24"/>
              </w:rPr>
            </w:pPr>
            <w:r>
              <w:rPr>
                <w:rFonts w:hint="eastAsia"/>
                <w:sz w:val="24"/>
                <w:szCs w:val="24"/>
              </w:rPr>
              <w:t>回答：</w:t>
            </w:r>
          </w:p>
          <w:p>
            <w:pPr>
              <w:pStyle w:val="9"/>
              <w:spacing w:line="360" w:lineRule="auto"/>
              <w:ind w:firstLine="480"/>
              <w:rPr>
                <w:sz w:val="24"/>
                <w:szCs w:val="24"/>
              </w:rPr>
            </w:pPr>
            <w:r>
              <w:rPr>
                <w:rFonts w:hint="eastAsia"/>
                <w:sz w:val="24"/>
                <w:szCs w:val="24"/>
              </w:rPr>
              <w:t>公司本次推出股份回购，旨在回应投资者诉求，传递公司对主业经营稳健复苏、未来业绩向好的坚定信心。</w:t>
            </w:r>
          </w:p>
          <w:p>
            <w:pPr>
              <w:pStyle w:val="9"/>
              <w:spacing w:line="360" w:lineRule="auto"/>
              <w:ind w:firstLine="480"/>
              <w:rPr>
                <w:rFonts w:hint="eastAsia"/>
                <w:sz w:val="24"/>
                <w:szCs w:val="24"/>
              </w:rPr>
            </w:pPr>
            <w:r>
              <w:rPr>
                <w:rFonts w:hint="eastAsia"/>
                <w:sz w:val="24"/>
                <w:szCs w:val="24"/>
              </w:rPr>
              <w:t>分红方面，公司2025-2027年仍会保持75%以上的分红率，分红额将不低于2024年的水平。</w:t>
            </w:r>
            <w:r>
              <w:rPr>
                <w:rFonts w:hint="eastAsia"/>
                <w:sz w:val="24"/>
                <w:szCs w:val="24"/>
                <w:lang w:val="en-US" w:eastAsia="zh-CN"/>
              </w:rPr>
              <w:t>综合考虑公司今年上半年的业绩表现以及公司的现金流情况，我们也希望在</w:t>
            </w:r>
            <w:r>
              <w:rPr>
                <w:rFonts w:hint="eastAsia"/>
                <w:sz w:val="24"/>
                <w:szCs w:val="24"/>
              </w:rPr>
              <w:t>实现既定分红水平的基础上，努力给予投资者更好的回报。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jc w:val="center"/>
        </w:trPr>
        <w:tc>
          <w:tcPr>
            <w:tcW w:w="1695" w:type="dxa"/>
            <w:vAlign w:val="center"/>
          </w:tcPr>
          <w:p>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附件清单</w:t>
            </w:r>
          </w:p>
          <w:p>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（如有）</w:t>
            </w:r>
          </w:p>
        </w:tc>
        <w:tc>
          <w:tcPr>
            <w:tcW w:w="6793" w:type="dxa"/>
          </w:tcPr>
          <w:p>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无</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iberation Serif">
    <w:altName w:val="Segoe Print"/>
    <w:panose1 w:val="00000000000000000000"/>
    <w:charset w:val="01"/>
    <w:family w:val="roman"/>
    <w:pitch w:val="default"/>
    <w:sig w:usb0="00000000" w:usb1="00000000" w:usb2="00000000" w:usb3="00000000" w:csb0="00000000" w:csb1="00000000"/>
  </w:font>
  <w:font w:name="Wingdings 2">
    <w:altName w:val="Wingdings"/>
    <w:panose1 w:val="050201020105070707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1"/>
    <w:family w:val="roman"/>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20211"/>
    <w:multiLevelType w:val="multilevel"/>
    <w:tmpl w:val="12520211"/>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51DD5CE1"/>
    <w:multiLevelType w:val="multilevel"/>
    <w:tmpl w:val="51DD5CE1"/>
    <w:lvl w:ilvl="0" w:tentative="0">
      <w:start w:val="2"/>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JjNTViZDJlMzUzYWZhOTIxYzA0YjAwNjY1MzVkNjYifQ=="/>
  </w:docVars>
  <w:rsids>
    <w:rsidRoot w:val="2E635145"/>
    <w:rsid w:val="00010577"/>
    <w:rsid w:val="00034D9B"/>
    <w:rsid w:val="00044F71"/>
    <w:rsid w:val="00073235"/>
    <w:rsid w:val="00083D45"/>
    <w:rsid w:val="000A045E"/>
    <w:rsid w:val="000B316F"/>
    <w:rsid w:val="000C667E"/>
    <w:rsid w:val="000F0AA6"/>
    <w:rsid w:val="001200A4"/>
    <w:rsid w:val="00130964"/>
    <w:rsid w:val="00130E74"/>
    <w:rsid w:val="00132C3E"/>
    <w:rsid w:val="00144AE9"/>
    <w:rsid w:val="00164DA0"/>
    <w:rsid w:val="001748F7"/>
    <w:rsid w:val="001B53E2"/>
    <w:rsid w:val="001E444B"/>
    <w:rsid w:val="001E6B70"/>
    <w:rsid w:val="00230030"/>
    <w:rsid w:val="00234A72"/>
    <w:rsid w:val="002629B9"/>
    <w:rsid w:val="00281D15"/>
    <w:rsid w:val="002D546A"/>
    <w:rsid w:val="002F5122"/>
    <w:rsid w:val="002F565E"/>
    <w:rsid w:val="002F682A"/>
    <w:rsid w:val="00334C64"/>
    <w:rsid w:val="0035118A"/>
    <w:rsid w:val="00356E65"/>
    <w:rsid w:val="00367320"/>
    <w:rsid w:val="003836A3"/>
    <w:rsid w:val="0038516D"/>
    <w:rsid w:val="003D0FE1"/>
    <w:rsid w:val="003F397B"/>
    <w:rsid w:val="003F7216"/>
    <w:rsid w:val="00452211"/>
    <w:rsid w:val="00483B76"/>
    <w:rsid w:val="00496971"/>
    <w:rsid w:val="004F3D6F"/>
    <w:rsid w:val="004F79B2"/>
    <w:rsid w:val="00523D51"/>
    <w:rsid w:val="005370AD"/>
    <w:rsid w:val="00541056"/>
    <w:rsid w:val="00555E01"/>
    <w:rsid w:val="005849D0"/>
    <w:rsid w:val="005869E9"/>
    <w:rsid w:val="00595F3B"/>
    <w:rsid w:val="005B3BC8"/>
    <w:rsid w:val="005B7E4E"/>
    <w:rsid w:val="005C3928"/>
    <w:rsid w:val="005D6C21"/>
    <w:rsid w:val="00606CAC"/>
    <w:rsid w:val="00607731"/>
    <w:rsid w:val="00610951"/>
    <w:rsid w:val="006138DD"/>
    <w:rsid w:val="0062508E"/>
    <w:rsid w:val="0063385A"/>
    <w:rsid w:val="006359F7"/>
    <w:rsid w:val="0064520F"/>
    <w:rsid w:val="00662925"/>
    <w:rsid w:val="0067762E"/>
    <w:rsid w:val="006842C2"/>
    <w:rsid w:val="006941A8"/>
    <w:rsid w:val="006B4C14"/>
    <w:rsid w:val="006D404B"/>
    <w:rsid w:val="007051CD"/>
    <w:rsid w:val="00706856"/>
    <w:rsid w:val="00716380"/>
    <w:rsid w:val="00721B03"/>
    <w:rsid w:val="0075484A"/>
    <w:rsid w:val="00764462"/>
    <w:rsid w:val="00765089"/>
    <w:rsid w:val="00783F1C"/>
    <w:rsid w:val="00792994"/>
    <w:rsid w:val="007958F4"/>
    <w:rsid w:val="007977EE"/>
    <w:rsid w:val="007A1A36"/>
    <w:rsid w:val="007A7FD1"/>
    <w:rsid w:val="007B5DC1"/>
    <w:rsid w:val="007F3AA6"/>
    <w:rsid w:val="008335B9"/>
    <w:rsid w:val="00842F08"/>
    <w:rsid w:val="0087146A"/>
    <w:rsid w:val="00877614"/>
    <w:rsid w:val="00881EA3"/>
    <w:rsid w:val="008860FC"/>
    <w:rsid w:val="0089573B"/>
    <w:rsid w:val="008A3E43"/>
    <w:rsid w:val="008B7AF5"/>
    <w:rsid w:val="00904BC6"/>
    <w:rsid w:val="0090635C"/>
    <w:rsid w:val="00915C27"/>
    <w:rsid w:val="009262CC"/>
    <w:rsid w:val="00926E9B"/>
    <w:rsid w:val="00940D14"/>
    <w:rsid w:val="00993646"/>
    <w:rsid w:val="009A3E19"/>
    <w:rsid w:val="009A624F"/>
    <w:rsid w:val="009A7A91"/>
    <w:rsid w:val="009B67C7"/>
    <w:rsid w:val="009C2105"/>
    <w:rsid w:val="009D00E2"/>
    <w:rsid w:val="009E5D0D"/>
    <w:rsid w:val="00A11480"/>
    <w:rsid w:val="00A20365"/>
    <w:rsid w:val="00A22CC4"/>
    <w:rsid w:val="00A23DA7"/>
    <w:rsid w:val="00A267D6"/>
    <w:rsid w:val="00AB2C47"/>
    <w:rsid w:val="00AB68D4"/>
    <w:rsid w:val="00AD5A98"/>
    <w:rsid w:val="00AE0695"/>
    <w:rsid w:val="00AE1B4C"/>
    <w:rsid w:val="00AF2E5A"/>
    <w:rsid w:val="00B15439"/>
    <w:rsid w:val="00B22411"/>
    <w:rsid w:val="00B31984"/>
    <w:rsid w:val="00B32804"/>
    <w:rsid w:val="00B401DC"/>
    <w:rsid w:val="00B47669"/>
    <w:rsid w:val="00B54C9B"/>
    <w:rsid w:val="00B56A99"/>
    <w:rsid w:val="00B57BF5"/>
    <w:rsid w:val="00BA5D2F"/>
    <w:rsid w:val="00BB1E39"/>
    <w:rsid w:val="00C155B6"/>
    <w:rsid w:val="00C34667"/>
    <w:rsid w:val="00C3494C"/>
    <w:rsid w:val="00C62596"/>
    <w:rsid w:val="00C67F1E"/>
    <w:rsid w:val="00C82078"/>
    <w:rsid w:val="00CB239B"/>
    <w:rsid w:val="00CE0D84"/>
    <w:rsid w:val="00CF4ECF"/>
    <w:rsid w:val="00D10315"/>
    <w:rsid w:val="00D124C7"/>
    <w:rsid w:val="00D402C8"/>
    <w:rsid w:val="00D60517"/>
    <w:rsid w:val="00DA3E40"/>
    <w:rsid w:val="00DC247E"/>
    <w:rsid w:val="00DF5E1C"/>
    <w:rsid w:val="00E310F9"/>
    <w:rsid w:val="00E37A2D"/>
    <w:rsid w:val="00E5685A"/>
    <w:rsid w:val="00E735B3"/>
    <w:rsid w:val="00E75DD5"/>
    <w:rsid w:val="00EE5E15"/>
    <w:rsid w:val="00F03D2C"/>
    <w:rsid w:val="00F04153"/>
    <w:rsid w:val="00F261E0"/>
    <w:rsid w:val="00F32D12"/>
    <w:rsid w:val="00F34208"/>
    <w:rsid w:val="00F35810"/>
    <w:rsid w:val="00F53566"/>
    <w:rsid w:val="00F83BE5"/>
    <w:rsid w:val="00F87BB2"/>
    <w:rsid w:val="00F90ED1"/>
    <w:rsid w:val="00F933A0"/>
    <w:rsid w:val="00F95B88"/>
    <w:rsid w:val="00FA542C"/>
    <w:rsid w:val="00FC3CBA"/>
    <w:rsid w:val="00FD7BE6"/>
    <w:rsid w:val="00FE5197"/>
    <w:rsid w:val="00FF37F4"/>
    <w:rsid w:val="038F26A8"/>
    <w:rsid w:val="064F5E39"/>
    <w:rsid w:val="0666710C"/>
    <w:rsid w:val="06987993"/>
    <w:rsid w:val="06A04E02"/>
    <w:rsid w:val="07C95CF0"/>
    <w:rsid w:val="08A6063E"/>
    <w:rsid w:val="090A732E"/>
    <w:rsid w:val="09395F07"/>
    <w:rsid w:val="0980202E"/>
    <w:rsid w:val="0C2D18F6"/>
    <w:rsid w:val="0C74046D"/>
    <w:rsid w:val="0C74502C"/>
    <w:rsid w:val="0C9E435B"/>
    <w:rsid w:val="0E2424C2"/>
    <w:rsid w:val="0E4D5FDC"/>
    <w:rsid w:val="0E920D59"/>
    <w:rsid w:val="0EF6378D"/>
    <w:rsid w:val="0F4B438A"/>
    <w:rsid w:val="0F5F2364"/>
    <w:rsid w:val="108F72CF"/>
    <w:rsid w:val="131045CF"/>
    <w:rsid w:val="13C93A11"/>
    <w:rsid w:val="14FA190D"/>
    <w:rsid w:val="15B90D9B"/>
    <w:rsid w:val="16D1773D"/>
    <w:rsid w:val="16E03711"/>
    <w:rsid w:val="171B45D7"/>
    <w:rsid w:val="171F23D0"/>
    <w:rsid w:val="172140B1"/>
    <w:rsid w:val="18407749"/>
    <w:rsid w:val="18605DE5"/>
    <w:rsid w:val="198E5D7A"/>
    <w:rsid w:val="19AE65EC"/>
    <w:rsid w:val="1A4733FB"/>
    <w:rsid w:val="1AE828E6"/>
    <w:rsid w:val="1B80768D"/>
    <w:rsid w:val="1B934FF1"/>
    <w:rsid w:val="1C4645D0"/>
    <w:rsid w:val="1CC00DAD"/>
    <w:rsid w:val="1CDC6680"/>
    <w:rsid w:val="1FB83C86"/>
    <w:rsid w:val="200B52AD"/>
    <w:rsid w:val="20C248FF"/>
    <w:rsid w:val="20C7306F"/>
    <w:rsid w:val="21C21357"/>
    <w:rsid w:val="22A5614E"/>
    <w:rsid w:val="23191664"/>
    <w:rsid w:val="24F757CD"/>
    <w:rsid w:val="2510744F"/>
    <w:rsid w:val="26CB3A97"/>
    <w:rsid w:val="28AB0525"/>
    <w:rsid w:val="29182632"/>
    <w:rsid w:val="292F1545"/>
    <w:rsid w:val="2A6D642C"/>
    <w:rsid w:val="2B121403"/>
    <w:rsid w:val="2B56471B"/>
    <w:rsid w:val="2B627ADB"/>
    <w:rsid w:val="2B7620B2"/>
    <w:rsid w:val="2B7F7663"/>
    <w:rsid w:val="2BF116F8"/>
    <w:rsid w:val="2C10540C"/>
    <w:rsid w:val="2C7F6F34"/>
    <w:rsid w:val="2CC6737D"/>
    <w:rsid w:val="2DC248E6"/>
    <w:rsid w:val="2DEE0CB6"/>
    <w:rsid w:val="2DF728E0"/>
    <w:rsid w:val="2E635145"/>
    <w:rsid w:val="2F327D37"/>
    <w:rsid w:val="3000208D"/>
    <w:rsid w:val="3068017B"/>
    <w:rsid w:val="316D5879"/>
    <w:rsid w:val="31731DEB"/>
    <w:rsid w:val="32BE4D29"/>
    <w:rsid w:val="32C30A6D"/>
    <w:rsid w:val="33FB321D"/>
    <w:rsid w:val="34A83596"/>
    <w:rsid w:val="34F334B8"/>
    <w:rsid w:val="34F41330"/>
    <w:rsid w:val="351C2CE5"/>
    <w:rsid w:val="3595191B"/>
    <w:rsid w:val="375E14C7"/>
    <w:rsid w:val="3788046B"/>
    <w:rsid w:val="37943026"/>
    <w:rsid w:val="38CC0686"/>
    <w:rsid w:val="3A0A3491"/>
    <w:rsid w:val="3A6A3A9C"/>
    <w:rsid w:val="3AB5709A"/>
    <w:rsid w:val="3B174B7D"/>
    <w:rsid w:val="3B8F4524"/>
    <w:rsid w:val="3C263B60"/>
    <w:rsid w:val="3CCE34CE"/>
    <w:rsid w:val="3D0362BE"/>
    <w:rsid w:val="3D9254EE"/>
    <w:rsid w:val="3DF91E60"/>
    <w:rsid w:val="3F0516CF"/>
    <w:rsid w:val="4101176F"/>
    <w:rsid w:val="41393424"/>
    <w:rsid w:val="41C71EA2"/>
    <w:rsid w:val="41C85B1F"/>
    <w:rsid w:val="4242185F"/>
    <w:rsid w:val="43BB2110"/>
    <w:rsid w:val="45796A8A"/>
    <w:rsid w:val="45852BBC"/>
    <w:rsid w:val="46E134C6"/>
    <w:rsid w:val="470A2787"/>
    <w:rsid w:val="48846629"/>
    <w:rsid w:val="48B64424"/>
    <w:rsid w:val="48BC1AE9"/>
    <w:rsid w:val="48D861D4"/>
    <w:rsid w:val="4938627E"/>
    <w:rsid w:val="4B0C2D59"/>
    <w:rsid w:val="4C687896"/>
    <w:rsid w:val="4D0C2A46"/>
    <w:rsid w:val="4D773D37"/>
    <w:rsid w:val="4DC7795F"/>
    <w:rsid w:val="4DCD24F0"/>
    <w:rsid w:val="4E2908FA"/>
    <w:rsid w:val="4E8E2CB9"/>
    <w:rsid w:val="4F4B5663"/>
    <w:rsid w:val="4FE84502"/>
    <w:rsid w:val="5019242D"/>
    <w:rsid w:val="50DA06FD"/>
    <w:rsid w:val="511856B3"/>
    <w:rsid w:val="53B63635"/>
    <w:rsid w:val="54F72FD6"/>
    <w:rsid w:val="55590F4B"/>
    <w:rsid w:val="558E7E27"/>
    <w:rsid w:val="57E029F3"/>
    <w:rsid w:val="587829EB"/>
    <w:rsid w:val="58E306E1"/>
    <w:rsid w:val="59050C34"/>
    <w:rsid w:val="59175C05"/>
    <w:rsid w:val="591F1927"/>
    <w:rsid w:val="59A17055"/>
    <w:rsid w:val="5A0929FE"/>
    <w:rsid w:val="5A3B24DB"/>
    <w:rsid w:val="5A3F2160"/>
    <w:rsid w:val="5B4D7F11"/>
    <w:rsid w:val="5D6B01A3"/>
    <w:rsid w:val="5DB226B9"/>
    <w:rsid w:val="5E005444"/>
    <w:rsid w:val="5E05117F"/>
    <w:rsid w:val="5E07619A"/>
    <w:rsid w:val="5E2870FF"/>
    <w:rsid w:val="5EA73109"/>
    <w:rsid w:val="5F5A1C09"/>
    <w:rsid w:val="60C64EA9"/>
    <w:rsid w:val="61B7774F"/>
    <w:rsid w:val="62D47345"/>
    <w:rsid w:val="62FB5527"/>
    <w:rsid w:val="631F49AA"/>
    <w:rsid w:val="640504F9"/>
    <w:rsid w:val="646060B2"/>
    <w:rsid w:val="64A02626"/>
    <w:rsid w:val="654A165E"/>
    <w:rsid w:val="67422F3F"/>
    <w:rsid w:val="682E5E47"/>
    <w:rsid w:val="68D53B49"/>
    <w:rsid w:val="69B11EF1"/>
    <w:rsid w:val="69B17059"/>
    <w:rsid w:val="6A013B91"/>
    <w:rsid w:val="6A0466C0"/>
    <w:rsid w:val="6A1D5FC7"/>
    <w:rsid w:val="6A635367"/>
    <w:rsid w:val="6A721A6C"/>
    <w:rsid w:val="6BC62D80"/>
    <w:rsid w:val="6BFB4E88"/>
    <w:rsid w:val="6C7C73A4"/>
    <w:rsid w:val="6C8379B0"/>
    <w:rsid w:val="6CD64211"/>
    <w:rsid w:val="6D5879DB"/>
    <w:rsid w:val="6F07071C"/>
    <w:rsid w:val="6F506472"/>
    <w:rsid w:val="70DE2E4E"/>
    <w:rsid w:val="7136141D"/>
    <w:rsid w:val="71AF745F"/>
    <w:rsid w:val="71C95F87"/>
    <w:rsid w:val="72AB6C13"/>
    <w:rsid w:val="72ED1C9C"/>
    <w:rsid w:val="730C1FAE"/>
    <w:rsid w:val="7338392C"/>
    <w:rsid w:val="73A03F55"/>
    <w:rsid w:val="7424676D"/>
    <w:rsid w:val="74961D43"/>
    <w:rsid w:val="74A00CD6"/>
    <w:rsid w:val="7502130E"/>
    <w:rsid w:val="757F6CCB"/>
    <w:rsid w:val="76385B62"/>
    <w:rsid w:val="77B51626"/>
    <w:rsid w:val="77E07328"/>
    <w:rsid w:val="798B2326"/>
    <w:rsid w:val="79A008A4"/>
    <w:rsid w:val="7AF80033"/>
    <w:rsid w:val="7D790212"/>
    <w:rsid w:val="7FF78E8B"/>
    <w:rsid w:val="DFEEAC96"/>
    <w:rsid w:val="F7FAD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9">
    <w:name w:val="列表段落1"/>
    <w:basedOn w:val="1"/>
    <w:qFormat/>
    <w:uiPriority w:val="34"/>
    <w:pPr>
      <w:ind w:firstLine="420" w:firstLineChars="200"/>
    </w:pPr>
    <w:rPr>
      <w:rFonts w:ascii="Calibri" w:hAnsi="Calibri" w:eastAsia="宋体" w:cs="Times New Roman"/>
      <w:szCs w:val="21"/>
    </w:rPr>
  </w:style>
  <w:style w:type="paragraph" w:styleId="10">
    <w:name w:val="List Paragraph"/>
    <w:basedOn w:val="1"/>
    <w:qFormat/>
    <w:uiPriority w:val="34"/>
    <w:pPr>
      <w:ind w:firstLine="420" w:firstLineChars="200"/>
    </w:pPr>
  </w:style>
  <w:style w:type="character" w:customStyle="1" w:styleId="11">
    <w:name w:val="页眉 字符"/>
    <w:basedOn w:val="6"/>
    <w:link w:val="5"/>
    <w:qFormat/>
    <w:uiPriority w:val="0"/>
    <w:rPr>
      <w:kern w:val="2"/>
      <w:sz w:val="18"/>
      <w:szCs w:val="18"/>
    </w:rPr>
  </w:style>
  <w:style w:type="character" w:customStyle="1" w:styleId="12">
    <w:name w:val="页脚 字符"/>
    <w:basedOn w:val="6"/>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3905</Words>
  <Characters>4179</Characters>
  <Lines>154</Lines>
  <Paragraphs>112</Paragraphs>
  <TotalTime>27</TotalTime>
  <ScaleCrop>false</ScaleCrop>
  <LinksUpToDate>false</LinksUpToDate>
  <CharactersWithSpaces>7972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2026-08-27T03:38:00Z</dcterms:created>
  <dc:creator>夏海燕</dc:creator>
  <cp:lastModifiedBy>投关</cp:lastModifiedBy>
  <dcterms:modified xsi:type="dcterms:W3CDTF">2026-08-28T09:58:43Z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C047120211A16BDE0CB25F637EB194B6</vt:lpwstr>
  </property>
</Properties>
</file>