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C52DE">
      <w:pPr>
        <w:spacing w:before="277" w:after="120" w:afterLines="50" w:line="360" w:lineRule="auto"/>
        <w:ind w:left="108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  <w:lang w:eastAsia="zh-CN"/>
        </w:rPr>
        <w:t>证券代码：600060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                                                                       </w:t>
      </w:r>
      <w:r>
        <w:rPr>
          <w:rFonts w:ascii="Times New Roman" w:hAnsi="Times New Roman" w:eastAsia="宋体" w:cs="Times New Roman"/>
          <w:spacing w:val="-1"/>
          <w:sz w:val="24"/>
          <w:szCs w:val="24"/>
          <w:lang w:eastAsia="zh-CN"/>
        </w:rPr>
        <w:t>证券简称：海信视像</w:t>
      </w:r>
    </w:p>
    <w:p w14:paraId="4A63CD70">
      <w:pPr>
        <w:spacing w:before="204" w:line="225" w:lineRule="auto"/>
        <w:jc w:val="center"/>
        <w:outlineLvl w:val="0"/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  <w:t>海信视像科技股份有限公司投资者关系活动记录表</w:t>
      </w:r>
    </w:p>
    <w:p w14:paraId="65E20D7D">
      <w:pPr>
        <w:spacing w:before="204" w:line="225" w:lineRule="auto"/>
        <w:jc w:val="right"/>
        <w:outlineLvl w:val="0"/>
        <w:rPr>
          <w:rFonts w:hint="default" w:ascii="Times New Roman" w:hAnsi="Times New Roman" w:cs="Times New Roman"/>
          <w:sz w:val="2"/>
          <w:lang w:val="en-US" w:eastAsia="zh-CN"/>
        </w:rPr>
      </w:pP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编号：202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6</w:t>
      </w: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-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0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val="en-US" w:eastAsia="zh-CN"/>
        </w:rPr>
        <w:t>6</w:t>
      </w:r>
    </w:p>
    <w:tbl>
      <w:tblPr>
        <w:tblStyle w:val="17"/>
        <w:tblW w:w="6023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87"/>
        <w:gridCol w:w="3761"/>
        <w:gridCol w:w="4515"/>
      </w:tblGrid>
      <w:tr w14:paraId="4BDFD9B7">
        <w:trPr>
          <w:trHeight w:val="2348" w:hRule="atLeast"/>
          <w:jc w:val="center"/>
        </w:trPr>
        <w:tc>
          <w:tcPr>
            <w:tcW w:w="968" w:type="pct"/>
            <w:vAlign w:val="center"/>
          </w:tcPr>
          <w:p w14:paraId="3BBFB38B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457A381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12854B1">
            <w:pPr>
              <w:pStyle w:val="18"/>
              <w:spacing w:before="78" w:line="356" w:lineRule="auto"/>
              <w:ind w:left="118" w:right="11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"/>
              </w:rPr>
              <w:t>投资者关系活</w:t>
            </w:r>
            <w:r>
              <w:rPr>
                <w:rFonts w:ascii="Times New Roman" w:hAnsi="Times New Roman" w:cs="Times New Roman"/>
                <w:spacing w:val="-3"/>
              </w:rPr>
              <w:t>动类别</w:t>
            </w:r>
          </w:p>
        </w:tc>
        <w:tc>
          <w:tcPr>
            <w:tcW w:w="1832" w:type="pct"/>
            <w:tcBorders>
              <w:right w:val="nil"/>
            </w:tcBorders>
          </w:tcPr>
          <w:p w14:paraId="3345F96C">
            <w:pPr>
              <w:pStyle w:val="18"/>
              <w:spacing w:before="117" w:line="220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特定对象调研</w:t>
            </w:r>
          </w:p>
          <w:p w14:paraId="1E7E661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媒体采访</w:t>
            </w:r>
          </w:p>
          <w:p w14:paraId="721F99F5">
            <w:pPr>
              <w:pStyle w:val="18"/>
              <w:spacing w:before="183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新闻发布会</w:t>
            </w:r>
          </w:p>
          <w:p w14:paraId="416233C8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spacing w:val="-6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现场参观</w:t>
            </w:r>
          </w:p>
          <w:p w14:paraId="6F69492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Segoe UI Symbol" w:hAnsi="Segoe UI Symbol" w:cs="Segoe UI Symbol"/>
                <w:spacing w:val="-5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其他</w:t>
            </w: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（电话会议）</w:t>
            </w:r>
          </w:p>
        </w:tc>
        <w:tc>
          <w:tcPr>
            <w:tcW w:w="2199" w:type="pct"/>
            <w:tcBorders>
              <w:left w:val="nil"/>
            </w:tcBorders>
          </w:tcPr>
          <w:p w14:paraId="35288B01">
            <w:pPr>
              <w:pStyle w:val="18"/>
              <w:spacing w:before="117" w:line="219" w:lineRule="auto"/>
              <w:ind w:left="484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分析师会议</w:t>
            </w:r>
          </w:p>
          <w:p w14:paraId="6F69686C">
            <w:pPr>
              <w:pStyle w:val="18"/>
              <w:spacing w:before="183" w:line="219" w:lineRule="auto"/>
              <w:ind w:left="511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Segoe UI Symbol" w:hAnsi="Segoe UI Symbol" w:cs="Segoe UI Symbol"/>
                <w:spacing w:val="-6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业绩说明会</w:t>
            </w:r>
          </w:p>
          <w:p w14:paraId="39D7E6E1">
            <w:pPr>
              <w:pStyle w:val="18"/>
              <w:spacing w:before="182" w:line="220" w:lineRule="auto"/>
              <w:ind w:left="511"/>
              <w:rPr>
                <w:rFonts w:ascii="Times New Roman" w:hAnsi="Times New Roman" w:cs="Times New Roman"/>
                <w:spacing w:val="-7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路演活动</w:t>
            </w:r>
          </w:p>
          <w:p w14:paraId="2AC11218">
            <w:pPr>
              <w:pStyle w:val="18"/>
              <w:spacing w:before="182" w:line="220" w:lineRule="auto"/>
              <w:ind w:left="511"/>
              <w:rPr>
                <w:rFonts w:ascii="Times New Roman" w:hAnsi="Times New Roman" w:cs="Times New Roman"/>
                <w:spacing w:val="-7"/>
                <w:lang w:eastAsia="zh-CN"/>
              </w:rPr>
            </w:pPr>
          </w:p>
        </w:tc>
      </w:tr>
      <w:tr w14:paraId="2F1C341C">
        <w:trPr>
          <w:trHeight w:val="941" w:hRule="atLeast"/>
          <w:jc w:val="center"/>
        </w:trPr>
        <w:tc>
          <w:tcPr>
            <w:tcW w:w="968" w:type="pct"/>
            <w:vAlign w:val="center"/>
          </w:tcPr>
          <w:p w14:paraId="65B027C1">
            <w:pPr>
              <w:pStyle w:val="18"/>
              <w:spacing w:before="115" w:line="220" w:lineRule="auto"/>
              <w:ind w:left="119"/>
              <w:jc w:val="center"/>
              <w:rPr>
                <w:rFonts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参与单位名称</w:t>
            </w:r>
          </w:p>
        </w:tc>
        <w:tc>
          <w:tcPr>
            <w:tcW w:w="4031" w:type="pct"/>
            <w:gridSpan w:val="2"/>
            <w:vAlign w:val="center"/>
          </w:tcPr>
          <w:p w14:paraId="6F102432">
            <w:pPr>
              <w:pStyle w:val="18"/>
              <w:spacing w:before="120" w:beforeLines="50" w:after="120" w:afterLines="50" w:line="360" w:lineRule="auto"/>
              <w:ind w:left="119" w:right="108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摩根士丹利、建信养老、汇丰银行、花旗银行、</w:t>
            </w:r>
            <w:r>
              <w:rPr>
                <w:rFonts w:ascii="Times New Roman" w:hAnsi="Times New Roman" w:cs="Times New Roman"/>
                <w:lang w:eastAsia="zh-CN"/>
              </w:rPr>
              <w:t>Point72</w:t>
            </w:r>
            <w:r>
              <w:rPr>
                <w:rFonts w:hint="eastAsia" w:ascii="Times New Roman" w:hAnsi="Times New Roman" w:cs="Times New Roman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lang w:eastAsia="zh-CN"/>
              </w:rPr>
              <w:t>CloudAlpha Capital</w:t>
            </w:r>
            <w:r>
              <w:rPr>
                <w:rFonts w:hint="eastAsia" w:ascii="Times New Roman" w:hAnsi="Times New Roman" w:cs="Times New Roman"/>
                <w:lang w:eastAsia="zh-CN"/>
              </w:rPr>
              <w:t>、</w:t>
            </w:r>
            <w:r>
              <w:rPr>
                <w:rFonts w:ascii="Times New Roman" w:hAnsi="Times New Roman" w:cs="Times New Roman"/>
                <w:lang w:eastAsia="zh-CN"/>
              </w:rPr>
              <w:t>FIL Investments International</w:t>
            </w:r>
            <w:r>
              <w:rPr>
                <w:rFonts w:hint="eastAsia" w:ascii="Times New Roman" w:hAnsi="Times New Roman" w:cs="Times New Roman"/>
                <w:lang w:eastAsia="zh-CN"/>
              </w:rPr>
              <w:t>、太平养老、华夏久盈、鹏华基金、长城基金、路博迈、平安基金、南方基金、泰信基金、兴业基金、嘉实基金、永赢基金、华富基金、交银施罗德、博道基金、东方基金、长安基金、长盛基金、富国基金、兴证全球基金、景顺长城、前海开源基金、华宝基金、天治基金、国泰基金、银河基金、海富通基金、国联安基金、华安基金、圆信永丰基金、华泰保兴基金、国金基金、京管泰富、</w:t>
            </w:r>
            <w:r>
              <w:rPr>
                <w:rFonts w:ascii="Times New Roman" w:hAnsi="Times New Roman" w:cs="Times New Roman"/>
                <w:lang w:eastAsia="zh-CN"/>
              </w:rPr>
              <w:t>曼林基金</w:t>
            </w:r>
            <w:r>
              <w:rPr>
                <w:rFonts w:hint="eastAsia" w:ascii="Times New Roman" w:hAnsi="Times New Roman" w:cs="Times New Roman"/>
                <w:lang w:eastAsia="zh-CN"/>
              </w:rPr>
              <w:t>、招商基金、宏利基金、建信基金、广发基金、睿远基金、信弘天禾、润晖资产、中邮保险、益恒投资、宏道投资、重阳投资、泰康资产、长江养老、源乐晟资产、青骊投资、中信建投、永诚资产、华夏理财、宁银理财、华创证券、华福证券、光大证券、东方证券、兴业证券、浙商资管、国泰海通、银河证券、中银国际证券、方正证券、中信证券、长江资管、广发证券、开源证券、国金证券、华源证券、国盛证券、华西证券、招商证券、国投证券、财通证券、野村东方国际证券、东方财富证券、西部证券、华泰证券、中泰证券、中金公司、中国东方、中信保诚、国联民生、海通国际、申万宏源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等</w:t>
            </w:r>
          </w:p>
        </w:tc>
      </w:tr>
      <w:tr w14:paraId="2B80DA64">
        <w:trPr>
          <w:trHeight w:val="578" w:hRule="atLeast"/>
          <w:jc w:val="center"/>
        </w:trPr>
        <w:tc>
          <w:tcPr>
            <w:tcW w:w="968" w:type="pct"/>
            <w:vAlign w:val="center"/>
          </w:tcPr>
          <w:p w14:paraId="6807D5DC">
            <w:pPr>
              <w:pStyle w:val="18"/>
              <w:spacing w:before="114" w:line="222" w:lineRule="auto"/>
              <w:ind w:left="1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时间</w:t>
            </w:r>
          </w:p>
        </w:tc>
        <w:tc>
          <w:tcPr>
            <w:tcW w:w="4031" w:type="pct"/>
            <w:gridSpan w:val="2"/>
            <w:vAlign w:val="center"/>
          </w:tcPr>
          <w:p w14:paraId="0FA441E6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2026年8月1日至2026年8月3</w:t>
            </w:r>
            <w:r>
              <w:rPr>
                <w:rFonts w:hint="eastAsia" w:ascii="Times New Roman" w:hAnsi="Times New Roman" w:cs="Times New Roman"/>
                <w:lang w:eastAsia="zh"/>
              </w:rPr>
              <w:t>1</w:t>
            </w:r>
            <w:r>
              <w:rPr>
                <w:rFonts w:hint="eastAsia" w:ascii="Times New Roman" w:hAnsi="Times New Roman" w:cs="Times New Roman"/>
                <w:lang w:eastAsia="zh-CN"/>
              </w:rPr>
              <w:t>日</w:t>
            </w:r>
          </w:p>
        </w:tc>
      </w:tr>
      <w:tr w14:paraId="3298256F">
        <w:trPr>
          <w:trHeight w:val="666" w:hRule="atLeast"/>
          <w:jc w:val="center"/>
        </w:trPr>
        <w:tc>
          <w:tcPr>
            <w:tcW w:w="968" w:type="pct"/>
            <w:vAlign w:val="center"/>
          </w:tcPr>
          <w:p w14:paraId="0946ECE6">
            <w:pPr>
              <w:pStyle w:val="18"/>
              <w:spacing w:before="117" w:line="224" w:lineRule="auto"/>
              <w:ind w:left="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地点</w:t>
            </w:r>
          </w:p>
        </w:tc>
        <w:tc>
          <w:tcPr>
            <w:tcW w:w="4031" w:type="pct"/>
            <w:gridSpan w:val="2"/>
            <w:vAlign w:val="center"/>
          </w:tcPr>
          <w:p w14:paraId="00FADA5F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公司会议室、电话会议等</w:t>
            </w:r>
          </w:p>
        </w:tc>
      </w:tr>
      <w:tr w14:paraId="00C2C4FD">
        <w:trPr>
          <w:trHeight w:val="90" w:hRule="atLeast"/>
          <w:jc w:val="center"/>
        </w:trPr>
        <w:tc>
          <w:tcPr>
            <w:tcW w:w="968" w:type="pct"/>
            <w:vAlign w:val="center"/>
          </w:tcPr>
          <w:p w14:paraId="11E0F2A3">
            <w:pPr>
              <w:pStyle w:val="18"/>
              <w:spacing w:before="116" w:line="313" w:lineRule="auto"/>
              <w:ind w:left="119" w:right="11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上市公司接待</w:t>
            </w:r>
            <w:r>
              <w:rPr>
                <w:rFonts w:ascii="Times New Roman" w:hAnsi="Times New Roman" w:cs="Times New Roman"/>
                <w:spacing w:val="-3"/>
                <w:lang w:eastAsia="zh-CN"/>
              </w:rPr>
              <w:t>人员姓名</w:t>
            </w:r>
          </w:p>
        </w:tc>
        <w:tc>
          <w:tcPr>
            <w:tcW w:w="4031" w:type="pct"/>
            <w:gridSpan w:val="2"/>
            <w:vAlign w:val="center"/>
          </w:tcPr>
          <w:p w14:paraId="49A8117C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董事、总裁    李    炜</w:t>
            </w:r>
          </w:p>
          <w:p w14:paraId="4FB3A39A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财务负责人    郑丽非</w:t>
            </w:r>
          </w:p>
          <w:p w14:paraId="69D2DD0F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董事会秘书   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lang w:eastAsia="zh-CN"/>
              </w:rPr>
              <w:t>范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lang w:eastAsia="zh-CN"/>
              </w:rPr>
              <w:t>潇</w:t>
            </w:r>
          </w:p>
        </w:tc>
      </w:tr>
      <w:tr w14:paraId="77E34C89">
        <w:trPr>
          <w:trHeight w:val="15030" w:hRule="atLeast"/>
          <w:jc w:val="center"/>
        </w:trPr>
        <w:tc>
          <w:tcPr>
            <w:tcW w:w="968" w:type="pct"/>
            <w:vAlign w:val="center"/>
          </w:tcPr>
          <w:p w14:paraId="314C7E04">
            <w:pPr>
              <w:pStyle w:val="18"/>
              <w:spacing w:before="116" w:line="313" w:lineRule="auto"/>
              <w:ind w:left="119" w:right="110"/>
              <w:jc w:val="both"/>
              <w:rPr>
                <w:rFonts w:ascii="Times New Roman" w:hAnsi="Times New Roman" w:cs="Times New Roman"/>
                <w:spacing w:val="4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投资者关系活动主要内容介</w:t>
            </w:r>
            <w:r>
              <w:rPr>
                <w:rFonts w:ascii="Times New Roman" w:hAnsi="Times New Roman" w:cs="Times New Roman"/>
                <w:lang w:eastAsia="zh-CN"/>
              </w:rPr>
              <w:t>绍</w:t>
            </w:r>
          </w:p>
        </w:tc>
        <w:tc>
          <w:tcPr>
            <w:tcW w:w="4031" w:type="pct"/>
            <w:gridSpan w:val="2"/>
            <w:vAlign w:val="center"/>
          </w:tcPr>
          <w:p w14:paraId="5D74EE1E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auto"/>
                <w:lang w:eastAsia="zh"/>
              </w:rPr>
              <w:t>上半年公司整体经营业绩如何？</w:t>
            </w:r>
          </w:p>
          <w:p w14:paraId="64A4A671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答：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2026年上半年，公司高端化、大屏化、智能化战略加速落地，驱动销售结构显著改善；研、产、销各环节运营效率持续提升，经营业绩继续向好。</w:t>
            </w:r>
          </w:p>
          <w:p w14:paraId="33D1D431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报告期内，公司实现主营业务收入276.84亿元，同比增长11.08%；归母净利润11.95亿元，同比增长13.23%。其中第二季度，公司实现主营业务收入142.33亿元，同比增长12.71%；归母净利润6.05亿元，同比增长20.40%</w:t>
            </w:r>
            <w:bookmarkStart w:id="0" w:name="_GoBack"/>
            <w:bookmarkEnd w:id="0"/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。</w:t>
            </w:r>
          </w:p>
          <w:p w14:paraId="05C3FB0E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高端大屏结构稳步提升，驱动价值链持续增长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。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公司坚定推进高端化、大屏化战略，销售结构持续优化，产品附加值不断提升，战略成效进一步显现。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报告期内，65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英寸及以上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、75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英寸及以上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、85英寸及以上、98英寸及以上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产品销售额内占比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分别提升至58%、40%、22%、7%；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Mini LED产品销售额内占比提升至35%；RGB-Mini LED产品实现从零到一的创新突破，销售额内占比已达 5%，未来增长潜力巨大。</w:t>
            </w:r>
          </w:p>
          <w:p w14:paraId="1A620357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lang w:eastAsia="zh"/>
              </w:rPr>
              <w:t>上半年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lang w:eastAsia="zh"/>
              </w:rPr>
              <w:t>公司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lang w:eastAsia="zh"/>
              </w:rPr>
              <w:t>市场表现怎么样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lang w:eastAsia="zh"/>
              </w:rPr>
              <w:t>？</w:t>
            </w:r>
          </w:p>
          <w:p w14:paraId="26B05911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答：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2026年上半年，海信系电视全球销售规模持续增长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。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根据奥维睿沃统计，海信系电视全球出货量市占率达14.74%，同比提升0.37个百分点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在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中国、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日本、南非及斯洛文尼亚位居第一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。高端大屏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产品结构不断优化升级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100英寸及以上产品销量同比增长48%，Mini LED产品销量同比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增长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74%。市场占有率方面，根据奥维睿沃数据，海信系75英寸及以上产品全球销量份额达18.07%，85英寸及以上、100英寸及以上产品分别以24.18%和50.26%的销量份额位居世界第一。</w:t>
            </w:r>
          </w:p>
          <w:p w14:paraId="4B072BD3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国内市场方面，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奥维云网监测数据显示，海信系电视在中国大陆零售额、零售量市占率分别为31.78%和26.08%，均位列行业第一。销售结构持续改善</w:t>
            </w: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100英寸及以上产品销量同比增长90%以上，Mini LED产品销量同比增长近40%，百吋及以上与Mini LED份额双第一，持续巩固高端份额。</w:t>
            </w:r>
          </w:p>
          <w:p w14:paraId="0DED383F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  <w:t>公司</w:t>
            </w:r>
            <w:r>
              <w:rPr>
                <w:rFonts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  <w:t>RGB-Mini LED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  <w:t>技术最新进展如何？</w:t>
            </w:r>
          </w:p>
          <w:p w14:paraId="207F115A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答：</w:t>
            </w:r>
            <w:r>
              <w:rPr>
                <w:rFonts w:asciiTheme="minorEastAsia" w:hAnsiTheme="minorEastAsia" w:eastAsiaTheme="minorEastAsia"/>
                <w:color w:val="auto"/>
                <w:lang w:eastAsia="zh-CN"/>
              </w:rPr>
              <w:t>2026年上半年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率先发布全新一代RGB-Mini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LED显示技术，在红、绿、蓝三原色发光芯片基础上引入天青色独立芯片，推出玲珑4芯真彩背光，搭配自研信芯AI画质芯片H7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Pro，结合AI光色控制算法与全链路色彩管理，一举打破高端电视画质、视觉健康与节能的“不可能三角”，形成领先海外品牌一年以上的技术代差。</w:t>
            </w:r>
          </w:p>
          <w:p w14:paraId="0F714CDC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公司牵头制定我国首个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行业标准，抢占产业话语权。在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2026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美加墨世界杯期间，海信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技术应用于视频裁判中心，以出色的画质表现提升判罚精准度，赢得国际足联官员的称赞。</w:t>
            </w:r>
          </w:p>
          <w:p w14:paraId="3346D40C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产业化方面，公司形成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UX 2026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、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E8S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、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U7S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、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E7S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及小墨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E5S Pro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等多层级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 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电视矩阵，覆盖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55-116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英寸，推动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技术由超高端旗舰向主流大屏市场普及；东芝电视同步推出原色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系列，强化多品牌协同效应；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 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显示器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UX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，进一步拓展专业创作与电竞场景，技术优势加快转化为市场竞争优势。根据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Omdia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数据，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2026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年上半年，海信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RGB-Mini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电视全球销量市占率达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47%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、国内销量市占率达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75%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以上，均位居第一。</w:t>
            </w:r>
          </w:p>
          <w:p w14:paraId="2A00B7E1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  <w:t>新显示新业务板块表现如何？</w:t>
            </w:r>
          </w:p>
          <w:p w14:paraId="46BC3194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答：2026年上半年，公司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在夯实智慧显示主业基础上，加速在激光显示、商用显示、芯片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、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智能穿戴等新显示新业务领域多点突破，第二增长曲线势能持续释放。</w:t>
            </w:r>
          </w:p>
          <w:p w14:paraId="2FFD8BD6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商用显示方面，公司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坚持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“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自主品牌+全球化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”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战略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持续深耕海外市场、聚焦高价值场景、优化渠道与产品结构，加快从单一硬件销售向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“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软硬一体场景化解决方案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”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转型升级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整体规模同比增长127%。</w:t>
            </w:r>
          </w:p>
          <w:p w14:paraId="6E503A4C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芯片业务方面，公司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逐步构建覆盖全场景的显示芯片矩阵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。上半年，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显示器SoC芯片收入同比增长超10倍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打破传统芯片厂商长期垄断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；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电视TCON芯片全球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市占率约45%，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稳居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行业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第一。</w:t>
            </w:r>
          </w:p>
          <w:p w14:paraId="09BEF8D4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激光显示方面，全球出货量同比增长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17%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，海外市场出货量同比增长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73%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。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公司在激光显示性能、集成小型化、核心零部件等关键方向持续突破，推出激光电视探索X1Pro等高端产品，实现抗光膜片的自主化、规模化量产，新增申请专利143件，累计达3103件。</w:t>
            </w:r>
          </w:p>
          <w:p w14:paraId="59ECED6A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新场景业务方面，公司推出全新形态的大白闺蜜机X8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Ultra及复用大屏显示技术的3A原画系列显示器，带动移动智慧屏国内出货量同比增长26.4%，显示器海外出货量同比增长287%；率先发布了Vidda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V11耳机和智能眼镜Vidda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G11，持续渗透高频生活场景；公司发布全球首款163英寸四基色Micro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LED及行业首款3D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Micro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 xml:space="preserve"> 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LED大屏解决方案，引领高端家庭显示消费持续升级。</w:t>
            </w:r>
          </w:p>
          <w:p w14:paraId="327D8C51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42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</w:pPr>
            <w:r>
              <w:rPr>
                <w:rFonts w:cs="Times New Roman" w:asciiTheme="minorEastAsia" w:hAnsiTheme="minorEastAsia" w:eastAsiaTheme="minorEastAsia"/>
                <w:b/>
                <w:bCs/>
                <w:color w:val="auto"/>
                <w:lang w:eastAsia="zh-CN"/>
              </w:rPr>
              <w:t>公司全球化布局及海外重点区域市场进展如何？</w:t>
            </w:r>
          </w:p>
          <w:p w14:paraId="62BE1CBE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答：2026年上半年，公司持续推进海外市场的研产销一体化布局与品牌升级战略，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积极携手世界杯等全球顶级赛事IP开展整合营销，并重点拓展战略市场及高端渠道，有效驱动品牌竞争力提升。在美加墨世界杯周期内，公司高端产品在海外市场销售实现快速增长，在美国、加拿大、墨西哥、德国、英国、法国、意大利、西班牙等 16个核心海外市场中，海信Mini LED电视零售量同比增长88%，100英寸及以上大屏电视零售量同比增长18%。</w:t>
            </w:r>
          </w:p>
          <w:p w14:paraId="7448CD66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在北美市场，公司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RGB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-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Mini LED多个系列新品成功进驻Best Buy、Liverpool等高端渠道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；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亚马逊渠道Prime Day期间，海信整体额占率同比提升6.2个点，其中Mini LED额占率渠道第一。报告期内，北美市场份额同比提升0.8个百分点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Mini LED产品销量同比翻倍以上增长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。</w:t>
            </w:r>
          </w:p>
          <w:p w14:paraId="0472D56B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在欧洲市场，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公司持续纵深推进欧洲区域研产销一体化布局，完善本土化运营体系，协同欧洲、中国、越南多制造基地优化供应链路径，全面强化交付韧性与产品竞争优势。报告期内，欧洲市场实现规模约两位数的同比增长，Mini LED产品销量同比增长60%以上。</w:t>
            </w:r>
          </w:p>
          <w:p w14:paraId="14DBF519">
            <w:pPr>
              <w:pStyle w:val="18"/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firstLine="480" w:firstLineChars="200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在东盟市场，公司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持续推进区域运营中心建设，越南工厂精益化与智能化能力不断提升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lang w:eastAsia="zh-CN"/>
              </w:rPr>
              <w:t>，</w:t>
            </w:r>
            <w:r>
              <w:rPr>
                <w:rFonts w:cs="Times New Roman" w:asciiTheme="minorEastAsia" w:hAnsiTheme="minorEastAsia" w:eastAsiaTheme="minorEastAsia"/>
                <w:color w:val="auto"/>
                <w:lang w:eastAsia="zh-CN"/>
              </w:rPr>
              <w:t>海信、东芝双品牌协同推进。报告期内，东盟市场实现规模同比增长30%以上，其中75英寸及以上产品销量同比增长超70%，Mini LED产品销量同比增长超过两倍。</w:t>
            </w:r>
          </w:p>
        </w:tc>
      </w:tr>
    </w:tbl>
    <w:p w14:paraId="04E46689">
      <w:pPr>
        <w:jc w:val="center"/>
        <w:rPr>
          <w:rFonts w:ascii="Times New Roman" w:hAnsi="Times New Roman" w:cs="Times New Roman"/>
          <w:lang w:eastAsia="zh-CN"/>
        </w:rPr>
      </w:pPr>
    </w:p>
    <w:sectPr>
      <w:pgSz w:w="11907" w:h="16839"/>
      <w:pgMar w:top="737" w:right="1694" w:bottom="737" w:left="169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F418FF"/>
    <w:multiLevelType w:val="multilevel"/>
    <w:tmpl w:val="4BF418FF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3270"/>
    <w:rsid w:val="00015357"/>
    <w:rsid w:val="000258DA"/>
    <w:rsid w:val="00026A3C"/>
    <w:rsid w:val="00026C8A"/>
    <w:rsid w:val="00027473"/>
    <w:rsid w:val="000433B0"/>
    <w:rsid w:val="00044712"/>
    <w:rsid w:val="00046864"/>
    <w:rsid w:val="000528A6"/>
    <w:rsid w:val="00055E5C"/>
    <w:rsid w:val="000566D4"/>
    <w:rsid w:val="00057E69"/>
    <w:rsid w:val="00063A98"/>
    <w:rsid w:val="000648F2"/>
    <w:rsid w:val="000720F6"/>
    <w:rsid w:val="00073297"/>
    <w:rsid w:val="0008708D"/>
    <w:rsid w:val="000878B0"/>
    <w:rsid w:val="00090AD7"/>
    <w:rsid w:val="00095EE6"/>
    <w:rsid w:val="00096328"/>
    <w:rsid w:val="000A12D3"/>
    <w:rsid w:val="000B5B1D"/>
    <w:rsid w:val="000C0A9B"/>
    <w:rsid w:val="000C4CE2"/>
    <w:rsid w:val="000D7D44"/>
    <w:rsid w:val="000F6158"/>
    <w:rsid w:val="001010F6"/>
    <w:rsid w:val="00102283"/>
    <w:rsid w:val="00111496"/>
    <w:rsid w:val="00115C8E"/>
    <w:rsid w:val="00116842"/>
    <w:rsid w:val="00132FD5"/>
    <w:rsid w:val="001339D6"/>
    <w:rsid w:val="00133D83"/>
    <w:rsid w:val="00135E16"/>
    <w:rsid w:val="0014043F"/>
    <w:rsid w:val="00152FD0"/>
    <w:rsid w:val="00153A81"/>
    <w:rsid w:val="00161E1E"/>
    <w:rsid w:val="0017109E"/>
    <w:rsid w:val="00172A27"/>
    <w:rsid w:val="001732F8"/>
    <w:rsid w:val="00180497"/>
    <w:rsid w:val="0018684E"/>
    <w:rsid w:val="001878F1"/>
    <w:rsid w:val="001A7542"/>
    <w:rsid w:val="001B1907"/>
    <w:rsid w:val="001B21C1"/>
    <w:rsid w:val="001B4CB6"/>
    <w:rsid w:val="001B58A9"/>
    <w:rsid w:val="001C061C"/>
    <w:rsid w:val="001C5778"/>
    <w:rsid w:val="001D1F73"/>
    <w:rsid w:val="001D66E8"/>
    <w:rsid w:val="001E0121"/>
    <w:rsid w:val="001E47F5"/>
    <w:rsid w:val="001F443D"/>
    <w:rsid w:val="001F7D21"/>
    <w:rsid w:val="0020072C"/>
    <w:rsid w:val="00202EDC"/>
    <w:rsid w:val="00204441"/>
    <w:rsid w:val="0020565F"/>
    <w:rsid w:val="002078FE"/>
    <w:rsid w:val="00215D42"/>
    <w:rsid w:val="00225297"/>
    <w:rsid w:val="00227F8A"/>
    <w:rsid w:val="002330D1"/>
    <w:rsid w:val="00237079"/>
    <w:rsid w:val="002419CA"/>
    <w:rsid w:val="00243458"/>
    <w:rsid w:val="00251171"/>
    <w:rsid w:val="0025222F"/>
    <w:rsid w:val="00253848"/>
    <w:rsid w:val="00254B68"/>
    <w:rsid w:val="00255864"/>
    <w:rsid w:val="002630E1"/>
    <w:rsid w:val="002639ED"/>
    <w:rsid w:val="002665EF"/>
    <w:rsid w:val="0027104C"/>
    <w:rsid w:val="00282F35"/>
    <w:rsid w:val="00283F2E"/>
    <w:rsid w:val="002941FC"/>
    <w:rsid w:val="002943D3"/>
    <w:rsid w:val="002A68BC"/>
    <w:rsid w:val="002E40FD"/>
    <w:rsid w:val="002E7A10"/>
    <w:rsid w:val="002F1506"/>
    <w:rsid w:val="002F353A"/>
    <w:rsid w:val="002F636D"/>
    <w:rsid w:val="003041E7"/>
    <w:rsid w:val="00304697"/>
    <w:rsid w:val="00306272"/>
    <w:rsid w:val="003079C9"/>
    <w:rsid w:val="0031273D"/>
    <w:rsid w:val="00313B73"/>
    <w:rsid w:val="00316B6A"/>
    <w:rsid w:val="0031796A"/>
    <w:rsid w:val="003211D9"/>
    <w:rsid w:val="00325CD5"/>
    <w:rsid w:val="0033713F"/>
    <w:rsid w:val="00343B75"/>
    <w:rsid w:val="00347596"/>
    <w:rsid w:val="00362BC7"/>
    <w:rsid w:val="00364753"/>
    <w:rsid w:val="003649E0"/>
    <w:rsid w:val="00365786"/>
    <w:rsid w:val="003727CA"/>
    <w:rsid w:val="0038006B"/>
    <w:rsid w:val="00381231"/>
    <w:rsid w:val="003A1EDC"/>
    <w:rsid w:val="003A6954"/>
    <w:rsid w:val="003B32E2"/>
    <w:rsid w:val="003B42D1"/>
    <w:rsid w:val="003B7529"/>
    <w:rsid w:val="003C6F36"/>
    <w:rsid w:val="003D14E6"/>
    <w:rsid w:val="003D1B90"/>
    <w:rsid w:val="003D524D"/>
    <w:rsid w:val="003D5FA5"/>
    <w:rsid w:val="003D7D3D"/>
    <w:rsid w:val="003E4F2C"/>
    <w:rsid w:val="003F10D8"/>
    <w:rsid w:val="003F4193"/>
    <w:rsid w:val="003F77B0"/>
    <w:rsid w:val="004002A7"/>
    <w:rsid w:val="00400638"/>
    <w:rsid w:val="00405F80"/>
    <w:rsid w:val="00416404"/>
    <w:rsid w:val="004238A1"/>
    <w:rsid w:val="004264B0"/>
    <w:rsid w:val="00445ED0"/>
    <w:rsid w:val="004466A9"/>
    <w:rsid w:val="0045514D"/>
    <w:rsid w:val="0046515E"/>
    <w:rsid w:val="0047436B"/>
    <w:rsid w:val="004808CF"/>
    <w:rsid w:val="00483747"/>
    <w:rsid w:val="004869F8"/>
    <w:rsid w:val="004902CD"/>
    <w:rsid w:val="0049271B"/>
    <w:rsid w:val="00497D95"/>
    <w:rsid w:val="004A074D"/>
    <w:rsid w:val="004A6874"/>
    <w:rsid w:val="004A6B28"/>
    <w:rsid w:val="004A6E80"/>
    <w:rsid w:val="004D379F"/>
    <w:rsid w:val="004D650C"/>
    <w:rsid w:val="004E110E"/>
    <w:rsid w:val="004E3581"/>
    <w:rsid w:val="004F0040"/>
    <w:rsid w:val="004F3993"/>
    <w:rsid w:val="004F73D3"/>
    <w:rsid w:val="005018B5"/>
    <w:rsid w:val="00503B28"/>
    <w:rsid w:val="00511139"/>
    <w:rsid w:val="0051216B"/>
    <w:rsid w:val="005155C1"/>
    <w:rsid w:val="005203B6"/>
    <w:rsid w:val="005228ED"/>
    <w:rsid w:val="005242AD"/>
    <w:rsid w:val="005436D0"/>
    <w:rsid w:val="00544F16"/>
    <w:rsid w:val="005521F8"/>
    <w:rsid w:val="00555B77"/>
    <w:rsid w:val="0057355D"/>
    <w:rsid w:val="00582B2F"/>
    <w:rsid w:val="00593B99"/>
    <w:rsid w:val="0059784C"/>
    <w:rsid w:val="005978C7"/>
    <w:rsid w:val="005A20E2"/>
    <w:rsid w:val="005A2C68"/>
    <w:rsid w:val="005A7D2E"/>
    <w:rsid w:val="005B57CE"/>
    <w:rsid w:val="005B5D5C"/>
    <w:rsid w:val="005B6903"/>
    <w:rsid w:val="005B7C43"/>
    <w:rsid w:val="005C1B7F"/>
    <w:rsid w:val="005C35F8"/>
    <w:rsid w:val="005C6DD5"/>
    <w:rsid w:val="005D2299"/>
    <w:rsid w:val="005E02BA"/>
    <w:rsid w:val="005E4AD7"/>
    <w:rsid w:val="005F257E"/>
    <w:rsid w:val="005F3A7A"/>
    <w:rsid w:val="005F3B68"/>
    <w:rsid w:val="00602685"/>
    <w:rsid w:val="00603B0A"/>
    <w:rsid w:val="0060571A"/>
    <w:rsid w:val="0061331C"/>
    <w:rsid w:val="00622EEF"/>
    <w:rsid w:val="006262FC"/>
    <w:rsid w:val="00626900"/>
    <w:rsid w:val="006366A9"/>
    <w:rsid w:val="00642804"/>
    <w:rsid w:val="0064439F"/>
    <w:rsid w:val="00646BDD"/>
    <w:rsid w:val="0065359E"/>
    <w:rsid w:val="00654F37"/>
    <w:rsid w:val="00660ACD"/>
    <w:rsid w:val="006642E7"/>
    <w:rsid w:val="006771F2"/>
    <w:rsid w:val="0068377E"/>
    <w:rsid w:val="00687417"/>
    <w:rsid w:val="00691AF0"/>
    <w:rsid w:val="00694F83"/>
    <w:rsid w:val="00697AF8"/>
    <w:rsid w:val="006A1AA5"/>
    <w:rsid w:val="006A38D3"/>
    <w:rsid w:val="006A40AC"/>
    <w:rsid w:val="006B0432"/>
    <w:rsid w:val="006B1E29"/>
    <w:rsid w:val="006B3BF4"/>
    <w:rsid w:val="006B5826"/>
    <w:rsid w:val="006B6C0C"/>
    <w:rsid w:val="006C6E82"/>
    <w:rsid w:val="006D6CFE"/>
    <w:rsid w:val="006D76E5"/>
    <w:rsid w:val="006E0741"/>
    <w:rsid w:val="006E43E9"/>
    <w:rsid w:val="006F253E"/>
    <w:rsid w:val="006F3A6B"/>
    <w:rsid w:val="00701A97"/>
    <w:rsid w:val="00701CDE"/>
    <w:rsid w:val="00703C9D"/>
    <w:rsid w:val="00705BAB"/>
    <w:rsid w:val="007069FF"/>
    <w:rsid w:val="0071271A"/>
    <w:rsid w:val="0071680F"/>
    <w:rsid w:val="00721A3C"/>
    <w:rsid w:val="007235DA"/>
    <w:rsid w:val="007253E1"/>
    <w:rsid w:val="00725F92"/>
    <w:rsid w:val="00734E08"/>
    <w:rsid w:val="00735CFA"/>
    <w:rsid w:val="00735FB6"/>
    <w:rsid w:val="0073618F"/>
    <w:rsid w:val="00747F36"/>
    <w:rsid w:val="007514AB"/>
    <w:rsid w:val="00754290"/>
    <w:rsid w:val="00754498"/>
    <w:rsid w:val="0075590F"/>
    <w:rsid w:val="00756484"/>
    <w:rsid w:val="00760794"/>
    <w:rsid w:val="00763464"/>
    <w:rsid w:val="007673F5"/>
    <w:rsid w:val="00767D1A"/>
    <w:rsid w:val="00776833"/>
    <w:rsid w:val="0078668C"/>
    <w:rsid w:val="00790039"/>
    <w:rsid w:val="007A0723"/>
    <w:rsid w:val="007A0FB9"/>
    <w:rsid w:val="007A22A9"/>
    <w:rsid w:val="007B14E0"/>
    <w:rsid w:val="007C57A9"/>
    <w:rsid w:val="007C6CB9"/>
    <w:rsid w:val="007D2BC0"/>
    <w:rsid w:val="007D3C9B"/>
    <w:rsid w:val="007E6C7E"/>
    <w:rsid w:val="007F30CB"/>
    <w:rsid w:val="007F60B3"/>
    <w:rsid w:val="008035EF"/>
    <w:rsid w:val="008062D6"/>
    <w:rsid w:val="008071CB"/>
    <w:rsid w:val="0081161C"/>
    <w:rsid w:val="0081198C"/>
    <w:rsid w:val="008213AD"/>
    <w:rsid w:val="00821D7D"/>
    <w:rsid w:val="008254FF"/>
    <w:rsid w:val="0082555A"/>
    <w:rsid w:val="00830360"/>
    <w:rsid w:val="00832AC0"/>
    <w:rsid w:val="00841766"/>
    <w:rsid w:val="008435C9"/>
    <w:rsid w:val="008449E3"/>
    <w:rsid w:val="00847215"/>
    <w:rsid w:val="00855870"/>
    <w:rsid w:val="0087238E"/>
    <w:rsid w:val="00877B66"/>
    <w:rsid w:val="00887818"/>
    <w:rsid w:val="00897825"/>
    <w:rsid w:val="008A4DB6"/>
    <w:rsid w:val="008A5910"/>
    <w:rsid w:val="008B4BD6"/>
    <w:rsid w:val="008B60ED"/>
    <w:rsid w:val="008B68E8"/>
    <w:rsid w:val="008C224B"/>
    <w:rsid w:val="008C24E6"/>
    <w:rsid w:val="008C2D1A"/>
    <w:rsid w:val="008C4D9D"/>
    <w:rsid w:val="008D33E8"/>
    <w:rsid w:val="008D5C2C"/>
    <w:rsid w:val="008D6412"/>
    <w:rsid w:val="008D768F"/>
    <w:rsid w:val="008F0267"/>
    <w:rsid w:val="00900F18"/>
    <w:rsid w:val="00912E03"/>
    <w:rsid w:val="0091785A"/>
    <w:rsid w:val="00922450"/>
    <w:rsid w:val="009301CB"/>
    <w:rsid w:val="0093392E"/>
    <w:rsid w:val="00935084"/>
    <w:rsid w:val="00935402"/>
    <w:rsid w:val="00940A3C"/>
    <w:rsid w:val="009445BA"/>
    <w:rsid w:val="00950F3C"/>
    <w:rsid w:val="009566ED"/>
    <w:rsid w:val="009570DB"/>
    <w:rsid w:val="00963F33"/>
    <w:rsid w:val="009715D6"/>
    <w:rsid w:val="00971B3B"/>
    <w:rsid w:val="0098378D"/>
    <w:rsid w:val="00984506"/>
    <w:rsid w:val="00985409"/>
    <w:rsid w:val="00987326"/>
    <w:rsid w:val="0099014A"/>
    <w:rsid w:val="009919D6"/>
    <w:rsid w:val="00994859"/>
    <w:rsid w:val="009954D6"/>
    <w:rsid w:val="009A1671"/>
    <w:rsid w:val="009A66CD"/>
    <w:rsid w:val="009A7ED2"/>
    <w:rsid w:val="009B2534"/>
    <w:rsid w:val="009B5B12"/>
    <w:rsid w:val="009B7B0F"/>
    <w:rsid w:val="009C1127"/>
    <w:rsid w:val="009C7F78"/>
    <w:rsid w:val="009D0B7C"/>
    <w:rsid w:val="009E5C19"/>
    <w:rsid w:val="009E6DBB"/>
    <w:rsid w:val="009E77AC"/>
    <w:rsid w:val="009F5C67"/>
    <w:rsid w:val="009F6113"/>
    <w:rsid w:val="00A007F4"/>
    <w:rsid w:val="00A065F7"/>
    <w:rsid w:val="00A07E30"/>
    <w:rsid w:val="00A23B10"/>
    <w:rsid w:val="00A25571"/>
    <w:rsid w:val="00A25AB4"/>
    <w:rsid w:val="00A262F1"/>
    <w:rsid w:val="00A30CCF"/>
    <w:rsid w:val="00A3641B"/>
    <w:rsid w:val="00A4434C"/>
    <w:rsid w:val="00A505E5"/>
    <w:rsid w:val="00A5461E"/>
    <w:rsid w:val="00A634F6"/>
    <w:rsid w:val="00A77627"/>
    <w:rsid w:val="00A85DF0"/>
    <w:rsid w:val="00AA0E52"/>
    <w:rsid w:val="00AA6C3B"/>
    <w:rsid w:val="00AA70F6"/>
    <w:rsid w:val="00AB32CF"/>
    <w:rsid w:val="00AB3CF9"/>
    <w:rsid w:val="00AB5A40"/>
    <w:rsid w:val="00AC7BB4"/>
    <w:rsid w:val="00AC7F69"/>
    <w:rsid w:val="00AE1B1A"/>
    <w:rsid w:val="00AF2AEA"/>
    <w:rsid w:val="00B16D06"/>
    <w:rsid w:val="00B1769C"/>
    <w:rsid w:val="00B20200"/>
    <w:rsid w:val="00B411F9"/>
    <w:rsid w:val="00B42227"/>
    <w:rsid w:val="00B54DEB"/>
    <w:rsid w:val="00B608BD"/>
    <w:rsid w:val="00B635FD"/>
    <w:rsid w:val="00B75C0D"/>
    <w:rsid w:val="00B77915"/>
    <w:rsid w:val="00B82CFC"/>
    <w:rsid w:val="00B84A94"/>
    <w:rsid w:val="00B90D34"/>
    <w:rsid w:val="00B919C0"/>
    <w:rsid w:val="00B97E05"/>
    <w:rsid w:val="00BA1605"/>
    <w:rsid w:val="00BA54F6"/>
    <w:rsid w:val="00BC36E1"/>
    <w:rsid w:val="00BC70DF"/>
    <w:rsid w:val="00BC7451"/>
    <w:rsid w:val="00BD4BFC"/>
    <w:rsid w:val="00BE2107"/>
    <w:rsid w:val="00BE3A85"/>
    <w:rsid w:val="00BE5771"/>
    <w:rsid w:val="00BF69A2"/>
    <w:rsid w:val="00C00431"/>
    <w:rsid w:val="00C012C4"/>
    <w:rsid w:val="00C04086"/>
    <w:rsid w:val="00C0429E"/>
    <w:rsid w:val="00C06121"/>
    <w:rsid w:val="00C06DF6"/>
    <w:rsid w:val="00C1087C"/>
    <w:rsid w:val="00C12561"/>
    <w:rsid w:val="00C17F1D"/>
    <w:rsid w:val="00C21026"/>
    <w:rsid w:val="00C21C58"/>
    <w:rsid w:val="00C22DFC"/>
    <w:rsid w:val="00C235CF"/>
    <w:rsid w:val="00C248D5"/>
    <w:rsid w:val="00C27962"/>
    <w:rsid w:val="00C30463"/>
    <w:rsid w:val="00C3085F"/>
    <w:rsid w:val="00C330F9"/>
    <w:rsid w:val="00C37CA3"/>
    <w:rsid w:val="00C506B4"/>
    <w:rsid w:val="00C54CCF"/>
    <w:rsid w:val="00C55CE5"/>
    <w:rsid w:val="00C57139"/>
    <w:rsid w:val="00C661B1"/>
    <w:rsid w:val="00C721DD"/>
    <w:rsid w:val="00C7403E"/>
    <w:rsid w:val="00C80C4A"/>
    <w:rsid w:val="00C8294D"/>
    <w:rsid w:val="00C871FF"/>
    <w:rsid w:val="00C92ECE"/>
    <w:rsid w:val="00C9419A"/>
    <w:rsid w:val="00C9501B"/>
    <w:rsid w:val="00C95359"/>
    <w:rsid w:val="00CA5D74"/>
    <w:rsid w:val="00CB6B05"/>
    <w:rsid w:val="00CB7634"/>
    <w:rsid w:val="00CB78FF"/>
    <w:rsid w:val="00CC30E7"/>
    <w:rsid w:val="00CC6824"/>
    <w:rsid w:val="00CD358E"/>
    <w:rsid w:val="00CD4A4E"/>
    <w:rsid w:val="00CD511D"/>
    <w:rsid w:val="00CE5D2B"/>
    <w:rsid w:val="00CF37E2"/>
    <w:rsid w:val="00D05F96"/>
    <w:rsid w:val="00D0641B"/>
    <w:rsid w:val="00D0659C"/>
    <w:rsid w:val="00D068E7"/>
    <w:rsid w:val="00D13C5F"/>
    <w:rsid w:val="00D15993"/>
    <w:rsid w:val="00D21F86"/>
    <w:rsid w:val="00D25D6B"/>
    <w:rsid w:val="00D300DD"/>
    <w:rsid w:val="00D30CD2"/>
    <w:rsid w:val="00D31D16"/>
    <w:rsid w:val="00D41C2F"/>
    <w:rsid w:val="00D434B6"/>
    <w:rsid w:val="00D46F9C"/>
    <w:rsid w:val="00D51F0B"/>
    <w:rsid w:val="00D6574B"/>
    <w:rsid w:val="00D70681"/>
    <w:rsid w:val="00D77196"/>
    <w:rsid w:val="00D82759"/>
    <w:rsid w:val="00D96A06"/>
    <w:rsid w:val="00DA53D6"/>
    <w:rsid w:val="00DC5168"/>
    <w:rsid w:val="00DD3808"/>
    <w:rsid w:val="00DE0B40"/>
    <w:rsid w:val="00DE3D73"/>
    <w:rsid w:val="00DE5956"/>
    <w:rsid w:val="00DF152D"/>
    <w:rsid w:val="00DF24CF"/>
    <w:rsid w:val="00DF5FC9"/>
    <w:rsid w:val="00E0452D"/>
    <w:rsid w:val="00E104C3"/>
    <w:rsid w:val="00E116A1"/>
    <w:rsid w:val="00E13EDA"/>
    <w:rsid w:val="00E22F5A"/>
    <w:rsid w:val="00E236EE"/>
    <w:rsid w:val="00E2376B"/>
    <w:rsid w:val="00E273C3"/>
    <w:rsid w:val="00E33296"/>
    <w:rsid w:val="00E36234"/>
    <w:rsid w:val="00E40699"/>
    <w:rsid w:val="00E4143F"/>
    <w:rsid w:val="00E503CA"/>
    <w:rsid w:val="00E61428"/>
    <w:rsid w:val="00E61436"/>
    <w:rsid w:val="00E72277"/>
    <w:rsid w:val="00E73F47"/>
    <w:rsid w:val="00E76DD0"/>
    <w:rsid w:val="00E776E6"/>
    <w:rsid w:val="00E80FFB"/>
    <w:rsid w:val="00EA0E43"/>
    <w:rsid w:val="00EA6DE2"/>
    <w:rsid w:val="00EB2569"/>
    <w:rsid w:val="00EC2BB0"/>
    <w:rsid w:val="00ED2BB7"/>
    <w:rsid w:val="00ED52EF"/>
    <w:rsid w:val="00EE1D7E"/>
    <w:rsid w:val="00EE4867"/>
    <w:rsid w:val="00F01655"/>
    <w:rsid w:val="00F02112"/>
    <w:rsid w:val="00F04FBD"/>
    <w:rsid w:val="00F066C2"/>
    <w:rsid w:val="00F078B0"/>
    <w:rsid w:val="00F15977"/>
    <w:rsid w:val="00F1678C"/>
    <w:rsid w:val="00F16B8C"/>
    <w:rsid w:val="00F27911"/>
    <w:rsid w:val="00F317DB"/>
    <w:rsid w:val="00F564FC"/>
    <w:rsid w:val="00F60D2B"/>
    <w:rsid w:val="00F6150B"/>
    <w:rsid w:val="00F63A0D"/>
    <w:rsid w:val="00F65269"/>
    <w:rsid w:val="00F654B8"/>
    <w:rsid w:val="00F65985"/>
    <w:rsid w:val="00F67A80"/>
    <w:rsid w:val="00FB37BD"/>
    <w:rsid w:val="00FC266A"/>
    <w:rsid w:val="00FD1A68"/>
    <w:rsid w:val="00FD3F90"/>
    <w:rsid w:val="00FD4774"/>
    <w:rsid w:val="00FD7C16"/>
    <w:rsid w:val="00FE1CDA"/>
    <w:rsid w:val="00FE4037"/>
    <w:rsid w:val="00FE57BF"/>
    <w:rsid w:val="00FF060C"/>
    <w:rsid w:val="00FF4DC1"/>
    <w:rsid w:val="00FF50B2"/>
    <w:rsid w:val="012B4701"/>
    <w:rsid w:val="01A473FF"/>
    <w:rsid w:val="01D628BE"/>
    <w:rsid w:val="02203B3A"/>
    <w:rsid w:val="0261487E"/>
    <w:rsid w:val="02CC7B09"/>
    <w:rsid w:val="03035935"/>
    <w:rsid w:val="036A7762"/>
    <w:rsid w:val="037C716B"/>
    <w:rsid w:val="038720C2"/>
    <w:rsid w:val="03930A79"/>
    <w:rsid w:val="03CA2248"/>
    <w:rsid w:val="03E219EE"/>
    <w:rsid w:val="04137DFA"/>
    <w:rsid w:val="047343F5"/>
    <w:rsid w:val="04C609C8"/>
    <w:rsid w:val="056A57F8"/>
    <w:rsid w:val="05F652DD"/>
    <w:rsid w:val="061439B5"/>
    <w:rsid w:val="066C1739"/>
    <w:rsid w:val="076C7F34"/>
    <w:rsid w:val="07F1509C"/>
    <w:rsid w:val="080261BB"/>
    <w:rsid w:val="08A70B11"/>
    <w:rsid w:val="091A424A"/>
    <w:rsid w:val="091E40AA"/>
    <w:rsid w:val="09671F72"/>
    <w:rsid w:val="0972111F"/>
    <w:rsid w:val="09BC05EC"/>
    <w:rsid w:val="09DD72C1"/>
    <w:rsid w:val="09E10052"/>
    <w:rsid w:val="09FB7366"/>
    <w:rsid w:val="0A675A94"/>
    <w:rsid w:val="0A6D7B38"/>
    <w:rsid w:val="0A7B4003"/>
    <w:rsid w:val="0B15662E"/>
    <w:rsid w:val="0BA6296F"/>
    <w:rsid w:val="0BE80A87"/>
    <w:rsid w:val="0CC65882"/>
    <w:rsid w:val="0CDA7707"/>
    <w:rsid w:val="0DB24763"/>
    <w:rsid w:val="0E4534CF"/>
    <w:rsid w:val="0E9E4764"/>
    <w:rsid w:val="0EB9334C"/>
    <w:rsid w:val="0F8B28D2"/>
    <w:rsid w:val="0FA0760F"/>
    <w:rsid w:val="0FBF79A8"/>
    <w:rsid w:val="10030B85"/>
    <w:rsid w:val="101051ED"/>
    <w:rsid w:val="10190546"/>
    <w:rsid w:val="12527D3F"/>
    <w:rsid w:val="12AA1929"/>
    <w:rsid w:val="12AB2A46"/>
    <w:rsid w:val="13170AE0"/>
    <w:rsid w:val="138403CC"/>
    <w:rsid w:val="1384217A"/>
    <w:rsid w:val="14245C02"/>
    <w:rsid w:val="14642FB3"/>
    <w:rsid w:val="14E629C1"/>
    <w:rsid w:val="150D0E85"/>
    <w:rsid w:val="155D48B9"/>
    <w:rsid w:val="160E6673"/>
    <w:rsid w:val="1708666A"/>
    <w:rsid w:val="17D42FA4"/>
    <w:rsid w:val="19037FE5"/>
    <w:rsid w:val="19900A12"/>
    <w:rsid w:val="19C24C2F"/>
    <w:rsid w:val="19F33BB6"/>
    <w:rsid w:val="1A310B82"/>
    <w:rsid w:val="1A8D7508"/>
    <w:rsid w:val="1AC437A4"/>
    <w:rsid w:val="1B5A59F0"/>
    <w:rsid w:val="1BF105C9"/>
    <w:rsid w:val="1CB11B06"/>
    <w:rsid w:val="1CDD1FCF"/>
    <w:rsid w:val="1CFA16FF"/>
    <w:rsid w:val="1D2422D8"/>
    <w:rsid w:val="1D5202A2"/>
    <w:rsid w:val="1D532BBD"/>
    <w:rsid w:val="1DA13AFA"/>
    <w:rsid w:val="1E000793"/>
    <w:rsid w:val="1E370533"/>
    <w:rsid w:val="1EE95587"/>
    <w:rsid w:val="1F182311"/>
    <w:rsid w:val="1F503520"/>
    <w:rsid w:val="1F5844BB"/>
    <w:rsid w:val="1F69491A"/>
    <w:rsid w:val="1F980D5B"/>
    <w:rsid w:val="1FA3063F"/>
    <w:rsid w:val="1FAD3F88"/>
    <w:rsid w:val="20897AC0"/>
    <w:rsid w:val="208D2876"/>
    <w:rsid w:val="20F46465"/>
    <w:rsid w:val="210B63F6"/>
    <w:rsid w:val="211D3DA7"/>
    <w:rsid w:val="2129610F"/>
    <w:rsid w:val="21747CD2"/>
    <w:rsid w:val="21FB3F4F"/>
    <w:rsid w:val="220821C8"/>
    <w:rsid w:val="22291FCF"/>
    <w:rsid w:val="22AB6B3F"/>
    <w:rsid w:val="23937AC8"/>
    <w:rsid w:val="23E00F22"/>
    <w:rsid w:val="23E634F2"/>
    <w:rsid w:val="24B0361B"/>
    <w:rsid w:val="25203CCD"/>
    <w:rsid w:val="252D7F94"/>
    <w:rsid w:val="25675458"/>
    <w:rsid w:val="25FD42CD"/>
    <w:rsid w:val="26154EB4"/>
    <w:rsid w:val="26661BB3"/>
    <w:rsid w:val="26696E6A"/>
    <w:rsid w:val="267F67D1"/>
    <w:rsid w:val="26C012C4"/>
    <w:rsid w:val="28420146"/>
    <w:rsid w:val="299B7DC6"/>
    <w:rsid w:val="2A4E308A"/>
    <w:rsid w:val="2B6A7A50"/>
    <w:rsid w:val="2B822FEC"/>
    <w:rsid w:val="2BDA654F"/>
    <w:rsid w:val="2CA15303"/>
    <w:rsid w:val="2D8C63A3"/>
    <w:rsid w:val="2E7B3D35"/>
    <w:rsid w:val="2EA927A9"/>
    <w:rsid w:val="2EAB0AAB"/>
    <w:rsid w:val="2F274D9B"/>
    <w:rsid w:val="2F6649D2"/>
    <w:rsid w:val="2F991CA5"/>
    <w:rsid w:val="30DD2A72"/>
    <w:rsid w:val="315076E8"/>
    <w:rsid w:val="3227669B"/>
    <w:rsid w:val="32854830"/>
    <w:rsid w:val="34930017"/>
    <w:rsid w:val="35244AF8"/>
    <w:rsid w:val="358D0FE4"/>
    <w:rsid w:val="35D7578A"/>
    <w:rsid w:val="35DC59EE"/>
    <w:rsid w:val="35E674FA"/>
    <w:rsid w:val="36405F7D"/>
    <w:rsid w:val="3652180C"/>
    <w:rsid w:val="36A007CA"/>
    <w:rsid w:val="378659C1"/>
    <w:rsid w:val="37922808"/>
    <w:rsid w:val="37EB1F18"/>
    <w:rsid w:val="37EFE4A2"/>
    <w:rsid w:val="37FD7E3D"/>
    <w:rsid w:val="38363929"/>
    <w:rsid w:val="38BD1B07"/>
    <w:rsid w:val="38F60B75"/>
    <w:rsid w:val="39380748"/>
    <w:rsid w:val="39FE4185"/>
    <w:rsid w:val="3A2B2AA0"/>
    <w:rsid w:val="3A396F6B"/>
    <w:rsid w:val="3AC67785"/>
    <w:rsid w:val="3AD55680"/>
    <w:rsid w:val="3B874CE3"/>
    <w:rsid w:val="3BE63813"/>
    <w:rsid w:val="3C3519B4"/>
    <w:rsid w:val="3DC6320C"/>
    <w:rsid w:val="3DFF798A"/>
    <w:rsid w:val="3EFB0C93"/>
    <w:rsid w:val="3F196A3A"/>
    <w:rsid w:val="3F5D7BA0"/>
    <w:rsid w:val="3F7B000C"/>
    <w:rsid w:val="3FBDB402"/>
    <w:rsid w:val="3FBDE036"/>
    <w:rsid w:val="3FBF4DC9"/>
    <w:rsid w:val="3FF3309B"/>
    <w:rsid w:val="3FF54374"/>
    <w:rsid w:val="3FFFD3C9"/>
    <w:rsid w:val="403D52DB"/>
    <w:rsid w:val="404B6D6F"/>
    <w:rsid w:val="41B45A71"/>
    <w:rsid w:val="421B33FA"/>
    <w:rsid w:val="42E514F0"/>
    <w:rsid w:val="432205D2"/>
    <w:rsid w:val="436A63E7"/>
    <w:rsid w:val="437E6337"/>
    <w:rsid w:val="44537B7B"/>
    <w:rsid w:val="44B32884"/>
    <w:rsid w:val="44E879B5"/>
    <w:rsid w:val="45B846D6"/>
    <w:rsid w:val="46813FDD"/>
    <w:rsid w:val="46F3437B"/>
    <w:rsid w:val="47617B01"/>
    <w:rsid w:val="47F008D6"/>
    <w:rsid w:val="47FDC3CE"/>
    <w:rsid w:val="484F02A2"/>
    <w:rsid w:val="488C4C47"/>
    <w:rsid w:val="48A44149"/>
    <w:rsid w:val="48A9177E"/>
    <w:rsid w:val="48C46704"/>
    <w:rsid w:val="492D2391"/>
    <w:rsid w:val="49D62A28"/>
    <w:rsid w:val="49E8450A"/>
    <w:rsid w:val="4A4A0D21"/>
    <w:rsid w:val="4A6E0CD3"/>
    <w:rsid w:val="4AD60806"/>
    <w:rsid w:val="4B683F6F"/>
    <w:rsid w:val="4BF74ED8"/>
    <w:rsid w:val="4BFC429C"/>
    <w:rsid w:val="4C013FBC"/>
    <w:rsid w:val="4C5FC75B"/>
    <w:rsid w:val="4C7402D7"/>
    <w:rsid w:val="4C8B22A5"/>
    <w:rsid w:val="4D1F506A"/>
    <w:rsid w:val="4F0F2539"/>
    <w:rsid w:val="4F1B7FA7"/>
    <w:rsid w:val="4F55619D"/>
    <w:rsid w:val="4F7C497F"/>
    <w:rsid w:val="4FA7451F"/>
    <w:rsid w:val="4FE039D8"/>
    <w:rsid w:val="50264753"/>
    <w:rsid w:val="503A176D"/>
    <w:rsid w:val="50DF4CBB"/>
    <w:rsid w:val="51581605"/>
    <w:rsid w:val="51C26265"/>
    <w:rsid w:val="51FD48CA"/>
    <w:rsid w:val="528A2602"/>
    <w:rsid w:val="529A036B"/>
    <w:rsid w:val="529B7BC9"/>
    <w:rsid w:val="53255590"/>
    <w:rsid w:val="53853260"/>
    <w:rsid w:val="53AE40CE"/>
    <w:rsid w:val="53D77AC9"/>
    <w:rsid w:val="53E06252"/>
    <w:rsid w:val="557B40F7"/>
    <w:rsid w:val="55F10BEA"/>
    <w:rsid w:val="57415259"/>
    <w:rsid w:val="57995095"/>
    <w:rsid w:val="58D05804"/>
    <w:rsid w:val="5A335695"/>
    <w:rsid w:val="5AB77ABD"/>
    <w:rsid w:val="5B0847CE"/>
    <w:rsid w:val="5C2B2A4F"/>
    <w:rsid w:val="5CC63083"/>
    <w:rsid w:val="5CC83CEB"/>
    <w:rsid w:val="5CEB76B4"/>
    <w:rsid w:val="5D212727"/>
    <w:rsid w:val="5D464BE3"/>
    <w:rsid w:val="5DE03A1E"/>
    <w:rsid w:val="5DE30E18"/>
    <w:rsid w:val="5EFC8863"/>
    <w:rsid w:val="5F3D2D8C"/>
    <w:rsid w:val="5F7F2DC3"/>
    <w:rsid w:val="5FDDE7C1"/>
    <w:rsid w:val="5FEFFE4E"/>
    <w:rsid w:val="5FF39DF9"/>
    <w:rsid w:val="603262EF"/>
    <w:rsid w:val="60B13450"/>
    <w:rsid w:val="60FE2644"/>
    <w:rsid w:val="621FCB9C"/>
    <w:rsid w:val="625E7607"/>
    <w:rsid w:val="63021D41"/>
    <w:rsid w:val="63057A83"/>
    <w:rsid w:val="63AD76F5"/>
    <w:rsid w:val="642A7E72"/>
    <w:rsid w:val="64671D6D"/>
    <w:rsid w:val="64CA0FF6"/>
    <w:rsid w:val="64F102BF"/>
    <w:rsid w:val="64F551FD"/>
    <w:rsid w:val="654F5217"/>
    <w:rsid w:val="657F3B1C"/>
    <w:rsid w:val="65BF044E"/>
    <w:rsid w:val="660D1128"/>
    <w:rsid w:val="66553BDD"/>
    <w:rsid w:val="665925BF"/>
    <w:rsid w:val="67281F92"/>
    <w:rsid w:val="67397F49"/>
    <w:rsid w:val="67670D0C"/>
    <w:rsid w:val="677671A1"/>
    <w:rsid w:val="67F65BEC"/>
    <w:rsid w:val="691A4E3E"/>
    <w:rsid w:val="691C78D4"/>
    <w:rsid w:val="69F24095"/>
    <w:rsid w:val="6A3A6264"/>
    <w:rsid w:val="6A4315BC"/>
    <w:rsid w:val="6A57468A"/>
    <w:rsid w:val="6A8F27B0"/>
    <w:rsid w:val="6AB875E3"/>
    <w:rsid w:val="6ACA6966"/>
    <w:rsid w:val="6AF6662F"/>
    <w:rsid w:val="6B596BBE"/>
    <w:rsid w:val="6C651125"/>
    <w:rsid w:val="6CD429A0"/>
    <w:rsid w:val="6D120AFE"/>
    <w:rsid w:val="6DB876C5"/>
    <w:rsid w:val="6DD6FFD8"/>
    <w:rsid w:val="6E2D7E8C"/>
    <w:rsid w:val="6E712470"/>
    <w:rsid w:val="6E7B6E4B"/>
    <w:rsid w:val="6E9A5523"/>
    <w:rsid w:val="6EC60143"/>
    <w:rsid w:val="6F024E2E"/>
    <w:rsid w:val="6F293585"/>
    <w:rsid w:val="6F2A4AF9"/>
    <w:rsid w:val="6FA348AB"/>
    <w:rsid w:val="6FD06242"/>
    <w:rsid w:val="701513F0"/>
    <w:rsid w:val="7060279C"/>
    <w:rsid w:val="70BF74C3"/>
    <w:rsid w:val="71C34D91"/>
    <w:rsid w:val="722B4B4E"/>
    <w:rsid w:val="722E0038"/>
    <w:rsid w:val="72E5624E"/>
    <w:rsid w:val="72EE0006"/>
    <w:rsid w:val="73987733"/>
    <w:rsid w:val="73B452D9"/>
    <w:rsid w:val="743C0E2B"/>
    <w:rsid w:val="74BC04A6"/>
    <w:rsid w:val="752244C4"/>
    <w:rsid w:val="75285696"/>
    <w:rsid w:val="75287D2D"/>
    <w:rsid w:val="75822CF1"/>
    <w:rsid w:val="760D0CD1"/>
    <w:rsid w:val="76781F92"/>
    <w:rsid w:val="770045CD"/>
    <w:rsid w:val="77170059"/>
    <w:rsid w:val="77212C85"/>
    <w:rsid w:val="77534E09"/>
    <w:rsid w:val="775F515F"/>
    <w:rsid w:val="779C230C"/>
    <w:rsid w:val="77B798A8"/>
    <w:rsid w:val="77EA067E"/>
    <w:rsid w:val="78F767F5"/>
    <w:rsid w:val="796B2DFE"/>
    <w:rsid w:val="7AB67B89"/>
    <w:rsid w:val="7AFF6891"/>
    <w:rsid w:val="7B547650"/>
    <w:rsid w:val="7BFDEF97"/>
    <w:rsid w:val="7CE26037"/>
    <w:rsid w:val="7D605990"/>
    <w:rsid w:val="7D7EDEF3"/>
    <w:rsid w:val="7D8C038C"/>
    <w:rsid w:val="7DAE00ED"/>
    <w:rsid w:val="7DB9530F"/>
    <w:rsid w:val="7DD16A88"/>
    <w:rsid w:val="7DD30D3F"/>
    <w:rsid w:val="7DD40A53"/>
    <w:rsid w:val="7DFB0797"/>
    <w:rsid w:val="7E1153D8"/>
    <w:rsid w:val="7E6B7C1A"/>
    <w:rsid w:val="7EAB7A4E"/>
    <w:rsid w:val="7F02218E"/>
    <w:rsid w:val="7F2A1125"/>
    <w:rsid w:val="7F4F4108"/>
    <w:rsid w:val="7F5576EC"/>
    <w:rsid w:val="7F6851CA"/>
    <w:rsid w:val="7FA2808B"/>
    <w:rsid w:val="7FFF2A99"/>
    <w:rsid w:val="977F908B"/>
    <w:rsid w:val="9FAC3797"/>
    <w:rsid w:val="9FFF68DF"/>
    <w:rsid w:val="B5AB028D"/>
    <w:rsid w:val="B7CFB273"/>
    <w:rsid w:val="BF7F01BF"/>
    <w:rsid w:val="C77EEA2F"/>
    <w:rsid w:val="CFFA9BEF"/>
    <w:rsid w:val="D6EC3053"/>
    <w:rsid w:val="DFBD66FD"/>
    <w:rsid w:val="DFDBE67B"/>
    <w:rsid w:val="DFFF6725"/>
    <w:rsid w:val="ECEEA721"/>
    <w:rsid w:val="EFF9420B"/>
    <w:rsid w:val="F557AB4B"/>
    <w:rsid w:val="F5A7D12F"/>
    <w:rsid w:val="F8FCC963"/>
    <w:rsid w:val="F9F5FAF0"/>
    <w:rsid w:val="FFDF8FA6"/>
    <w:rsid w:val="FFEFF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3"/>
    <w:unhideWhenUsed/>
    <w:qFormat/>
    <w:uiPriority w:val="99"/>
  </w:style>
  <w:style w:type="paragraph" w:styleId="4">
    <w:name w:val="Balloon Text"/>
    <w:basedOn w:val="1"/>
    <w:link w:val="25"/>
    <w:qFormat/>
    <w:uiPriority w:val="0"/>
    <w:rPr>
      <w:sz w:val="18"/>
      <w:szCs w:val="18"/>
    </w:rPr>
  </w:style>
  <w:style w:type="paragraph" w:styleId="5">
    <w:name w:val="footer"/>
    <w:basedOn w:val="1"/>
    <w:link w:val="2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paragraph" w:styleId="8">
    <w:name w:val="Normal (Web)"/>
    <w:basedOn w:val="1"/>
    <w:qFormat/>
    <w:uiPriority w:val="99"/>
    <w:pPr>
      <w:widowControl w:val="0"/>
      <w:kinsoku/>
      <w:autoSpaceDE/>
      <w:autoSpaceDN/>
      <w:adjustRightInd/>
      <w:snapToGrid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4"/>
      <w:szCs w:val="24"/>
      <w:lang w:eastAsia="zh-CN"/>
    </w:rPr>
  </w:style>
  <w:style w:type="paragraph" w:styleId="9">
    <w:name w:val="annotation subject"/>
    <w:basedOn w:val="3"/>
    <w:next w:val="3"/>
    <w:link w:val="24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字符"/>
    <w:basedOn w:val="12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页脚 字符"/>
    <w:basedOn w:val="12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2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3">
    <w:name w:val="批注文字 字符"/>
    <w:basedOn w:val="12"/>
    <w:link w:val="3"/>
    <w:qFormat/>
    <w:uiPriority w:val="99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24">
    <w:name w:val="批注主题 字符"/>
    <w:basedOn w:val="23"/>
    <w:link w:val="9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25">
    <w:name w:val="批注框文本 字符"/>
    <w:basedOn w:val="12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6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27">
    <w:name w:val="修订3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8">
    <w:name w:val="15"/>
    <w:basedOn w:val="12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9">
    <w:name w:val="10"/>
    <w:basedOn w:val="12"/>
    <w:qFormat/>
    <w:uiPriority w:val="0"/>
    <w:rPr>
      <w:rFonts w:hint="default" w:ascii="Times New Roman" w:hAnsi="Times New Roman" w:cs="Times New Roman"/>
    </w:rPr>
  </w:style>
  <w:style w:type="paragraph" w:customStyle="1" w:styleId="30">
    <w:name w:val="Revision"/>
    <w:hidden/>
    <w:unhideWhenUsed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31">
    <w:name w:val="Unresolved Mention"/>
    <w:basedOn w:val="1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E4720B19-EEC4-43BE-8B41-AA0BAD1377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511</Words>
  <Characters>2914</Characters>
  <Lines>24</Lines>
  <Paragraphs>6</Paragraphs>
  <TotalTime>11</TotalTime>
  <ScaleCrop>false</ScaleCrop>
  <LinksUpToDate>false</LinksUpToDate>
  <CharactersWithSpaces>3419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2025-05-03T23:42:00Z</dcterms:created>
  <dc:creator>Data</dc:creator>
  <cp:lastModifiedBy>范潇 Sean</cp:lastModifiedBy>
  <dcterms:modified xsi:type="dcterms:W3CDTF">2026-08-31T17:56:58Z</dcterms:modified>
  <cp:revision>170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2024-08-12T09:26:14Z</vt:filetime>
  </property>
  <property fmtid="{D5CDD505-2E9C-101B-9397-08002B2CF9AE}" pid="4" name="KSOProductBuildVer">
    <vt:lpwstr>2052-12.1.26055.26055</vt:lpwstr>
  </property>
  <property fmtid="{D5CDD505-2E9C-101B-9397-08002B2CF9AE}" pid="5" name="ICV">
    <vt:lpwstr>7AF04CBE68EBEFB22454916ABBD8222A_43</vt:lpwstr>
  </property>
  <property fmtid="{D5CDD505-2E9C-101B-9397-08002B2CF9AE}" pid="6" name="KSOTemplateDocerSaveRecord">
    <vt:lpwstr>eyJoZGlkIjoiZjVhNzZhN2NmNmE4NDc3MDlkNzBlNDA0NmIxYTIxMmYiLCJ1c2VySWQiOiIyNjA0NjA5MDEifQ==</vt:lpwstr>
  </property>
</Properties>
</file>