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C4BC30">
      <w:pPr>
        <w:spacing w:line="360" w:lineRule="auto"/>
        <w:jc w:val="center"/>
        <w:rPr>
          <w:rFonts w:eastAsiaTheme="minorEastAsia"/>
          <w:bCs/>
          <w:iCs/>
          <w:color w:val="000000"/>
          <w:sz w:val="32"/>
          <w:szCs w:val="40"/>
        </w:rPr>
      </w:pPr>
      <w:r>
        <w:rPr>
          <w:rFonts w:hint="eastAsia" w:eastAsiaTheme="minorEastAsia"/>
          <w:bCs/>
          <w:iCs/>
          <w:color w:val="000000"/>
          <w:sz w:val="32"/>
          <w:szCs w:val="40"/>
        </w:rPr>
        <w:t>包头天和磁材科技股份有限公司</w:t>
      </w:r>
    </w:p>
    <w:p w14:paraId="7F7469DB">
      <w:pPr>
        <w:spacing w:line="360" w:lineRule="auto"/>
        <w:jc w:val="center"/>
        <w:rPr>
          <w:rFonts w:eastAsiaTheme="minorEastAsia"/>
          <w:bCs/>
          <w:iCs/>
          <w:color w:val="000000"/>
          <w:sz w:val="32"/>
          <w:szCs w:val="40"/>
        </w:rPr>
      </w:pPr>
      <w:r>
        <w:rPr>
          <w:rFonts w:eastAsiaTheme="minorEastAsia"/>
          <w:bCs/>
          <w:iCs/>
          <w:color w:val="000000"/>
          <w:sz w:val="32"/>
          <w:szCs w:val="40"/>
        </w:rPr>
        <w:t>投资者关系活动记录表</w:t>
      </w:r>
    </w:p>
    <w:p w14:paraId="300DF078">
      <w:pPr>
        <w:spacing w:line="360" w:lineRule="auto"/>
        <w:jc w:val="right"/>
        <w:rPr>
          <w:rFonts w:eastAsiaTheme="minorEastAsia"/>
          <w:bCs/>
          <w:iCs/>
          <w:color w:val="000000"/>
          <w:sz w:val="22"/>
          <w:szCs w:val="28"/>
        </w:rPr>
      </w:pPr>
      <w:r>
        <w:rPr>
          <w:rFonts w:eastAsiaTheme="minorEastAsia"/>
          <w:bCs/>
          <w:iCs/>
          <w:color w:val="000000"/>
          <w:sz w:val="22"/>
          <w:szCs w:val="28"/>
        </w:rPr>
        <w:t xml:space="preserve">                                                  编号：</w:t>
      </w:r>
      <w:r>
        <w:rPr>
          <w:rFonts w:hint="eastAsia" w:eastAsiaTheme="minorEastAsia"/>
          <w:bCs/>
          <w:iCs/>
          <w:color w:val="000000"/>
          <w:sz w:val="22"/>
          <w:szCs w:val="28"/>
        </w:rPr>
        <w:t>2026-06</w:t>
      </w:r>
    </w:p>
    <w:tbl>
      <w:tblPr>
        <w:tblStyle w:val="6"/>
        <w:tblW w:w="55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8"/>
        <w:gridCol w:w="7231"/>
      </w:tblGrid>
      <w:tr w14:paraId="2266C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single" w:color="auto" w:sz="4" w:space="0"/>
              <w:left w:val="single" w:color="auto" w:sz="4" w:space="0"/>
              <w:bottom w:val="single" w:color="auto" w:sz="4" w:space="0"/>
              <w:right w:val="single" w:color="auto" w:sz="4" w:space="0"/>
            </w:tcBorders>
            <w:vAlign w:val="center"/>
          </w:tcPr>
          <w:p w14:paraId="21CEF374">
            <w:pPr>
              <w:spacing w:line="360" w:lineRule="auto"/>
              <w:rPr>
                <w:rFonts w:eastAsiaTheme="minorEastAsia"/>
                <w:bCs/>
                <w:iCs/>
                <w:color w:val="000000"/>
                <w:sz w:val="24"/>
                <w:szCs w:val="24"/>
              </w:rPr>
            </w:pPr>
            <w:r>
              <w:rPr>
                <w:rFonts w:eastAsiaTheme="minorEastAsia"/>
                <w:bCs/>
                <w:iCs/>
                <w:color w:val="000000"/>
                <w:sz w:val="24"/>
                <w:szCs w:val="24"/>
              </w:rPr>
              <w:t>投资者关系活动类别</w:t>
            </w:r>
          </w:p>
          <w:p w14:paraId="1B5E6409">
            <w:pPr>
              <w:spacing w:line="360" w:lineRule="auto"/>
              <w:rPr>
                <w:rFonts w:eastAsiaTheme="minorEastAsia"/>
                <w:bCs/>
                <w:iCs/>
                <w:color w:val="000000"/>
                <w:sz w:val="24"/>
                <w:szCs w:val="24"/>
              </w:rPr>
            </w:pPr>
          </w:p>
        </w:tc>
        <w:tc>
          <w:tcPr>
            <w:tcW w:w="3926" w:type="pct"/>
            <w:tcBorders>
              <w:top w:val="single" w:color="auto" w:sz="4" w:space="0"/>
              <w:left w:val="single" w:color="auto" w:sz="4" w:space="0"/>
              <w:bottom w:val="single" w:color="auto" w:sz="4" w:space="0"/>
              <w:right w:val="single" w:color="auto" w:sz="4" w:space="0"/>
            </w:tcBorders>
            <w:vAlign w:val="center"/>
          </w:tcPr>
          <w:p w14:paraId="0F307E45">
            <w:pPr>
              <w:spacing w:line="360" w:lineRule="auto"/>
              <w:rPr>
                <w:rFonts w:eastAsiaTheme="minorEastAsia"/>
                <w:bCs/>
                <w:iCs/>
                <w:color w:val="000000"/>
                <w:sz w:val="24"/>
                <w:szCs w:val="24"/>
              </w:rPr>
            </w:pPr>
            <w:r>
              <w:rPr>
                <w:rFonts w:hint="eastAsia" w:eastAsiaTheme="minorEastAsia"/>
                <w:bCs/>
                <w:iCs/>
                <w:color w:val="000000"/>
                <w:sz w:val="24"/>
                <w:szCs w:val="24"/>
              </w:rPr>
              <w:t>□</w:t>
            </w:r>
            <w:r>
              <w:rPr>
                <w:rFonts w:eastAsiaTheme="minorEastAsia"/>
                <w:bCs/>
                <w:iCs/>
                <w:color w:val="000000"/>
                <w:sz w:val="24"/>
                <w:szCs w:val="24"/>
              </w:rPr>
              <w:t xml:space="preserve">特定对象调研        </w:t>
            </w:r>
            <w:r>
              <w:rPr>
                <w:rFonts w:hint="eastAsia" w:eastAsiaTheme="minorEastAsia"/>
                <w:bCs/>
                <w:iCs/>
                <w:color w:val="000000"/>
                <w:sz w:val="24"/>
                <w:szCs w:val="24"/>
              </w:rPr>
              <w:t xml:space="preserve">     </w:t>
            </w:r>
            <w:r>
              <w:rPr>
                <w:rFonts w:eastAsiaTheme="minorEastAsia"/>
                <w:bCs/>
                <w:iCs/>
                <w:color w:val="000000"/>
                <w:sz w:val="24"/>
                <w:szCs w:val="24"/>
              </w:rPr>
              <w:t xml:space="preserve"> </w:t>
            </w:r>
            <w:r>
              <w:rPr>
                <w:rFonts w:hint="eastAsia" w:eastAsiaTheme="minorEastAsia"/>
                <w:bCs/>
                <w:iCs/>
                <w:color w:val="000000"/>
                <w:sz w:val="24"/>
                <w:szCs w:val="24"/>
              </w:rPr>
              <w:t>□</w:t>
            </w:r>
            <w:r>
              <w:rPr>
                <w:rFonts w:eastAsiaTheme="minorEastAsia"/>
                <w:bCs/>
                <w:iCs/>
                <w:color w:val="000000"/>
                <w:sz w:val="24"/>
                <w:szCs w:val="24"/>
              </w:rPr>
              <w:t>分析师会议</w:t>
            </w:r>
          </w:p>
          <w:p w14:paraId="5268DE1A">
            <w:pPr>
              <w:spacing w:line="360" w:lineRule="auto"/>
              <w:rPr>
                <w:rFonts w:eastAsiaTheme="minorEastAsia"/>
                <w:bCs/>
                <w:iCs/>
                <w:color w:val="000000"/>
                <w:sz w:val="24"/>
                <w:szCs w:val="24"/>
              </w:rPr>
            </w:pPr>
            <w:bookmarkStart w:id="0" w:name="OLE_LINK1"/>
            <w:r>
              <w:rPr>
                <w:rFonts w:hint="eastAsia" w:eastAsiaTheme="minorEastAsia"/>
                <w:bCs/>
                <w:iCs/>
                <w:color w:val="000000"/>
                <w:sz w:val="24"/>
                <w:szCs w:val="24"/>
              </w:rPr>
              <w:t>□</w:t>
            </w:r>
            <w:bookmarkEnd w:id="0"/>
            <w:r>
              <w:rPr>
                <w:rFonts w:eastAsiaTheme="minorEastAsia"/>
                <w:bCs/>
                <w:iCs/>
                <w:color w:val="000000"/>
                <w:sz w:val="24"/>
                <w:szCs w:val="24"/>
              </w:rPr>
              <w:t xml:space="preserve">媒体采访            </w:t>
            </w:r>
            <w:r>
              <w:rPr>
                <w:rFonts w:hint="eastAsia" w:eastAsiaTheme="minorEastAsia"/>
                <w:bCs/>
                <w:iCs/>
                <w:color w:val="000000"/>
                <w:sz w:val="24"/>
                <w:szCs w:val="24"/>
              </w:rPr>
              <w:t xml:space="preserve">     </w:t>
            </w:r>
            <w:r>
              <w:rPr>
                <w:rFonts w:eastAsiaTheme="minorEastAsia"/>
                <w:bCs/>
                <w:iCs/>
                <w:color w:val="000000"/>
                <w:sz w:val="24"/>
                <w:szCs w:val="24"/>
              </w:rPr>
              <w:t xml:space="preserve"> </w:t>
            </w:r>
            <w:r>
              <w:rPr>
                <w:rFonts w:eastAsiaTheme="minorEastAsia"/>
                <w:bCs/>
                <w:iCs/>
                <w:color w:val="000000"/>
                <w:sz w:val="24"/>
                <w:szCs w:val="24"/>
              </w:rPr>
              <w:sym w:font="Wingdings 2" w:char="F052"/>
            </w:r>
            <w:r>
              <w:rPr>
                <w:rFonts w:eastAsiaTheme="minorEastAsia"/>
                <w:bCs/>
                <w:iCs/>
                <w:color w:val="000000"/>
                <w:sz w:val="24"/>
                <w:szCs w:val="24"/>
              </w:rPr>
              <w:t>业绩说明会</w:t>
            </w:r>
          </w:p>
          <w:p w14:paraId="1C1D7EC3">
            <w:pPr>
              <w:spacing w:line="360" w:lineRule="auto"/>
              <w:rPr>
                <w:rFonts w:eastAsiaTheme="minorEastAsia"/>
                <w:bCs/>
                <w:iCs/>
                <w:color w:val="000000"/>
                <w:sz w:val="24"/>
                <w:szCs w:val="24"/>
              </w:rPr>
            </w:pPr>
            <w:r>
              <w:rPr>
                <w:rFonts w:hint="eastAsia" w:eastAsiaTheme="minorEastAsia"/>
                <w:bCs/>
                <w:iCs/>
                <w:color w:val="000000"/>
                <w:sz w:val="24"/>
                <w:szCs w:val="24"/>
              </w:rPr>
              <w:t>□</w:t>
            </w:r>
            <w:r>
              <w:rPr>
                <w:rFonts w:eastAsiaTheme="minorEastAsia"/>
                <w:bCs/>
                <w:iCs/>
                <w:color w:val="000000"/>
                <w:sz w:val="24"/>
                <w:szCs w:val="24"/>
              </w:rPr>
              <w:t xml:space="preserve">新闻发布会           </w:t>
            </w:r>
            <w:r>
              <w:rPr>
                <w:rFonts w:hint="eastAsia" w:eastAsiaTheme="minorEastAsia"/>
                <w:bCs/>
                <w:iCs/>
                <w:color w:val="000000"/>
                <w:sz w:val="24"/>
                <w:szCs w:val="24"/>
              </w:rPr>
              <w:t xml:space="preserve">     □</w:t>
            </w:r>
            <w:r>
              <w:rPr>
                <w:rFonts w:eastAsiaTheme="minorEastAsia"/>
                <w:bCs/>
                <w:iCs/>
                <w:color w:val="000000"/>
                <w:sz w:val="24"/>
                <w:szCs w:val="24"/>
              </w:rPr>
              <w:t>路演活动</w:t>
            </w:r>
          </w:p>
          <w:p w14:paraId="3294C739">
            <w:pPr>
              <w:spacing w:line="360" w:lineRule="auto"/>
              <w:rPr>
                <w:rFonts w:eastAsiaTheme="minorEastAsia"/>
                <w:bCs/>
                <w:iCs/>
                <w:color w:val="000000"/>
                <w:sz w:val="24"/>
                <w:szCs w:val="24"/>
              </w:rPr>
            </w:pPr>
            <w:r>
              <w:rPr>
                <w:rFonts w:hint="eastAsia" w:eastAsiaTheme="minorEastAsia"/>
                <w:bCs/>
                <w:iCs/>
                <w:color w:val="000000"/>
                <w:sz w:val="24"/>
                <w:szCs w:val="24"/>
              </w:rPr>
              <w:t>□</w:t>
            </w:r>
            <w:r>
              <w:rPr>
                <w:rFonts w:eastAsiaTheme="minorEastAsia"/>
                <w:bCs/>
                <w:iCs/>
                <w:color w:val="000000"/>
                <w:sz w:val="24"/>
                <w:szCs w:val="24"/>
              </w:rPr>
              <w:t>现场参观</w:t>
            </w:r>
            <w:r>
              <w:rPr>
                <w:rFonts w:eastAsiaTheme="minorEastAsia"/>
                <w:bCs/>
                <w:iCs/>
                <w:color w:val="000000"/>
                <w:sz w:val="24"/>
                <w:szCs w:val="24"/>
              </w:rPr>
              <w:tab/>
            </w:r>
          </w:p>
          <w:p w14:paraId="10AB9B05">
            <w:pPr>
              <w:spacing w:line="360" w:lineRule="auto"/>
              <w:rPr>
                <w:rFonts w:eastAsiaTheme="minorEastAsia"/>
                <w:bCs/>
                <w:iCs/>
                <w:color w:val="000000"/>
                <w:sz w:val="24"/>
                <w:szCs w:val="24"/>
              </w:rPr>
            </w:pPr>
            <w:r>
              <w:rPr>
                <w:rFonts w:hint="eastAsia" w:eastAsiaTheme="minorEastAsia"/>
                <w:bCs/>
                <w:iCs/>
                <w:color w:val="000000"/>
                <w:sz w:val="24"/>
                <w:szCs w:val="24"/>
              </w:rPr>
              <w:t>□</w:t>
            </w:r>
            <w:r>
              <w:rPr>
                <w:rFonts w:eastAsiaTheme="minorEastAsia"/>
                <w:bCs/>
                <w:iCs/>
                <w:color w:val="000000"/>
                <w:sz w:val="24"/>
                <w:szCs w:val="24"/>
              </w:rPr>
              <w:t>其他（</w:t>
            </w:r>
            <w:r>
              <w:rPr>
                <w:rFonts w:hint="eastAsia" w:eastAsiaTheme="minorEastAsia"/>
                <w:bCs/>
                <w:iCs/>
                <w:color w:val="000000"/>
                <w:sz w:val="24"/>
                <w:szCs w:val="24"/>
              </w:rPr>
              <w:t>请文字说明其他活动内容</w:t>
            </w:r>
            <w:r>
              <w:rPr>
                <w:rFonts w:eastAsiaTheme="minorEastAsia"/>
                <w:bCs/>
                <w:iCs/>
                <w:color w:val="000000"/>
                <w:sz w:val="24"/>
                <w:szCs w:val="24"/>
              </w:rPr>
              <w:t>）</w:t>
            </w:r>
          </w:p>
        </w:tc>
      </w:tr>
      <w:tr w14:paraId="0F797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single" w:color="auto" w:sz="4" w:space="0"/>
              <w:left w:val="single" w:color="auto" w:sz="4" w:space="0"/>
              <w:bottom w:val="single" w:color="auto" w:sz="4" w:space="0"/>
              <w:right w:val="single" w:color="auto" w:sz="4" w:space="0"/>
            </w:tcBorders>
            <w:vAlign w:val="center"/>
          </w:tcPr>
          <w:p w14:paraId="5B5267C1">
            <w:pPr>
              <w:spacing w:line="360" w:lineRule="auto"/>
              <w:rPr>
                <w:rFonts w:eastAsiaTheme="minorEastAsia"/>
                <w:bCs/>
                <w:iCs/>
                <w:color w:val="000000"/>
                <w:sz w:val="24"/>
                <w:szCs w:val="24"/>
              </w:rPr>
            </w:pPr>
            <w:r>
              <w:rPr>
                <w:rFonts w:eastAsiaTheme="minorEastAsia"/>
                <w:bCs/>
                <w:iCs/>
                <w:color w:val="000000"/>
                <w:sz w:val="24"/>
                <w:szCs w:val="24"/>
              </w:rPr>
              <w:t>参与单位名称</w:t>
            </w:r>
          </w:p>
        </w:tc>
        <w:tc>
          <w:tcPr>
            <w:tcW w:w="3926" w:type="pct"/>
            <w:tcBorders>
              <w:top w:val="single" w:color="auto" w:sz="4" w:space="0"/>
              <w:left w:val="single" w:color="auto" w:sz="4" w:space="0"/>
              <w:bottom w:val="single" w:color="auto" w:sz="4" w:space="0"/>
              <w:right w:val="single" w:color="auto" w:sz="4" w:space="0"/>
            </w:tcBorders>
            <w:vAlign w:val="center"/>
          </w:tcPr>
          <w:p w14:paraId="036331C8">
            <w:pPr>
              <w:spacing w:line="360" w:lineRule="auto"/>
              <w:rPr>
                <w:rFonts w:eastAsiaTheme="minorEastAsia"/>
                <w:bCs/>
                <w:iCs/>
                <w:color w:val="000000"/>
                <w:sz w:val="24"/>
                <w:szCs w:val="24"/>
              </w:rPr>
            </w:pPr>
            <w:r>
              <w:rPr>
                <w:rFonts w:hint="eastAsia" w:eastAsiaTheme="minorEastAsia"/>
                <w:bCs/>
                <w:iCs/>
                <w:color w:val="000000"/>
                <w:sz w:val="24"/>
                <w:szCs w:val="24"/>
              </w:rPr>
              <w:t>线上参与公司2026年半年度</w:t>
            </w:r>
            <w:r>
              <w:rPr>
                <w:rFonts w:eastAsiaTheme="minorEastAsia"/>
                <w:bCs/>
                <w:iCs/>
                <w:color w:val="000000"/>
                <w:sz w:val="24"/>
                <w:szCs w:val="24"/>
              </w:rPr>
              <w:t>业绩说明会</w:t>
            </w:r>
            <w:r>
              <w:rPr>
                <w:rFonts w:hint="eastAsia" w:eastAsiaTheme="minorEastAsia"/>
                <w:bCs/>
                <w:iCs/>
                <w:color w:val="000000"/>
                <w:sz w:val="24"/>
                <w:szCs w:val="24"/>
              </w:rPr>
              <w:t>的投资者</w:t>
            </w:r>
          </w:p>
        </w:tc>
      </w:tr>
      <w:tr w14:paraId="0E6AB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single" w:color="auto" w:sz="4" w:space="0"/>
              <w:left w:val="single" w:color="auto" w:sz="4" w:space="0"/>
              <w:bottom w:val="single" w:color="auto" w:sz="4" w:space="0"/>
              <w:right w:val="single" w:color="auto" w:sz="4" w:space="0"/>
            </w:tcBorders>
            <w:vAlign w:val="center"/>
          </w:tcPr>
          <w:p w14:paraId="40ECAD40">
            <w:pPr>
              <w:spacing w:line="360" w:lineRule="auto"/>
              <w:rPr>
                <w:rFonts w:eastAsiaTheme="minorEastAsia"/>
                <w:bCs/>
                <w:iCs/>
                <w:color w:val="000000"/>
                <w:sz w:val="24"/>
                <w:szCs w:val="24"/>
              </w:rPr>
            </w:pPr>
            <w:r>
              <w:rPr>
                <w:rFonts w:eastAsiaTheme="minorEastAsia"/>
                <w:bCs/>
                <w:iCs/>
                <w:color w:val="000000"/>
                <w:sz w:val="24"/>
                <w:szCs w:val="24"/>
              </w:rPr>
              <w:t>时间</w:t>
            </w:r>
          </w:p>
        </w:tc>
        <w:tc>
          <w:tcPr>
            <w:tcW w:w="3926" w:type="pct"/>
            <w:tcBorders>
              <w:top w:val="single" w:color="auto" w:sz="4" w:space="0"/>
              <w:left w:val="single" w:color="auto" w:sz="4" w:space="0"/>
              <w:bottom w:val="single" w:color="auto" w:sz="4" w:space="0"/>
              <w:right w:val="single" w:color="auto" w:sz="4" w:space="0"/>
            </w:tcBorders>
            <w:vAlign w:val="center"/>
          </w:tcPr>
          <w:p w14:paraId="52BF4298">
            <w:pPr>
              <w:spacing w:line="360" w:lineRule="auto"/>
              <w:rPr>
                <w:rFonts w:eastAsiaTheme="minorEastAsia"/>
                <w:bCs/>
                <w:iCs/>
                <w:color w:val="000000"/>
                <w:sz w:val="24"/>
                <w:szCs w:val="24"/>
              </w:rPr>
            </w:pPr>
            <w:r>
              <w:rPr>
                <w:rFonts w:hint="eastAsia" w:eastAsiaTheme="minorEastAsia"/>
                <w:bCs/>
                <w:iCs/>
                <w:sz w:val="24"/>
                <w:szCs w:val="24"/>
              </w:rPr>
              <w:t>2026年9月1日</w:t>
            </w:r>
          </w:p>
        </w:tc>
      </w:tr>
      <w:tr w14:paraId="04DA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single" w:color="auto" w:sz="4" w:space="0"/>
              <w:left w:val="single" w:color="auto" w:sz="4" w:space="0"/>
              <w:bottom w:val="single" w:color="auto" w:sz="4" w:space="0"/>
              <w:right w:val="single" w:color="auto" w:sz="4" w:space="0"/>
            </w:tcBorders>
            <w:vAlign w:val="center"/>
          </w:tcPr>
          <w:p w14:paraId="2E6056DE">
            <w:pPr>
              <w:spacing w:line="360" w:lineRule="auto"/>
              <w:rPr>
                <w:rFonts w:eastAsiaTheme="minorEastAsia"/>
                <w:bCs/>
                <w:iCs/>
                <w:color w:val="000000"/>
                <w:sz w:val="24"/>
                <w:szCs w:val="24"/>
              </w:rPr>
            </w:pPr>
            <w:r>
              <w:rPr>
                <w:rFonts w:eastAsiaTheme="minorEastAsia"/>
                <w:bCs/>
                <w:iCs/>
                <w:color w:val="000000"/>
                <w:sz w:val="24"/>
                <w:szCs w:val="24"/>
              </w:rPr>
              <w:t>地点</w:t>
            </w:r>
          </w:p>
        </w:tc>
        <w:tc>
          <w:tcPr>
            <w:tcW w:w="3926" w:type="pct"/>
            <w:tcBorders>
              <w:top w:val="single" w:color="auto" w:sz="4" w:space="0"/>
              <w:left w:val="single" w:color="auto" w:sz="4" w:space="0"/>
              <w:bottom w:val="single" w:color="auto" w:sz="4" w:space="0"/>
              <w:right w:val="single" w:color="auto" w:sz="4" w:space="0"/>
            </w:tcBorders>
            <w:vAlign w:val="center"/>
          </w:tcPr>
          <w:p w14:paraId="40F151C6">
            <w:pPr>
              <w:spacing w:line="360" w:lineRule="auto"/>
              <w:rPr>
                <w:rFonts w:eastAsiaTheme="minorEastAsia"/>
                <w:bCs/>
                <w:iCs/>
                <w:color w:val="000000"/>
                <w:sz w:val="24"/>
                <w:szCs w:val="24"/>
              </w:rPr>
            </w:pPr>
            <w:r>
              <w:rPr>
                <w:rFonts w:hint="eastAsia" w:eastAsiaTheme="minorEastAsia"/>
                <w:bCs/>
                <w:iCs/>
                <w:color w:val="000000"/>
                <w:sz w:val="24"/>
                <w:szCs w:val="24"/>
              </w:rPr>
              <w:t>上证路演中心（http://roadshow.sseinfo.com/）</w:t>
            </w:r>
          </w:p>
        </w:tc>
      </w:tr>
      <w:tr w14:paraId="13DEC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single" w:color="auto" w:sz="4" w:space="0"/>
              <w:left w:val="single" w:color="auto" w:sz="4" w:space="0"/>
              <w:bottom w:val="single" w:color="auto" w:sz="4" w:space="0"/>
              <w:right w:val="single" w:color="auto" w:sz="4" w:space="0"/>
            </w:tcBorders>
            <w:vAlign w:val="center"/>
          </w:tcPr>
          <w:p w14:paraId="5D8C4DA7">
            <w:pPr>
              <w:spacing w:line="360" w:lineRule="auto"/>
              <w:rPr>
                <w:rFonts w:eastAsiaTheme="minorEastAsia"/>
                <w:bCs/>
                <w:iCs/>
                <w:color w:val="000000"/>
                <w:sz w:val="24"/>
                <w:szCs w:val="24"/>
              </w:rPr>
            </w:pPr>
            <w:r>
              <w:rPr>
                <w:rFonts w:eastAsiaTheme="minorEastAsia"/>
                <w:bCs/>
                <w:iCs/>
                <w:color w:val="000000"/>
                <w:sz w:val="24"/>
                <w:szCs w:val="24"/>
              </w:rPr>
              <w:t>上市公司接待人员姓名</w:t>
            </w:r>
          </w:p>
        </w:tc>
        <w:tc>
          <w:tcPr>
            <w:tcW w:w="3926" w:type="pct"/>
            <w:tcBorders>
              <w:top w:val="single" w:color="auto" w:sz="4" w:space="0"/>
              <w:left w:val="single" w:color="auto" w:sz="4" w:space="0"/>
              <w:bottom w:val="single" w:color="auto" w:sz="4" w:space="0"/>
              <w:right w:val="single" w:color="auto" w:sz="4" w:space="0"/>
            </w:tcBorders>
            <w:vAlign w:val="center"/>
          </w:tcPr>
          <w:p w14:paraId="7EF26A37">
            <w:pPr>
              <w:spacing w:line="360" w:lineRule="auto"/>
              <w:rPr>
                <w:rFonts w:eastAsiaTheme="minorEastAsia"/>
                <w:bCs/>
                <w:iCs/>
                <w:color w:val="000000"/>
                <w:sz w:val="24"/>
                <w:szCs w:val="24"/>
              </w:rPr>
            </w:pPr>
            <w:r>
              <w:rPr>
                <w:rFonts w:hint="eastAsia" w:eastAsiaTheme="minorEastAsia"/>
                <w:bCs/>
                <w:iCs/>
                <w:color w:val="000000"/>
                <w:sz w:val="24"/>
                <w:szCs w:val="24"/>
              </w:rPr>
              <w:t>董事、总经理：陈雅</w:t>
            </w:r>
          </w:p>
          <w:p w14:paraId="0A9EC374">
            <w:pPr>
              <w:spacing w:line="360" w:lineRule="auto"/>
              <w:rPr>
                <w:rFonts w:eastAsiaTheme="minorEastAsia"/>
                <w:bCs/>
                <w:iCs/>
                <w:color w:val="000000"/>
                <w:sz w:val="24"/>
                <w:szCs w:val="24"/>
              </w:rPr>
            </w:pPr>
            <w:r>
              <w:rPr>
                <w:rFonts w:hint="eastAsia" w:eastAsiaTheme="minorEastAsia"/>
                <w:bCs/>
                <w:iCs/>
                <w:color w:val="000000"/>
                <w:sz w:val="24"/>
                <w:szCs w:val="24"/>
              </w:rPr>
              <w:t>董事、财务总监：张海潮</w:t>
            </w:r>
          </w:p>
          <w:p w14:paraId="5BCC157B">
            <w:pPr>
              <w:spacing w:line="360" w:lineRule="auto"/>
              <w:rPr>
                <w:rFonts w:eastAsiaTheme="minorEastAsia"/>
                <w:bCs/>
                <w:iCs/>
                <w:color w:val="000000"/>
                <w:sz w:val="24"/>
                <w:szCs w:val="24"/>
              </w:rPr>
            </w:pPr>
            <w:r>
              <w:rPr>
                <w:rFonts w:hint="eastAsia" w:eastAsiaTheme="minorEastAsia"/>
                <w:bCs/>
                <w:iCs/>
                <w:color w:val="000000"/>
                <w:sz w:val="24"/>
                <w:szCs w:val="24"/>
              </w:rPr>
              <w:t>董事会秘书：吴志刚</w:t>
            </w:r>
          </w:p>
          <w:p w14:paraId="6A8BE50B">
            <w:pPr>
              <w:spacing w:line="360" w:lineRule="auto"/>
              <w:rPr>
                <w:rFonts w:eastAsiaTheme="minorEastAsia"/>
                <w:bCs/>
                <w:iCs/>
                <w:color w:val="000000"/>
                <w:sz w:val="24"/>
                <w:szCs w:val="24"/>
              </w:rPr>
            </w:pPr>
            <w:r>
              <w:rPr>
                <w:rFonts w:hint="eastAsia" w:eastAsiaTheme="minorEastAsia"/>
                <w:bCs/>
                <w:iCs/>
                <w:color w:val="000000"/>
                <w:sz w:val="24"/>
                <w:szCs w:val="24"/>
              </w:rPr>
              <w:t>独立董事：朱震宇</w:t>
            </w:r>
          </w:p>
        </w:tc>
      </w:tr>
      <w:tr w14:paraId="55464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single" w:color="auto" w:sz="4" w:space="0"/>
              <w:left w:val="single" w:color="auto" w:sz="4" w:space="0"/>
              <w:bottom w:val="single" w:color="auto" w:sz="4" w:space="0"/>
              <w:right w:val="single" w:color="auto" w:sz="4" w:space="0"/>
            </w:tcBorders>
            <w:vAlign w:val="center"/>
          </w:tcPr>
          <w:p w14:paraId="6591011B">
            <w:pPr>
              <w:spacing w:line="360" w:lineRule="auto"/>
              <w:rPr>
                <w:rFonts w:eastAsiaTheme="minorEastAsia"/>
                <w:bCs/>
                <w:iCs/>
                <w:color w:val="000000"/>
                <w:sz w:val="24"/>
                <w:szCs w:val="24"/>
              </w:rPr>
            </w:pPr>
            <w:r>
              <w:rPr>
                <w:rFonts w:eastAsiaTheme="minorEastAsia"/>
                <w:bCs/>
                <w:iCs/>
                <w:color w:val="000000"/>
                <w:sz w:val="24"/>
                <w:szCs w:val="24"/>
              </w:rPr>
              <w:t>投资者关系活动主要内容介绍</w:t>
            </w:r>
          </w:p>
        </w:tc>
        <w:tc>
          <w:tcPr>
            <w:tcW w:w="3926" w:type="pct"/>
            <w:tcBorders>
              <w:top w:val="single" w:color="auto" w:sz="4" w:space="0"/>
              <w:left w:val="single" w:color="auto" w:sz="4" w:space="0"/>
              <w:bottom w:val="single" w:color="auto" w:sz="4" w:space="0"/>
              <w:right w:val="single" w:color="auto" w:sz="4" w:space="0"/>
            </w:tcBorders>
          </w:tcPr>
          <w:p w14:paraId="2B337400">
            <w:pPr>
              <w:spacing w:line="360" w:lineRule="auto"/>
              <w:rPr>
                <w:b/>
                <w:bCs/>
                <w:sz w:val="24"/>
                <w:szCs w:val="24"/>
              </w:rPr>
            </w:pPr>
            <w:r>
              <w:rPr>
                <w:b/>
                <w:bCs/>
                <w:sz w:val="24"/>
                <w:szCs w:val="24"/>
              </w:rPr>
              <w:t>回复投资者的主要问题：</w:t>
            </w:r>
          </w:p>
          <w:p w14:paraId="5B297B89">
            <w:pPr>
              <w:spacing w:line="360" w:lineRule="auto"/>
              <w:rPr>
                <w:b/>
                <w:bCs/>
                <w:sz w:val="24"/>
                <w:szCs w:val="24"/>
              </w:rPr>
            </w:pPr>
            <w:r>
              <w:rPr>
                <w:rFonts w:hint="eastAsia"/>
                <w:b/>
                <w:bCs/>
                <w:sz w:val="24"/>
                <w:szCs w:val="24"/>
              </w:rPr>
              <w:t>1、请问公司2026年上半年按照新能源汽车、风电、工业电机、消费电子、机器人等下游应用划分的营业收入及占比分别是多少？各领域同比增速如何？展望下半年，公司预计各应用领域的需求增速和收入结构将发生怎样的变化？哪些领域有望成为主要增量来源？谢谢！</w:t>
            </w:r>
          </w:p>
          <w:p w14:paraId="3D36F6F5">
            <w:pPr>
              <w:spacing w:line="360" w:lineRule="auto"/>
              <w:rPr>
                <w:rFonts w:hint="eastAsia"/>
                <w:sz w:val="24"/>
                <w:szCs w:val="24"/>
              </w:rPr>
            </w:pPr>
            <w:r>
              <w:rPr>
                <w:rFonts w:hint="eastAsia"/>
                <w:sz w:val="24"/>
                <w:szCs w:val="24"/>
              </w:rPr>
              <w:t>答：尊敬的投资者，您好！报告期内公司实现营业收入129,178.26万元，同比增长37.36%；其中，新能源汽车及汽车零部件应用领域实现收入52,661.43万元，同比增长10.54%；3C消费电子应用领域实现收入28,020.32万元，同比增长92.48%；风电应用领域实现收入10,928.29万元，同比增长5.78%；报告期内公司实现净利润7,984.07万元，同比增长49.36%；实现扣非后净利润7,513.66万元，同比大幅增长112.08%。</w:t>
            </w:r>
          </w:p>
          <w:p w14:paraId="52A33B5F">
            <w:pPr>
              <w:spacing w:line="360" w:lineRule="auto"/>
              <w:rPr>
                <w:sz w:val="24"/>
                <w:szCs w:val="24"/>
              </w:rPr>
            </w:pPr>
            <w:r>
              <w:rPr>
                <w:rFonts w:hint="eastAsia"/>
                <w:sz w:val="24"/>
                <w:szCs w:val="24"/>
              </w:rPr>
              <w:t>在双碳目标推动下，新能源汽车、风电、消费电子、节能家电等绿色低碳领域对稀土永磁的需求整体增长，但呈现结构性分化特征；公司在稳固现有市场与核心客户的基础上，积极拓展新客户与新市场；聚焦人形机器人、低空经济等新兴赛道。报告期内相关新兴业务规模较小，但成长前景向好。谢谢！</w:t>
            </w:r>
          </w:p>
          <w:p w14:paraId="383DCACC">
            <w:pPr>
              <w:spacing w:line="360" w:lineRule="auto"/>
              <w:rPr>
                <w:b/>
                <w:bCs/>
                <w:sz w:val="24"/>
                <w:szCs w:val="24"/>
              </w:rPr>
            </w:pPr>
            <w:r>
              <w:rPr>
                <w:rFonts w:hint="eastAsia"/>
                <w:b/>
                <w:bCs/>
                <w:sz w:val="24"/>
                <w:szCs w:val="24"/>
              </w:rPr>
              <w:t>2、募投产能逐步释放，人形机器人、低空经济等新兴领域公司已有技术储备，请问下半年至明年，上述新兴赛道预计能带来多大业务增量？产能释放后客户拓展节奏如何？</w:t>
            </w:r>
          </w:p>
          <w:p w14:paraId="7B65A159">
            <w:pPr>
              <w:spacing w:line="360" w:lineRule="auto"/>
              <w:rPr>
                <w:rFonts w:hint="eastAsia"/>
                <w:sz w:val="24"/>
                <w:szCs w:val="24"/>
              </w:rPr>
            </w:pPr>
            <w:r>
              <w:rPr>
                <w:rFonts w:hint="eastAsia"/>
                <w:sz w:val="24"/>
                <w:szCs w:val="24"/>
              </w:rPr>
              <w:t>答：尊敬的投资者，您好！公司围绕“聚焦新兴市场、深化客户关系、优化渠道布局”展开销售工作，持续深耕海内外高端市场。公司通过强化销售团队与区域办事处布局，主动抢抓市场机遇，深化与高端客户的战略合作，提升客户粘性，实现国际国内双轮驱动，上半年市场开发工作成效显著。</w:t>
            </w:r>
          </w:p>
          <w:p w14:paraId="38A222E4">
            <w:pPr>
              <w:spacing w:line="360" w:lineRule="auto"/>
              <w:rPr>
                <w:rFonts w:hint="eastAsia"/>
                <w:sz w:val="24"/>
                <w:szCs w:val="24"/>
              </w:rPr>
            </w:pPr>
            <w:r>
              <w:rPr>
                <w:rFonts w:hint="eastAsia"/>
                <w:sz w:val="24"/>
                <w:szCs w:val="24"/>
              </w:rPr>
              <w:t>同时，报告期内，公司有序推进募投项目及新建项目建设，产能实现稳步提升；公司在稳固现有市场与核心客户的基础上，积极拓展新客户与新市场；聚焦人形机器人、低空经济等新兴赛道。</w:t>
            </w:r>
          </w:p>
          <w:p w14:paraId="7F4C1BCB">
            <w:pPr>
              <w:spacing w:line="360" w:lineRule="auto"/>
              <w:rPr>
                <w:b/>
                <w:bCs/>
                <w:sz w:val="24"/>
                <w:szCs w:val="24"/>
              </w:rPr>
            </w:pPr>
            <w:r>
              <w:rPr>
                <w:rFonts w:hint="eastAsia"/>
                <w:sz w:val="24"/>
                <w:szCs w:val="24"/>
              </w:rPr>
              <w:t>此外公司将大力推广粘结磁、注塑磁、磁组件、磁材制造智能装备等新产品，配套相应的激励考核机制，以把握行业结构性增长机遇，布局新兴赛道，增强市场竞争力和市场份额。公司未来业务和业绩情况请您持续关注公司披露的定期报告和相关公告，谢谢！</w:t>
            </w:r>
          </w:p>
          <w:p w14:paraId="6E067BE2">
            <w:pPr>
              <w:spacing w:line="360" w:lineRule="auto"/>
              <w:rPr>
                <w:b/>
                <w:bCs/>
                <w:sz w:val="24"/>
                <w:szCs w:val="24"/>
              </w:rPr>
            </w:pPr>
            <w:r>
              <w:rPr>
                <w:rFonts w:hint="eastAsia"/>
                <w:b/>
                <w:bCs/>
                <w:sz w:val="24"/>
                <w:szCs w:val="24"/>
              </w:rPr>
              <w:t>3、公司产品技术方面有什么竞争优势？</w:t>
            </w:r>
          </w:p>
          <w:p w14:paraId="53688507">
            <w:pPr>
              <w:spacing w:line="360" w:lineRule="auto"/>
              <w:rPr>
                <w:rFonts w:hint="eastAsia"/>
                <w:sz w:val="24"/>
                <w:szCs w:val="24"/>
              </w:rPr>
            </w:pPr>
            <w:r>
              <w:rPr>
                <w:rFonts w:hint="eastAsia"/>
                <w:sz w:val="24"/>
                <w:szCs w:val="24"/>
              </w:rPr>
              <w:t>答：尊敬的投资者，您好！公司始终坚持高性能稀土永磁材料定位，以高性能、资源低耗为主要目标，聚焦稀土永磁材料制备过程的关键技术创新与突破，形成了零重稀土（DFP）、减重稀土（DLP）、晶界扩散（DDP）、晶界改性（GBM）、低成本Ce磁体、SC结晶研究、新型镀层表面处理等一系列先进核心技术，产品性能及核心技术整体居国内先进水平。</w:t>
            </w:r>
          </w:p>
          <w:p w14:paraId="31924495">
            <w:pPr>
              <w:spacing w:line="360" w:lineRule="auto"/>
              <w:rPr>
                <w:b/>
                <w:bCs/>
                <w:sz w:val="24"/>
                <w:szCs w:val="24"/>
              </w:rPr>
            </w:pPr>
            <w:r>
              <w:rPr>
                <w:rFonts w:hint="eastAsia"/>
                <w:sz w:val="24"/>
                <w:szCs w:val="24"/>
              </w:rPr>
              <w:t>公司具备高水平自主装备制造能力，设备自制配套率处于行业领先水平，部分核心装备成功实现进口替代，有效提升整体生产运营效率，持续夯实产品品质管控能力。公司全资子公司天之和专注稀土永磁专用装备研发制造，依托晶粒细化、一次成型压制等自主核心技术，持续优化材料制备工艺，自主研发气流磨、一次成型压机、烧结炉等稀土永磁材料关键核心生产装备，并已规模化应用于公司稀土永磁材料全流程生产制造并对外销售形成公司新的业务增长点。谢谢！</w:t>
            </w:r>
          </w:p>
          <w:p w14:paraId="2887C6C7">
            <w:pPr>
              <w:spacing w:line="360" w:lineRule="auto"/>
              <w:rPr>
                <w:b/>
                <w:bCs/>
                <w:sz w:val="24"/>
                <w:szCs w:val="24"/>
              </w:rPr>
            </w:pPr>
            <w:r>
              <w:rPr>
                <w:rFonts w:hint="eastAsia"/>
                <w:b/>
                <w:bCs/>
                <w:sz w:val="24"/>
                <w:szCs w:val="24"/>
              </w:rPr>
              <w:t>4、公司发展和布局了哪些新产品新业务新方向？</w:t>
            </w:r>
          </w:p>
          <w:p w14:paraId="4433F12A">
            <w:pPr>
              <w:spacing w:line="360" w:lineRule="auto"/>
              <w:rPr>
                <w:rFonts w:hint="eastAsia"/>
                <w:sz w:val="24"/>
                <w:szCs w:val="24"/>
              </w:rPr>
            </w:pPr>
            <w:r>
              <w:rPr>
                <w:rFonts w:hint="eastAsia"/>
                <w:sz w:val="24"/>
                <w:szCs w:val="24"/>
              </w:rPr>
              <w:t>答：尊敬的投资者，您好！报告期内，公司持续开发高性能无重稀土产品与技术，同时深化布局人形机器人、低空经济等新兴领域，开发定制化磁体与组件，精准对接新兴市场的性能需求。此外，公司加快拓展多元化产品体系，注塑磁、粘结磁、磁组件等高附加值新产品逐渐从研发走向产业化。报告期内相关新兴业务规模较小，但成长前景向好。</w:t>
            </w:r>
          </w:p>
          <w:p w14:paraId="77443671">
            <w:pPr>
              <w:spacing w:line="360" w:lineRule="auto"/>
              <w:rPr>
                <w:rFonts w:hint="eastAsia"/>
                <w:sz w:val="24"/>
                <w:szCs w:val="24"/>
              </w:rPr>
            </w:pPr>
            <w:r>
              <w:rPr>
                <w:rFonts w:hint="eastAsia"/>
                <w:sz w:val="24"/>
                <w:szCs w:val="24"/>
              </w:rPr>
              <w:t>公司具备高水平自主装备制造能力，设备自制配套率处于行业领先水平，部分核心装备成功实现进口替代，有效提升整体生产运营效率，持续夯实产品品质管控能力。公司全资子公司天之和专注稀土永磁专用装备研发制造，自主研发气流磨、一次成型压机、烧结炉等稀土永磁材料关键核心生产装备，已形成公司新的业务增长点。</w:t>
            </w:r>
          </w:p>
          <w:p w14:paraId="527966DC">
            <w:pPr>
              <w:spacing w:line="360" w:lineRule="auto"/>
              <w:rPr>
                <w:sz w:val="24"/>
                <w:szCs w:val="24"/>
              </w:rPr>
            </w:pPr>
            <w:r>
              <w:rPr>
                <w:rFonts w:hint="eastAsia"/>
                <w:sz w:val="24"/>
                <w:szCs w:val="24"/>
              </w:rPr>
              <w:t>同时，结合公司战略规划及经营实际，公司出资设立广东天和，主营人形机器人、低空经济、3C 消费电子领域磁材及磁组件的研发、生产、加工与销售，重点开展小型精密磁材加工，深耕微型磁材精细加工、定制化磁组件装配等核心工艺。推动公司从传统磁材供应商向综合稀土永磁解决方案提供商转型，增强产业协同与市场综合竞争力。谢谢！</w:t>
            </w:r>
          </w:p>
          <w:p w14:paraId="312807C8">
            <w:pPr>
              <w:spacing w:line="360" w:lineRule="auto"/>
              <w:rPr>
                <w:b/>
                <w:bCs/>
                <w:sz w:val="24"/>
                <w:szCs w:val="24"/>
              </w:rPr>
            </w:pPr>
            <w:r>
              <w:rPr>
                <w:rFonts w:hint="eastAsia"/>
                <w:sz w:val="24"/>
                <w:szCs w:val="24"/>
              </w:rPr>
              <w:t>5、</w:t>
            </w:r>
            <w:r>
              <w:rPr>
                <w:rFonts w:hint="eastAsia"/>
                <w:b/>
                <w:bCs/>
                <w:sz w:val="24"/>
                <w:szCs w:val="24"/>
              </w:rPr>
              <w:t>公司坚持高端市场定位，公司有哪些高端市场和客户？有哪些优势？</w:t>
            </w:r>
          </w:p>
          <w:p w14:paraId="1EE9A6BF">
            <w:pPr>
              <w:spacing w:line="360" w:lineRule="auto"/>
              <w:rPr>
                <w:rFonts w:hint="eastAsia"/>
                <w:sz w:val="24"/>
                <w:szCs w:val="24"/>
              </w:rPr>
            </w:pPr>
            <w:r>
              <w:rPr>
                <w:rFonts w:hint="eastAsia"/>
                <w:sz w:val="24"/>
                <w:szCs w:val="24"/>
              </w:rPr>
              <w:t>答：尊敬的投资者，您好！公司历来坚持高端市场和高端客户的定位，公司终端客户覆盖新能源汽车及汽车零部件、风电、节能家电、3C 消费电子等战略性新兴领域，均为国内外行业龙头及骨干企业，已深度进入多家全球及国内头部厂商核心供应链体系。</w:t>
            </w:r>
          </w:p>
          <w:p w14:paraId="67BF5EFE">
            <w:pPr>
              <w:spacing w:line="360" w:lineRule="auto"/>
              <w:rPr>
                <w:sz w:val="24"/>
                <w:szCs w:val="24"/>
              </w:rPr>
            </w:pPr>
            <w:r>
              <w:rPr>
                <w:rFonts w:hint="eastAsia"/>
                <w:sz w:val="24"/>
                <w:szCs w:val="24"/>
              </w:rPr>
              <w:t>报告期内，公司围绕“聚焦新兴市场、深化客户关系、优化渠道布局”展开销售工作，持续深耕海内外高端市场。报告期内，公司国际业务实现营业收入51,611.51万元，占比39.95%，同比增长15.41%；国内业务实现营业收入77,566.75万元，占比60.05%，同比增长57.26%。报告期内，公司品质与成本管控能力获得下游头部客户认可，先后斩获丰田2025年度品质达成奖、2025年度原价协力奖双项荣誉，并荣获泰国大金最佳优秀成本奖。谢谢！</w:t>
            </w:r>
          </w:p>
          <w:p w14:paraId="23988B23">
            <w:pPr>
              <w:spacing w:line="360" w:lineRule="auto"/>
              <w:rPr>
                <w:b/>
                <w:bCs/>
                <w:sz w:val="24"/>
                <w:szCs w:val="24"/>
              </w:rPr>
            </w:pPr>
            <w:r>
              <w:rPr>
                <w:rFonts w:hint="eastAsia"/>
                <w:b/>
                <w:bCs/>
                <w:sz w:val="24"/>
                <w:szCs w:val="24"/>
              </w:rPr>
              <w:t>6、上半年公司营收利润实现增长，但经营现金流为负，应收账款增幅高于营收增速，请问后续公司将采取哪些措施改善回款与现金流状况？</w:t>
            </w:r>
          </w:p>
          <w:p w14:paraId="0748C0DE">
            <w:pPr>
              <w:spacing w:line="360" w:lineRule="auto"/>
              <w:rPr>
                <w:rFonts w:hint="eastAsia"/>
                <w:sz w:val="24"/>
                <w:szCs w:val="24"/>
              </w:rPr>
            </w:pPr>
            <w:r>
              <w:rPr>
                <w:rFonts w:hint="eastAsia"/>
                <w:sz w:val="24"/>
                <w:szCs w:val="24"/>
              </w:rPr>
              <w:t>答：尊敬的投资者，您好！报告期经营活动产生的现金流量净额变动主要系本期销售商品、提供劳务收到的现金增加所致。公司已构建完善的销售全流程内控管控体系，配套有制定客户授信、销售管理专项制度。销售管理制度明确划分管理权责，统筹规范销售计划制定、市场调研与客户维护、定价及合同审核、发货履约与收入确认、应收账款催收及售后跟进等全环节工作。</w:t>
            </w:r>
          </w:p>
          <w:p w14:paraId="15383C08">
            <w:pPr>
              <w:spacing w:line="360" w:lineRule="auto"/>
              <w:rPr>
                <w:b/>
                <w:bCs/>
                <w:sz w:val="24"/>
                <w:szCs w:val="24"/>
              </w:rPr>
            </w:pPr>
            <w:r>
              <w:rPr>
                <w:rFonts w:hint="eastAsia"/>
                <w:sz w:val="24"/>
                <w:szCs w:val="24"/>
              </w:rPr>
              <w:t>后续公司将从优化客户信用与授信管理；强化应收账款全流程催收，加快存量资金回笼；业务端调整经营策略，在拓展业务时优先选择回款质量好的项目与客户；统筹上下游资金，优化库存计划，降低存货对现金流的占用；常态化监控预警，动态调整销售及信用政策等方面持续改善公司经营现金流。</w:t>
            </w:r>
          </w:p>
          <w:p w14:paraId="641DC598">
            <w:pPr>
              <w:spacing w:line="360" w:lineRule="auto"/>
              <w:rPr>
                <w:b/>
                <w:bCs/>
                <w:sz w:val="24"/>
                <w:szCs w:val="24"/>
              </w:rPr>
            </w:pPr>
            <w:r>
              <w:rPr>
                <w:rFonts w:hint="eastAsia"/>
                <w:b/>
                <w:bCs/>
                <w:sz w:val="24"/>
                <w:szCs w:val="24"/>
              </w:rPr>
              <w:t>7、下半年的经营计划能否实现有没有不利因素</w:t>
            </w:r>
          </w:p>
          <w:p w14:paraId="4495DF41">
            <w:pPr>
              <w:spacing w:line="360" w:lineRule="auto"/>
              <w:rPr>
                <w:rFonts w:hint="eastAsia"/>
                <w:sz w:val="24"/>
                <w:szCs w:val="24"/>
              </w:rPr>
            </w:pPr>
            <w:r>
              <w:rPr>
                <w:rFonts w:hint="eastAsia"/>
                <w:sz w:val="24"/>
                <w:szCs w:val="24"/>
              </w:rPr>
              <w:t>答：尊敬的投资者，您好！公司下半年可能面对的主要风险如下：1、稀土原材料价格波动的风险；2、市场竞争加剧的风险；3、国际贸易环境变化的风险；4、汇率波动风险。</w:t>
            </w:r>
            <w:bookmarkStart w:id="1" w:name="_GoBack"/>
            <w:bookmarkEnd w:id="1"/>
          </w:p>
          <w:p w14:paraId="0F44964A">
            <w:pPr>
              <w:spacing w:line="360" w:lineRule="auto"/>
              <w:rPr>
                <w:rFonts w:hint="eastAsia"/>
                <w:sz w:val="24"/>
                <w:szCs w:val="24"/>
              </w:rPr>
            </w:pPr>
            <w:r>
              <w:rPr>
                <w:rFonts w:hint="eastAsia"/>
                <w:sz w:val="24"/>
                <w:szCs w:val="24"/>
              </w:rPr>
              <w:t>面对这些经营风险，公司均制定了相应的措施，如为应对原材料波动的风险，公司将持续强化供应链管理，与主要供应商签订长期协议，建立稳定的合作关系；同时，实施科学的原材料储备策略，以平滑价格波动带来的影响。应对市场竞争加剧的风险，公司公司坚持差异化竞争策略，聚焦高性能、高附加值产品与高端客户市场，并逐步向产业链下游高价值环节延伸，致力于客户提供综合稀土永磁解决方案，以增强自身市场竞争力和抗风险能力。详见公司半年度报告！谢谢！</w:t>
            </w:r>
          </w:p>
        </w:tc>
      </w:tr>
      <w:tr w14:paraId="012FF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single" w:color="auto" w:sz="4" w:space="0"/>
              <w:left w:val="single" w:color="auto" w:sz="4" w:space="0"/>
              <w:bottom w:val="single" w:color="auto" w:sz="4" w:space="0"/>
              <w:right w:val="single" w:color="auto" w:sz="4" w:space="0"/>
            </w:tcBorders>
            <w:vAlign w:val="center"/>
          </w:tcPr>
          <w:p w14:paraId="047261AD">
            <w:pPr>
              <w:spacing w:line="360" w:lineRule="auto"/>
              <w:rPr>
                <w:rFonts w:eastAsiaTheme="minorEastAsia"/>
                <w:bCs/>
                <w:iCs/>
                <w:color w:val="000000"/>
                <w:sz w:val="24"/>
                <w:szCs w:val="24"/>
              </w:rPr>
            </w:pPr>
            <w:r>
              <w:rPr>
                <w:rFonts w:eastAsiaTheme="minorEastAsia"/>
                <w:bCs/>
                <w:iCs/>
                <w:color w:val="000000"/>
                <w:sz w:val="24"/>
                <w:szCs w:val="24"/>
              </w:rPr>
              <w:t>关于本次活动是否涉及应披露重大信息的说明</w:t>
            </w:r>
          </w:p>
        </w:tc>
        <w:tc>
          <w:tcPr>
            <w:tcW w:w="3926" w:type="pct"/>
            <w:tcBorders>
              <w:top w:val="single" w:color="auto" w:sz="4" w:space="0"/>
              <w:left w:val="single" w:color="auto" w:sz="4" w:space="0"/>
              <w:bottom w:val="single" w:color="auto" w:sz="4" w:space="0"/>
              <w:right w:val="single" w:color="auto" w:sz="4" w:space="0"/>
            </w:tcBorders>
            <w:vAlign w:val="center"/>
          </w:tcPr>
          <w:p w14:paraId="3319D5E8">
            <w:pPr>
              <w:spacing w:line="360" w:lineRule="auto"/>
              <w:rPr>
                <w:rFonts w:eastAsiaTheme="minorEastAsia"/>
                <w:bCs/>
                <w:iCs/>
                <w:color w:val="000000"/>
                <w:sz w:val="24"/>
                <w:szCs w:val="24"/>
              </w:rPr>
            </w:pPr>
            <w:r>
              <w:rPr>
                <w:rFonts w:eastAsiaTheme="minorEastAsia"/>
                <w:bCs/>
                <w:iCs/>
                <w:color w:val="000000"/>
                <w:sz w:val="24"/>
                <w:szCs w:val="24"/>
              </w:rPr>
              <w:t>无</w:t>
            </w:r>
          </w:p>
        </w:tc>
      </w:tr>
      <w:tr w14:paraId="4C2B2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single" w:color="auto" w:sz="4" w:space="0"/>
              <w:left w:val="single" w:color="auto" w:sz="4" w:space="0"/>
              <w:bottom w:val="single" w:color="auto" w:sz="4" w:space="0"/>
              <w:right w:val="single" w:color="auto" w:sz="4" w:space="0"/>
            </w:tcBorders>
            <w:vAlign w:val="center"/>
          </w:tcPr>
          <w:p w14:paraId="283BA6DE">
            <w:pPr>
              <w:spacing w:line="360" w:lineRule="auto"/>
              <w:rPr>
                <w:rFonts w:eastAsiaTheme="minorEastAsia"/>
                <w:bCs/>
                <w:iCs/>
                <w:color w:val="000000"/>
                <w:sz w:val="24"/>
                <w:szCs w:val="24"/>
              </w:rPr>
            </w:pPr>
            <w:r>
              <w:rPr>
                <w:rFonts w:eastAsiaTheme="minorEastAsia"/>
                <w:bCs/>
                <w:iCs/>
                <w:color w:val="000000"/>
                <w:sz w:val="24"/>
                <w:szCs w:val="24"/>
              </w:rPr>
              <w:t>附件清单（如有）</w:t>
            </w:r>
          </w:p>
        </w:tc>
        <w:tc>
          <w:tcPr>
            <w:tcW w:w="3926" w:type="pct"/>
            <w:tcBorders>
              <w:top w:val="single" w:color="auto" w:sz="4" w:space="0"/>
              <w:left w:val="single" w:color="auto" w:sz="4" w:space="0"/>
              <w:bottom w:val="single" w:color="auto" w:sz="4" w:space="0"/>
              <w:right w:val="single" w:color="auto" w:sz="4" w:space="0"/>
            </w:tcBorders>
            <w:vAlign w:val="center"/>
          </w:tcPr>
          <w:p w14:paraId="137D6227">
            <w:pPr>
              <w:spacing w:line="360" w:lineRule="auto"/>
              <w:rPr>
                <w:rFonts w:eastAsiaTheme="minorEastAsia"/>
                <w:bCs/>
                <w:iCs/>
                <w:color w:val="000000"/>
                <w:sz w:val="24"/>
                <w:szCs w:val="24"/>
              </w:rPr>
            </w:pPr>
            <w:r>
              <w:rPr>
                <w:rFonts w:hint="eastAsia" w:eastAsiaTheme="minorEastAsia"/>
                <w:bCs/>
                <w:iCs/>
                <w:color w:val="000000"/>
                <w:sz w:val="24"/>
                <w:szCs w:val="24"/>
              </w:rPr>
              <w:t>无</w:t>
            </w:r>
          </w:p>
        </w:tc>
      </w:tr>
      <w:tr w14:paraId="2F8AB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pct"/>
            <w:tcBorders>
              <w:top w:val="single" w:color="auto" w:sz="4" w:space="0"/>
              <w:left w:val="single" w:color="auto" w:sz="4" w:space="0"/>
              <w:bottom w:val="single" w:color="auto" w:sz="4" w:space="0"/>
              <w:right w:val="single" w:color="auto" w:sz="4" w:space="0"/>
            </w:tcBorders>
            <w:vAlign w:val="center"/>
          </w:tcPr>
          <w:p w14:paraId="369458D7">
            <w:pPr>
              <w:spacing w:line="360" w:lineRule="auto"/>
              <w:rPr>
                <w:rFonts w:eastAsiaTheme="minorEastAsia"/>
                <w:bCs/>
                <w:iCs/>
                <w:color w:val="000000"/>
                <w:sz w:val="24"/>
                <w:szCs w:val="24"/>
              </w:rPr>
            </w:pPr>
            <w:r>
              <w:rPr>
                <w:rFonts w:hint="eastAsia" w:eastAsiaTheme="minorEastAsia"/>
                <w:bCs/>
                <w:iCs/>
                <w:color w:val="000000"/>
                <w:sz w:val="24"/>
                <w:szCs w:val="24"/>
              </w:rPr>
              <w:t>日期</w:t>
            </w:r>
          </w:p>
        </w:tc>
        <w:tc>
          <w:tcPr>
            <w:tcW w:w="3926" w:type="pct"/>
            <w:tcBorders>
              <w:top w:val="single" w:color="auto" w:sz="4" w:space="0"/>
              <w:left w:val="single" w:color="auto" w:sz="4" w:space="0"/>
              <w:bottom w:val="single" w:color="auto" w:sz="4" w:space="0"/>
              <w:right w:val="single" w:color="auto" w:sz="4" w:space="0"/>
            </w:tcBorders>
            <w:vAlign w:val="center"/>
          </w:tcPr>
          <w:p w14:paraId="7420F603">
            <w:pPr>
              <w:spacing w:line="360" w:lineRule="auto"/>
              <w:rPr>
                <w:rFonts w:eastAsiaTheme="minorEastAsia"/>
                <w:bCs/>
                <w:iCs/>
                <w:color w:val="000000"/>
                <w:sz w:val="24"/>
                <w:szCs w:val="24"/>
              </w:rPr>
            </w:pPr>
            <w:r>
              <w:rPr>
                <w:rFonts w:hint="eastAsia" w:eastAsiaTheme="minorEastAsia"/>
                <w:bCs/>
                <w:iCs/>
                <w:sz w:val="24"/>
                <w:szCs w:val="24"/>
              </w:rPr>
              <w:t>2026年9月1日</w:t>
            </w:r>
          </w:p>
        </w:tc>
      </w:tr>
    </w:tbl>
    <w:p w14:paraId="2D39FA38">
      <w:pPr>
        <w:widowControl/>
        <w:jc w:val="left"/>
        <w:rPr>
          <w:rFonts w:eastAsiaTheme="minorEastAsia"/>
        </w:rPr>
      </w:pPr>
    </w:p>
    <w:sectPr>
      <w:headerReference r:id="rId4" w:type="first"/>
      <w:headerReference r:id="rId3" w:type="default"/>
      <w:pgSz w:w="11906" w:h="16838"/>
      <w:pgMar w:top="1440" w:right="1797" w:bottom="1440" w:left="1797" w:header="850" w:footer="0" w:gutter="0"/>
      <w:cols w:space="425"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Wingdings 2">
    <w:panose1 w:val="05020102010507070707"/>
    <w:charset w:val="02"/>
    <w:family w:val="roman"/>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87CC5">
    <w:pPr>
      <w:pStyle w:val="4"/>
      <w:pBdr>
        <w:bottom w:val="none" w:color="auto" w:sz="0" w:space="0"/>
      </w:pBdr>
      <w:rPr>
        <w:rFonts w:ascii="Times New Roman" w:hAnsi="Times New Roman" w:cs="Times New Roman"/>
        <w:sz w:val="21"/>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3476E">
    <w:pPr>
      <w:pStyle w:val="4"/>
      <w:pBdr>
        <w:bottom w:val="none" w:color="auto" w:sz="0" w:space="0"/>
      </w:pBdr>
      <w:rPr>
        <w:rFonts w:ascii="Times New Roman" w:hAnsi="Times New Roman" w:cs="Times New Roman"/>
        <w:sz w:val="21"/>
        <w:szCs w:val="21"/>
      </w:rPr>
    </w:pPr>
    <w:r>
      <w:rPr>
        <w:rFonts w:ascii="Times New Roman" w:hAnsi="Times New Roman" w:cs="Times New Roman"/>
        <w:sz w:val="21"/>
        <w:szCs w:val="21"/>
      </w:rPr>
      <w:t>证券代码：</w:t>
    </w:r>
    <w:r>
      <w:rPr>
        <w:rFonts w:hint="eastAsia" w:ascii="Times New Roman" w:hAnsi="Times New Roman" w:cs="Times New Roman"/>
        <w:sz w:val="21"/>
        <w:szCs w:val="21"/>
      </w:rPr>
      <w:t>603072</w:t>
    </w:r>
    <w:r>
      <w:rPr>
        <w:rFonts w:ascii="Times New Roman" w:hAnsi="Times New Roman" w:cs="Times New Roman"/>
        <w:sz w:val="21"/>
        <w:szCs w:val="21"/>
      </w:rPr>
      <w:tab/>
    </w:r>
    <w:r>
      <w:rPr>
        <w:rFonts w:ascii="Times New Roman" w:hAnsi="Times New Roman" w:cs="Times New Roman"/>
        <w:sz w:val="21"/>
        <w:szCs w:val="21"/>
      </w:rPr>
      <w:ptab w:relativeTo="margin" w:alignment="center" w:leader="none"/>
    </w:r>
    <w:r>
      <w:rPr>
        <w:rFonts w:ascii="Times New Roman" w:hAnsi="Times New Roman" w:cs="Times New Roman"/>
        <w:sz w:val="21"/>
        <w:szCs w:val="21"/>
      </w:rPr>
      <w:ptab w:relativeTo="margin" w:alignment="right" w:leader="none"/>
    </w:r>
    <w:r>
      <w:rPr>
        <w:rFonts w:ascii="Times New Roman" w:hAnsi="Times New Roman" w:cs="Times New Roman"/>
        <w:sz w:val="21"/>
        <w:szCs w:val="21"/>
      </w:rPr>
      <w:t>证券简称：</w:t>
    </w:r>
    <w:r>
      <w:rPr>
        <w:rFonts w:hint="eastAsia" w:ascii="Times New Roman" w:hAnsi="Times New Roman" w:cs="Times New Roman"/>
        <w:sz w:val="21"/>
        <w:szCs w:val="21"/>
      </w:rPr>
      <w:t>天和磁材</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83E"/>
    <w:rsid w:val="00000D53"/>
    <w:rsid w:val="00001A44"/>
    <w:rsid w:val="00005DC7"/>
    <w:rsid w:val="00010747"/>
    <w:rsid w:val="00010E2E"/>
    <w:rsid w:val="00012C0E"/>
    <w:rsid w:val="0001590A"/>
    <w:rsid w:val="00017DAD"/>
    <w:rsid w:val="0002668D"/>
    <w:rsid w:val="000325CA"/>
    <w:rsid w:val="0004058A"/>
    <w:rsid w:val="00040F76"/>
    <w:rsid w:val="00043592"/>
    <w:rsid w:val="000601B6"/>
    <w:rsid w:val="0007243B"/>
    <w:rsid w:val="000754F1"/>
    <w:rsid w:val="000901A2"/>
    <w:rsid w:val="000933FF"/>
    <w:rsid w:val="00095313"/>
    <w:rsid w:val="000A42A2"/>
    <w:rsid w:val="000A62C1"/>
    <w:rsid w:val="000B41EE"/>
    <w:rsid w:val="000B58D4"/>
    <w:rsid w:val="000C2958"/>
    <w:rsid w:val="000C6659"/>
    <w:rsid w:val="000C6D27"/>
    <w:rsid w:val="000D758F"/>
    <w:rsid w:val="000E47E4"/>
    <w:rsid w:val="000E5ACE"/>
    <w:rsid w:val="000F14FC"/>
    <w:rsid w:val="000F1E31"/>
    <w:rsid w:val="000F3DF3"/>
    <w:rsid w:val="000F500B"/>
    <w:rsid w:val="000F6057"/>
    <w:rsid w:val="000F7ECD"/>
    <w:rsid w:val="00100A5F"/>
    <w:rsid w:val="00101F48"/>
    <w:rsid w:val="0010436C"/>
    <w:rsid w:val="00117AF5"/>
    <w:rsid w:val="001300CB"/>
    <w:rsid w:val="00132177"/>
    <w:rsid w:val="00133827"/>
    <w:rsid w:val="00136988"/>
    <w:rsid w:val="001430B6"/>
    <w:rsid w:val="00150ABC"/>
    <w:rsid w:val="0015196C"/>
    <w:rsid w:val="00152863"/>
    <w:rsid w:val="00152D51"/>
    <w:rsid w:val="00153CA0"/>
    <w:rsid w:val="00154FB4"/>
    <w:rsid w:val="001655BB"/>
    <w:rsid w:val="00167464"/>
    <w:rsid w:val="00167E44"/>
    <w:rsid w:val="001732F8"/>
    <w:rsid w:val="001770EC"/>
    <w:rsid w:val="00181375"/>
    <w:rsid w:val="00181C63"/>
    <w:rsid w:val="00183B35"/>
    <w:rsid w:val="00190A23"/>
    <w:rsid w:val="00195D94"/>
    <w:rsid w:val="001A0635"/>
    <w:rsid w:val="001B0746"/>
    <w:rsid w:val="001B4D74"/>
    <w:rsid w:val="001C09B3"/>
    <w:rsid w:val="001C1EAF"/>
    <w:rsid w:val="001C5E7E"/>
    <w:rsid w:val="001D4EAF"/>
    <w:rsid w:val="001F4926"/>
    <w:rsid w:val="001F5EB4"/>
    <w:rsid w:val="001F69DD"/>
    <w:rsid w:val="001F788C"/>
    <w:rsid w:val="00206933"/>
    <w:rsid w:val="00206A06"/>
    <w:rsid w:val="00220E62"/>
    <w:rsid w:val="00231103"/>
    <w:rsid w:val="002432AF"/>
    <w:rsid w:val="0024390C"/>
    <w:rsid w:val="00244710"/>
    <w:rsid w:val="00244C38"/>
    <w:rsid w:val="0025477D"/>
    <w:rsid w:val="00255CA9"/>
    <w:rsid w:val="00261438"/>
    <w:rsid w:val="00267B5C"/>
    <w:rsid w:val="002700DD"/>
    <w:rsid w:val="002718CA"/>
    <w:rsid w:val="002719DA"/>
    <w:rsid w:val="00283108"/>
    <w:rsid w:val="00290BD3"/>
    <w:rsid w:val="00296382"/>
    <w:rsid w:val="002979C1"/>
    <w:rsid w:val="002A23B8"/>
    <w:rsid w:val="002C4044"/>
    <w:rsid w:val="002C6E8D"/>
    <w:rsid w:val="002C740D"/>
    <w:rsid w:val="002D122D"/>
    <w:rsid w:val="002D2D78"/>
    <w:rsid w:val="002D4DAC"/>
    <w:rsid w:val="002E022A"/>
    <w:rsid w:val="002F4179"/>
    <w:rsid w:val="00312949"/>
    <w:rsid w:val="00321351"/>
    <w:rsid w:val="00330AF1"/>
    <w:rsid w:val="00331F94"/>
    <w:rsid w:val="00335890"/>
    <w:rsid w:val="00341D0B"/>
    <w:rsid w:val="00342520"/>
    <w:rsid w:val="00344BEE"/>
    <w:rsid w:val="00350821"/>
    <w:rsid w:val="00357F4E"/>
    <w:rsid w:val="0036086F"/>
    <w:rsid w:val="003630C0"/>
    <w:rsid w:val="00367179"/>
    <w:rsid w:val="00373DF5"/>
    <w:rsid w:val="00376300"/>
    <w:rsid w:val="003834EF"/>
    <w:rsid w:val="003873B3"/>
    <w:rsid w:val="003933C4"/>
    <w:rsid w:val="00394E58"/>
    <w:rsid w:val="003B28E8"/>
    <w:rsid w:val="003B2A7A"/>
    <w:rsid w:val="003C2D63"/>
    <w:rsid w:val="003C3D5C"/>
    <w:rsid w:val="003C7E9B"/>
    <w:rsid w:val="003F4921"/>
    <w:rsid w:val="003F55CD"/>
    <w:rsid w:val="00405A89"/>
    <w:rsid w:val="004075B1"/>
    <w:rsid w:val="004115D0"/>
    <w:rsid w:val="00413112"/>
    <w:rsid w:val="00415C01"/>
    <w:rsid w:val="00415D23"/>
    <w:rsid w:val="00423D04"/>
    <w:rsid w:val="00425671"/>
    <w:rsid w:val="00427FBF"/>
    <w:rsid w:val="004308A8"/>
    <w:rsid w:val="00442AE5"/>
    <w:rsid w:val="00456DD3"/>
    <w:rsid w:val="00460709"/>
    <w:rsid w:val="004625B1"/>
    <w:rsid w:val="00462A7D"/>
    <w:rsid w:val="00463D67"/>
    <w:rsid w:val="004650E1"/>
    <w:rsid w:val="00472FC2"/>
    <w:rsid w:val="0047434E"/>
    <w:rsid w:val="00475716"/>
    <w:rsid w:val="004810FC"/>
    <w:rsid w:val="00483C1E"/>
    <w:rsid w:val="0048790E"/>
    <w:rsid w:val="00493613"/>
    <w:rsid w:val="00493977"/>
    <w:rsid w:val="00493FFA"/>
    <w:rsid w:val="0049638A"/>
    <w:rsid w:val="004A0FB1"/>
    <w:rsid w:val="004B5B5E"/>
    <w:rsid w:val="004B6198"/>
    <w:rsid w:val="004C21DC"/>
    <w:rsid w:val="004D099E"/>
    <w:rsid w:val="004D16CE"/>
    <w:rsid w:val="004D4B0F"/>
    <w:rsid w:val="004E33F2"/>
    <w:rsid w:val="004E5A03"/>
    <w:rsid w:val="004E74B9"/>
    <w:rsid w:val="004F6DB0"/>
    <w:rsid w:val="004F7BC7"/>
    <w:rsid w:val="0050045E"/>
    <w:rsid w:val="0050362E"/>
    <w:rsid w:val="00521657"/>
    <w:rsid w:val="005257B4"/>
    <w:rsid w:val="00534FF5"/>
    <w:rsid w:val="0053789B"/>
    <w:rsid w:val="00546B4C"/>
    <w:rsid w:val="00551E7A"/>
    <w:rsid w:val="00552EAC"/>
    <w:rsid w:val="00555D00"/>
    <w:rsid w:val="00561C13"/>
    <w:rsid w:val="00567F7E"/>
    <w:rsid w:val="005705B4"/>
    <w:rsid w:val="00572AA1"/>
    <w:rsid w:val="00575E80"/>
    <w:rsid w:val="00583F6E"/>
    <w:rsid w:val="00594494"/>
    <w:rsid w:val="005A2614"/>
    <w:rsid w:val="005A3518"/>
    <w:rsid w:val="005B65D6"/>
    <w:rsid w:val="005C3C68"/>
    <w:rsid w:val="005C618E"/>
    <w:rsid w:val="005C65DB"/>
    <w:rsid w:val="005D2BB4"/>
    <w:rsid w:val="005D5686"/>
    <w:rsid w:val="005D79E6"/>
    <w:rsid w:val="005E1794"/>
    <w:rsid w:val="005F1470"/>
    <w:rsid w:val="005F6C1A"/>
    <w:rsid w:val="005F71DE"/>
    <w:rsid w:val="006053BF"/>
    <w:rsid w:val="00605FDB"/>
    <w:rsid w:val="00632FA4"/>
    <w:rsid w:val="00645E6F"/>
    <w:rsid w:val="00652C30"/>
    <w:rsid w:val="0066423A"/>
    <w:rsid w:val="00665007"/>
    <w:rsid w:val="006659ED"/>
    <w:rsid w:val="006741CD"/>
    <w:rsid w:val="006929D6"/>
    <w:rsid w:val="00695DB9"/>
    <w:rsid w:val="006A121F"/>
    <w:rsid w:val="006A59AD"/>
    <w:rsid w:val="006A74CA"/>
    <w:rsid w:val="006B7544"/>
    <w:rsid w:val="006C08D8"/>
    <w:rsid w:val="006C16CF"/>
    <w:rsid w:val="006C31C8"/>
    <w:rsid w:val="006E10A4"/>
    <w:rsid w:val="006E1B73"/>
    <w:rsid w:val="006F3555"/>
    <w:rsid w:val="007012A4"/>
    <w:rsid w:val="0070194B"/>
    <w:rsid w:val="00720F06"/>
    <w:rsid w:val="00731CF8"/>
    <w:rsid w:val="007322BE"/>
    <w:rsid w:val="007337A1"/>
    <w:rsid w:val="00735571"/>
    <w:rsid w:val="007362A6"/>
    <w:rsid w:val="007603F2"/>
    <w:rsid w:val="0076290D"/>
    <w:rsid w:val="00762FD4"/>
    <w:rsid w:val="007669A4"/>
    <w:rsid w:val="00770BAD"/>
    <w:rsid w:val="00776A7E"/>
    <w:rsid w:val="00782C0D"/>
    <w:rsid w:val="00785B54"/>
    <w:rsid w:val="0079020D"/>
    <w:rsid w:val="00792F59"/>
    <w:rsid w:val="00793838"/>
    <w:rsid w:val="007A1FE6"/>
    <w:rsid w:val="007A4CBF"/>
    <w:rsid w:val="007A51BA"/>
    <w:rsid w:val="007A7C20"/>
    <w:rsid w:val="007B318E"/>
    <w:rsid w:val="007B4C26"/>
    <w:rsid w:val="007D23D7"/>
    <w:rsid w:val="007D369C"/>
    <w:rsid w:val="007D5A9E"/>
    <w:rsid w:val="007D7FE4"/>
    <w:rsid w:val="007E1653"/>
    <w:rsid w:val="007E2EA4"/>
    <w:rsid w:val="007F556D"/>
    <w:rsid w:val="008010D5"/>
    <w:rsid w:val="00803E28"/>
    <w:rsid w:val="0081049D"/>
    <w:rsid w:val="00820557"/>
    <w:rsid w:val="008313CD"/>
    <w:rsid w:val="00831639"/>
    <w:rsid w:val="00835577"/>
    <w:rsid w:val="0084092F"/>
    <w:rsid w:val="00840FAF"/>
    <w:rsid w:val="00841468"/>
    <w:rsid w:val="008425DC"/>
    <w:rsid w:val="00865E75"/>
    <w:rsid w:val="00866053"/>
    <w:rsid w:val="00871EF1"/>
    <w:rsid w:val="00882818"/>
    <w:rsid w:val="00884D5A"/>
    <w:rsid w:val="00885186"/>
    <w:rsid w:val="00894D60"/>
    <w:rsid w:val="00897C1F"/>
    <w:rsid w:val="008B6CAD"/>
    <w:rsid w:val="008D39FE"/>
    <w:rsid w:val="008D7BDF"/>
    <w:rsid w:val="008E2246"/>
    <w:rsid w:val="008F7925"/>
    <w:rsid w:val="009001DE"/>
    <w:rsid w:val="009114F1"/>
    <w:rsid w:val="00950C73"/>
    <w:rsid w:val="00973E23"/>
    <w:rsid w:val="009807BE"/>
    <w:rsid w:val="00983F87"/>
    <w:rsid w:val="00985D83"/>
    <w:rsid w:val="009918CD"/>
    <w:rsid w:val="0099210F"/>
    <w:rsid w:val="009947CA"/>
    <w:rsid w:val="00996EBC"/>
    <w:rsid w:val="009A65D4"/>
    <w:rsid w:val="009A6DB5"/>
    <w:rsid w:val="009B27CA"/>
    <w:rsid w:val="009B2FED"/>
    <w:rsid w:val="009C189A"/>
    <w:rsid w:val="009C4866"/>
    <w:rsid w:val="009C56FC"/>
    <w:rsid w:val="009D46D3"/>
    <w:rsid w:val="009D6446"/>
    <w:rsid w:val="009E119C"/>
    <w:rsid w:val="009E4EBE"/>
    <w:rsid w:val="009F14D7"/>
    <w:rsid w:val="009F208A"/>
    <w:rsid w:val="009F4A36"/>
    <w:rsid w:val="009F5F2B"/>
    <w:rsid w:val="00A00C02"/>
    <w:rsid w:val="00A10475"/>
    <w:rsid w:val="00A25446"/>
    <w:rsid w:val="00A34001"/>
    <w:rsid w:val="00A3503B"/>
    <w:rsid w:val="00A37F45"/>
    <w:rsid w:val="00A452D7"/>
    <w:rsid w:val="00A47D0A"/>
    <w:rsid w:val="00A5421B"/>
    <w:rsid w:val="00A57DED"/>
    <w:rsid w:val="00A57F5B"/>
    <w:rsid w:val="00A62C14"/>
    <w:rsid w:val="00A6326E"/>
    <w:rsid w:val="00A63754"/>
    <w:rsid w:val="00A655C4"/>
    <w:rsid w:val="00A66AE1"/>
    <w:rsid w:val="00A67805"/>
    <w:rsid w:val="00A844F8"/>
    <w:rsid w:val="00A916E9"/>
    <w:rsid w:val="00A9173B"/>
    <w:rsid w:val="00A91E24"/>
    <w:rsid w:val="00A92A7A"/>
    <w:rsid w:val="00AA1DF1"/>
    <w:rsid w:val="00AB156F"/>
    <w:rsid w:val="00AB6F06"/>
    <w:rsid w:val="00AB6F90"/>
    <w:rsid w:val="00AC76E7"/>
    <w:rsid w:val="00AD13CE"/>
    <w:rsid w:val="00AD2D49"/>
    <w:rsid w:val="00AD2FF1"/>
    <w:rsid w:val="00AE28FF"/>
    <w:rsid w:val="00AE3E2B"/>
    <w:rsid w:val="00AF2D7E"/>
    <w:rsid w:val="00AF301E"/>
    <w:rsid w:val="00B01A7D"/>
    <w:rsid w:val="00B02E02"/>
    <w:rsid w:val="00B203A6"/>
    <w:rsid w:val="00B25DE0"/>
    <w:rsid w:val="00B26949"/>
    <w:rsid w:val="00B270E1"/>
    <w:rsid w:val="00B3023D"/>
    <w:rsid w:val="00B370AE"/>
    <w:rsid w:val="00B37700"/>
    <w:rsid w:val="00B377A0"/>
    <w:rsid w:val="00B43C15"/>
    <w:rsid w:val="00B5143A"/>
    <w:rsid w:val="00B55697"/>
    <w:rsid w:val="00B558CD"/>
    <w:rsid w:val="00B56262"/>
    <w:rsid w:val="00B56BFE"/>
    <w:rsid w:val="00B6190A"/>
    <w:rsid w:val="00B63A1B"/>
    <w:rsid w:val="00B6409E"/>
    <w:rsid w:val="00B6755D"/>
    <w:rsid w:val="00B67C53"/>
    <w:rsid w:val="00B67EC3"/>
    <w:rsid w:val="00B70E66"/>
    <w:rsid w:val="00B77F4D"/>
    <w:rsid w:val="00B82F1B"/>
    <w:rsid w:val="00B9283B"/>
    <w:rsid w:val="00BA0534"/>
    <w:rsid w:val="00BA2BDA"/>
    <w:rsid w:val="00BA2F57"/>
    <w:rsid w:val="00BA5E94"/>
    <w:rsid w:val="00BC027D"/>
    <w:rsid w:val="00BC17B1"/>
    <w:rsid w:val="00BC470C"/>
    <w:rsid w:val="00BC4D98"/>
    <w:rsid w:val="00BC68AD"/>
    <w:rsid w:val="00BD3E48"/>
    <w:rsid w:val="00BD645D"/>
    <w:rsid w:val="00BE24FE"/>
    <w:rsid w:val="00BE3154"/>
    <w:rsid w:val="00BE7713"/>
    <w:rsid w:val="00BF2942"/>
    <w:rsid w:val="00C01339"/>
    <w:rsid w:val="00C309BE"/>
    <w:rsid w:val="00C35A39"/>
    <w:rsid w:val="00C436A7"/>
    <w:rsid w:val="00C504AC"/>
    <w:rsid w:val="00C5245D"/>
    <w:rsid w:val="00C76C16"/>
    <w:rsid w:val="00C86FE8"/>
    <w:rsid w:val="00C919B1"/>
    <w:rsid w:val="00CA0BDC"/>
    <w:rsid w:val="00CA51B1"/>
    <w:rsid w:val="00CB26DF"/>
    <w:rsid w:val="00CB3FF9"/>
    <w:rsid w:val="00CC1D6E"/>
    <w:rsid w:val="00CC4339"/>
    <w:rsid w:val="00D016AB"/>
    <w:rsid w:val="00D03F05"/>
    <w:rsid w:val="00D04AB9"/>
    <w:rsid w:val="00D067D5"/>
    <w:rsid w:val="00D117D3"/>
    <w:rsid w:val="00D177E0"/>
    <w:rsid w:val="00D20789"/>
    <w:rsid w:val="00D26037"/>
    <w:rsid w:val="00D301FA"/>
    <w:rsid w:val="00D32FC7"/>
    <w:rsid w:val="00D33129"/>
    <w:rsid w:val="00D41A0A"/>
    <w:rsid w:val="00D50D51"/>
    <w:rsid w:val="00D51AD7"/>
    <w:rsid w:val="00D5429F"/>
    <w:rsid w:val="00D60B85"/>
    <w:rsid w:val="00D6424B"/>
    <w:rsid w:val="00D67BB9"/>
    <w:rsid w:val="00D770D3"/>
    <w:rsid w:val="00D85C72"/>
    <w:rsid w:val="00D90A39"/>
    <w:rsid w:val="00D931CE"/>
    <w:rsid w:val="00D973BB"/>
    <w:rsid w:val="00DA0892"/>
    <w:rsid w:val="00DA325F"/>
    <w:rsid w:val="00DB0DDC"/>
    <w:rsid w:val="00DB1367"/>
    <w:rsid w:val="00DB49D0"/>
    <w:rsid w:val="00DC6F43"/>
    <w:rsid w:val="00DD183E"/>
    <w:rsid w:val="00DD56FE"/>
    <w:rsid w:val="00DD6417"/>
    <w:rsid w:val="00DF5A91"/>
    <w:rsid w:val="00E006E3"/>
    <w:rsid w:val="00E03AAE"/>
    <w:rsid w:val="00E160AB"/>
    <w:rsid w:val="00E215C6"/>
    <w:rsid w:val="00E2783C"/>
    <w:rsid w:val="00E33AE1"/>
    <w:rsid w:val="00E34F33"/>
    <w:rsid w:val="00E368D8"/>
    <w:rsid w:val="00E403B0"/>
    <w:rsid w:val="00E416BA"/>
    <w:rsid w:val="00E425E1"/>
    <w:rsid w:val="00E5441D"/>
    <w:rsid w:val="00E6231C"/>
    <w:rsid w:val="00E62371"/>
    <w:rsid w:val="00E8184D"/>
    <w:rsid w:val="00E831A1"/>
    <w:rsid w:val="00E84E81"/>
    <w:rsid w:val="00E927AF"/>
    <w:rsid w:val="00E93CF4"/>
    <w:rsid w:val="00E970C5"/>
    <w:rsid w:val="00EA1BC5"/>
    <w:rsid w:val="00EA67BF"/>
    <w:rsid w:val="00EB4FB9"/>
    <w:rsid w:val="00EB79F7"/>
    <w:rsid w:val="00EC3198"/>
    <w:rsid w:val="00ED603A"/>
    <w:rsid w:val="00ED60CE"/>
    <w:rsid w:val="00ED79BD"/>
    <w:rsid w:val="00EE40C1"/>
    <w:rsid w:val="00F020E2"/>
    <w:rsid w:val="00F02869"/>
    <w:rsid w:val="00F61571"/>
    <w:rsid w:val="00F65392"/>
    <w:rsid w:val="00F74181"/>
    <w:rsid w:val="00F75C52"/>
    <w:rsid w:val="00F775C9"/>
    <w:rsid w:val="00F939B3"/>
    <w:rsid w:val="00F949EC"/>
    <w:rsid w:val="00FA0B84"/>
    <w:rsid w:val="00FA6512"/>
    <w:rsid w:val="00FB1875"/>
    <w:rsid w:val="00FB6311"/>
    <w:rsid w:val="00FC559F"/>
    <w:rsid w:val="00FD42F5"/>
    <w:rsid w:val="00FE138E"/>
    <w:rsid w:val="00FE20BE"/>
    <w:rsid w:val="00FE23EB"/>
    <w:rsid w:val="00FE4BD2"/>
    <w:rsid w:val="1E3937A0"/>
    <w:rsid w:val="5CBA7340"/>
    <w:rsid w:val="BE931691"/>
    <w:rsid w:val="FB56BC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9"/>
    <w:unhideWhenUsed/>
    <w:qFormat/>
    <w:uiPriority w:val="99"/>
    <w:pPr>
      <w:jc w:val="left"/>
    </w:pPr>
    <w:rPr>
      <w:rFonts w:asciiTheme="minorHAnsi" w:hAnsiTheme="minorHAnsi" w:eastAsiaTheme="minorEastAsia" w:cstheme="minorBidi"/>
      <w:szCs w:val="22"/>
    </w:rPr>
  </w:style>
  <w:style w:type="paragraph" w:styleId="3">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annotation subject"/>
    <w:basedOn w:val="2"/>
    <w:next w:val="2"/>
    <w:link w:val="20"/>
    <w:semiHidden/>
    <w:unhideWhenUsed/>
    <w:qFormat/>
    <w:uiPriority w:val="99"/>
    <w:rPr>
      <w:b/>
      <w:bCs/>
    </w:rPr>
  </w:style>
  <w:style w:type="character" w:styleId="8">
    <w:name w:val="Hyperlink"/>
    <w:basedOn w:val="7"/>
    <w:unhideWhenUsed/>
    <w:uiPriority w:val="99"/>
    <w:rPr>
      <w:color w:val="0563C1" w:themeColor="hyperlink"/>
      <w:u w:val="single"/>
      <w14:textFill>
        <w14:solidFill>
          <w14:schemeClr w14:val="hlink"/>
        </w14:solidFill>
      </w14:textFill>
    </w:rPr>
  </w:style>
  <w:style w:type="character" w:styleId="9">
    <w:name w:val="annotation reference"/>
    <w:basedOn w:val="7"/>
    <w:semiHidden/>
    <w:unhideWhenUsed/>
    <w:qFormat/>
    <w:uiPriority w:val="99"/>
    <w:rPr>
      <w:sz w:val="21"/>
      <w:szCs w:val="21"/>
    </w:rPr>
  </w:style>
  <w:style w:type="character" w:customStyle="1" w:styleId="10">
    <w:name w:val="页眉 字符"/>
    <w:basedOn w:val="7"/>
    <w:link w:val="4"/>
    <w:qFormat/>
    <w:uiPriority w:val="99"/>
    <w:rPr>
      <w:sz w:val="18"/>
      <w:szCs w:val="18"/>
    </w:rPr>
  </w:style>
  <w:style w:type="character" w:customStyle="1" w:styleId="11">
    <w:name w:val="页脚 字符"/>
    <w:basedOn w:val="7"/>
    <w:link w:val="3"/>
    <w:qFormat/>
    <w:uiPriority w:val="99"/>
    <w:rPr>
      <w:sz w:val="18"/>
      <w:szCs w:val="18"/>
    </w:rPr>
  </w:style>
  <w:style w:type="paragraph" w:customStyle="1" w:styleId="12">
    <w:name w:val="003三级标题"/>
    <w:basedOn w:val="1"/>
    <w:link w:val="14"/>
    <w:qFormat/>
    <w:uiPriority w:val="0"/>
    <w:pPr>
      <w:keepNext/>
      <w:keepLines/>
      <w:adjustRightInd w:val="0"/>
      <w:snapToGrid w:val="0"/>
      <w:spacing w:before="50" w:beforeLines="50" w:after="50" w:afterLines="50" w:line="360" w:lineRule="auto"/>
      <w:ind w:firstLine="200" w:firstLineChars="200"/>
      <w:outlineLvl w:val="2"/>
    </w:pPr>
    <w:rPr>
      <w:rFonts w:ascii="Calibri" w:hAnsi="Calibri"/>
      <w:b/>
      <w:bCs/>
      <w:sz w:val="24"/>
      <w:szCs w:val="28"/>
      <w:lang w:val="zh-CN"/>
    </w:rPr>
  </w:style>
  <w:style w:type="paragraph" w:customStyle="1" w:styleId="13">
    <w:name w:val="005正文"/>
    <w:basedOn w:val="1"/>
    <w:link w:val="15"/>
    <w:qFormat/>
    <w:uiPriority w:val="0"/>
    <w:pPr>
      <w:spacing w:before="50" w:beforeLines="50" w:after="50" w:afterLines="50" w:line="360" w:lineRule="auto"/>
      <w:ind w:firstLine="200" w:firstLineChars="200"/>
    </w:pPr>
    <w:rPr>
      <w:rFonts w:ascii="Calibri" w:hAnsi="Calibri"/>
      <w:sz w:val="24"/>
      <w:szCs w:val="22"/>
    </w:rPr>
  </w:style>
  <w:style w:type="character" w:customStyle="1" w:styleId="14">
    <w:name w:val="003三级标题 Char"/>
    <w:link w:val="12"/>
    <w:qFormat/>
    <w:uiPriority w:val="0"/>
    <w:rPr>
      <w:rFonts w:ascii="Calibri" w:hAnsi="Calibri" w:eastAsia="宋体" w:cs="Times New Roman"/>
      <w:b/>
      <w:bCs/>
      <w:sz w:val="24"/>
      <w:szCs w:val="28"/>
      <w:lang w:val="zh-CN" w:eastAsia="zh-CN"/>
    </w:rPr>
  </w:style>
  <w:style w:type="character" w:customStyle="1" w:styleId="15">
    <w:name w:val="005正文 Char Char"/>
    <w:link w:val="13"/>
    <w:qFormat/>
    <w:uiPriority w:val="0"/>
    <w:rPr>
      <w:rFonts w:ascii="Calibri" w:hAnsi="Calibri" w:eastAsia="宋体" w:cs="Times New Roman"/>
      <w:sz w:val="24"/>
    </w:rPr>
  </w:style>
  <w:style w:type="paragraph" w:customStyle="1" w:styleId="16">
    <w:name w:val="006备注"/>
    <w:basedOn w:val="1"/>
    <w:qFormat/>
    <w:uiPriority w:val="0"/>
    <w:pPr>
      <w:adjustRightInd w:val="0"/>
    </w:pPr>
    <w:rPr>
      <w:rFonts w:cs="Arial"/>
      <w:bCs/>
      <w:szCs w:val="22"/>
    </w:rPr>
  </w:style>
  <w:style w:type="paragraph" w:customStyle="1" w:styleId="17">
    <w:name w:val="009单位"/>
    <w:basedOn w:val="13"/>
    <w:link w:val="18"/>
    <w:qFormat/>
    <w:uiPriority w:val="0"/>
    <w:pPr>
      <w:keepNext/>
      <w:adjustRightInd w:val="0"/>
      <w:snapToGrid w:val="0"/>
      <w:spacing w:before="0" w:beforeLines="0" w:after="0" w:afterLines="0" w:line="240" w:lineRule="auto"/>
      <w:ind w:firstLine="0" w:firstLineChars="0"/>
      <w:jc w:val="right"/>
    </w:pPr>
    <w:rPr>
      <w:rFonts w:ascii="Times New Roman" w:hAnsi="Times New Roman"/>
      <w:sz w:val="21"/>
      <w:lang w:val="zh-CN"/>
    </w:rPr>
  </w:style>
  <w:style w:type="character" w:customStyle="1" w:styleId="18">
    <w:name w:val="009单位 Char"/>
    <w:link w:val="17"/>
    <w:qFormat/>
    <w:locked/>
    <w:uiPriority w:val="0"/>
    <w:rPr>
      <w:rFonts w:ascii="Times New Roman" w:hAnsi="Times New Roman" w:eastAsia="宋体" w:cs="Times New Roman"/>
      <w:lang w:val="zh-CN" w:eastAsia="zh-CN"/>
    </w:rPr>
  </w:style>
  <w:style w:type="character" w:customStyle="1" w:styleId="19">
    <w:name w:val="批注文字 字符"/>
    <w:basedOn w:val="7"/>
    <w:link w:val="2"/>
    <w:qFormat/>
    <w:uiPriority w:val="99"/>
  </w:style>
  <w:style w:type="character" w:customStyle="1" w:styleId="20">
    <w:name w:val="批注主题 字符"/>
    <w:basedOn w:val="19"/>
    <w:link w:val="5"/>
    <w:semiHidden/>
    <w:qFormat/>
    <w:uiPriority w:val="99"/>
    <w:rPr>
      <w:b/>
      <w:bCs/>
    </w:rPr>
  </w:style>
  <w:style w:type="character" w:customStyle="1" w:styleId="21">
    <w:name w:val="fontstyle01"/>
    <w:basedOn w:val="7"/>
    <w:qFormat/>
    <w:uiPriority w:val="0"/>
    <w:rPr>
      <w:rFonts w:hint="eastAsia" w:ascii="宋体" w:hAnsi="宋体" w:eastAsia="宋体"/>
      <w:color w:val="000000"/>
      <w:sz w:val="24"/>
      <w:szCs w:val="24"/>
    </w:rPr>
  </w:style>
  <w:style w:type="paragraph" w:styleId="22">
    <w:name w:val="List Paragraph"/>
    <w:basedOn w:val="1"/>
    <w:qFormat/>
    <w:uiPriority w:val="99"/>
    <w:pPr>
      <w:ind w:firstLine="420" w:firstLineChars="200"/>
    </w:pPr>
  </w:style>
  <w:style w:type="character" w:customStyle="1" w:styleId="23">
    <w:name w:val="Unresolved Mention"/>
    <w:basedOn w:val="7"/>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2894</Words>
  <Characters>3071</Characters>
  <Lines>75</Lines>
  <Paragraphs>43</Paragraphs>
  <TotalTime>837</TotalTime>
  <ScaleCrop>false</ScaleCrop>
  <LinksUpToDate>false</LinksUpToDate>
  <CharactersWithSpaces>3172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2022-07-12T15:34:00Z</dcterms:created>
  <dc:creator>Think</dc:creator>
  <cp:lastModifiedBy>吴志刚</cp:lastModifiedBy>
  <cp:lastPrinted>2022-09-21T17:16:00Z</cp:lastPrinted>
  <dcterms:modified xsi:type="dcterms:W3CDTF">2026-09-01T05:49:14Z</dcterms:modified>
  <cp:revision>809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870B565B9F6684926786E463EEA6FB50</vt:lpwstr>
  </property>
  <property fmtid="{D5CDD505-2E9C-101B-9397-08002B2CF9AE}" pid="4" name="KSOTemplateDocerSaveRecord">
    <vt:lpwstr>eyJoZGlkIjoiYTNlYzYzM2VlZDdmY2UwMDZkMjMxMmFkMGQ0Y2JhMzAiLCJ1c2VySWQiOiI0MzM0NTU5NjgifQ==</vt:lpwstr>
  </property>
</Properties>
</file>