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AEFC9" w14:textId="255B4882" w:rsidR="005A0559" w:rsidRPr="00E54340" w:rsidRDefault="00650708" w:rsidP="005A0559">
      <w:pPr>
        <w:pStyle w:val="a3"/>
        <w:spacing w:line="520" w:lineRule="exact"/>
        <w:jc w:val="center"/>
        <w:rPr>
          <w:rFonts w:hAnsi="宋体" w:cs="宋体"/>
          <w:b/>
          <w:sz w:val="36"/>
          <w:szCs w:val="24"/>
        </w:rPr>
      </w:pPr>
      <w:r w:rsidRPr="00E54340">
        <w:rPr>
          <w:rFonts w:hAnsi="宋体" w:cs="宋体" w:hint="eastAsia"/>
          <w:b/>
          <w:sz w:val="36"/>
          <w:szCs w:val="24"/>
        </w:rPr>
        <w:t>兖矿能源集团</w:t>
      </w:r>
      <w:r w:rsidR="005A0559" w:rsidRPr="00E54340">
        <w:rPr>
          <w:rFonts w:hAnsi="宋体" w:cs="宋体" w:hint="eastAsia"/>
          <w:b/>
          <w:sz w:val="36"/>
          <w:szCs w:val="24"/>
        </w:rPr>
        <w:t>股份有限公司</w:t>
      </w:r>
    </w:p>
    <w:p w14:paraId="1B4DB1C9" w14:textId="7FC2EE44" w:rsidR="005A0559" w:rsidRPr="00E54340" w:rsidRDefault="000B207E" w:rsidP="005A0559">
      <w:pPr>
        <w:pStyle w:val="a3"/>
        <w:spacing w:line="520" w:lineRule="exact"/>
        <w:jc w:val="center"/>
        <w:rPr>
          <w:rFonts w:hAnsi="宋体" w:cs="宋体"/>
          <w:b/>
          <w:sz w:val="36"/>
          <w:szCs w:val="24"/>
        </w:rPr>
      </w:pPr>
      <w:r w:rsidRPr="00E54340">
        <w:rPr>
          <w:rFonts w:hAnsi="宋体" w:cs="宋体" w:hint="eastAsia"/>
          <w:b/>
          <w:sz w:val="36"/>
          <w:szCs w:val="24"/>
        </w:rPr>
        <w:t>202</w:t>
      </w:r>
      <w:r w:rsidR="00AC3EFA">
        <w:rPr>
          <w:rFonts w:hAnsi="宋体" w:cs="宋体"/>
          <w:b/>
          <w:sz w:val="36"/>
          <w:szCs w:val="24"/>
        </w:rPr>
        <w:t>6</w:t>
      </w:r>
      <w:r w:rsidR="005A0559" w:rsidRPr="00E54340">
        <w:rPr>
          <w:rFonts w:hAnsi="宋体" w:cs="宋体" w:hint="eastAsia"/>
          <w:b/>
          <w:sz w:val="36"/>
          <w:szCs w:val="24"/>
        </w:rPr>
        <w:t>年</w:t>
      </w:r>
      <w:r w:rsidRPr="00E54340">
        <w:rPr>
          <w:rFonts w:hAnsi="宋体" w:cs="宋体" w:hint="eastAsia"/>
          <w:b/>
          <w:sz w:val="36"/>
          <w:szCs w:val="24"/>
        </w:rPr>
        <w:t>中期</w:t>
      </w:r>
      <w:r w:rsidR="005A0559" w:rsidRPr="00E54340">
        <w:rPr>
          <w:rFonts w:hAnsi="宋体" w:cs="宋体"/>
          <w:b/>
          <w:sz w:val="36"/>
          <w:szCs w:val="24"/>
        </w:rPr>
        <w:t>业绩说明会</w:t>
      </w:r>
      <w:r w:rsidR="005A0559" w:rsidRPr="00E54340">
        <w:rPr>
          <w:rFonts w:hAnsi="宋体" w:cs="宋体" w:hint="eastAsia"/>
          <w:b/>
          <w:sz w:val="36"/>
          <w:szCs w:val="24"/>
        </w:rPr>
        <w:t>会议</w:t>
      </w:r>
      <w:r w:rsidR="005A0559" w:rsidRPr="00E54340">
        <w:rPr>
          <w:rFonts w:hAnsi="宋体" w:cs="宋体"/>
          <w:b/>
          <w:sz w:val="36"/>
          <w:szCs w:val="24"/>
        </w:rPr>
        <w:t>纪要</w:t>
      </w:r>
    </w:p>
    <w:p w14:paraId="75BC6245" w14:textId="263E8F30" w:rsidR="00120966" w:rsidRPr="00E54340" w:rsidRDefault="00120966" w:rsidP="000747EE">
      <w:pPr>
        <w:pStyle w:val="a3"/>
        <w:spacing w:line="520" w:lineRule="exact"/>
        <w:ind w:firstLineChars="200" w:firstLine="600"/>
        <w:rPr>
          <w:rFonts w:hAnsi="宋体"/>
          <w:sz w:val="30"/>
          <w:szCs w:val="30"/>
        </w:rPr>
      </w:pPr>
    </w:p>
    <w:p w14:paraId="51AF2F6B" w14:textId="0C9D4FB6" w:rsidR="0076723F" w:rsidRPr="00E54340" w:rsidRDefault="006A77F6" w:rsidP="0028003F">
      <w:pPr>
        <w:adjustRightInd w:val="0"/>
        <w:snapToGrid w:val="0"/>
        <w:spacing w:line="600" w:lineRule="exact"/>
        <w:ind w:firstLineChars="200" w:firstLine="640"/>
        <w:rPr>
          <w:rFonts w:ascii="宋体" w:eastAsia="宋体" w:hAnsi="宋体"/>
          <w:sz w:val="32"/>
          <w:szCs w:val="32"/>
        </w:rPr>
      </w:pPr>
      <w:r w:rsidRPr="00E54340">
        <w:rPr>
          <w:rFonts w:ascii="宋体" w:eastAsia="宋体" w:hAnsi="宋体"/>
          <w:sz w:val="32"/>
          <w:szCs w:val="32"/>
        </w:rPr>
        <w:t>202</w:t>
      </w:r>
      <w:r w:rsidR="00AC3EFA">
        <w:rPr>
          <w:rFonts w:ascii="宋体" w:eastAsia="宋体" w:hAnsi="宋体"/>
          <w:sz w:val="32"/>
          <w:szCs w:val="32"/>
        </w:rPr>
        <w:t>6</w:t>
      </w:r>
      <w:r w:rsidR="0076723F" w:rsidRPr="00E54340">
        <w:rPr>
          <w:rFonts w:ascii="宋体" w:eastAsia="宋体" w:hAnsi="宋体"/>
          <w:sz w:val="32"/>
          <w:szCs w:val="32"/>
        </w:rPr>
        <w:t>年</w:t>
      </w:r>
      <w:r w:rsidR="00AC3EFA">
        <w:rPr>
          <w:rFonts w:ascii="宋体" w:eastAsia="宋体" w:hAnsi="宋体"/>
          <w:sz w:val="32"/>
          <w:szCs w:val="32"/>
        </w:rPr>
        <w:t>8</w:t>
      </w:r>
      <w:r w:rsidR="0076723F" w:rsidRPr="00E54340">
        <w:rPr>
          <w:rFonts w:ascii="宋体" w:eastAsia="宋体" w:hAnsi="宋体" w:hint="eastAsia"/>
          <w:sz w:val="32"/>
          <w:szCs w:val="32"/>
        </w:rPr>
        <w:t>月</w:t>
      </w:r>
      <w:r w:rsidR="00AC3EFA">
        <w:rPr>
          <w:rFonts w:ascii="宋体" w:eastAsia="宋体" w:hAnsi="宋体" w:hint="eastAsia"/>
          <w:sz w:val="32"/>
          <w:szCs w:val="32"/>
        </w:rPr>
        <w:t>3</w:t>
      </w:r>
      <w:r w:rsidR="0089660A" w:rsidRPr="00E54340">
        <w:rPr>
          <w:rFonts w:ascii="宋体" w:eastAsia="宋体" w:hAnsi="宋体"/>
          <w:sz w:val="32"/>
          <w:szCs w:val="32"/>
        </w:rPr>
        <w:t>1</w:t>
      </w:r>
      <w:r w:rsidR="0076723F" w:rsidRPr="00E54340">
        <w:rPr>
          <w:rFonts w:ascii="宋体" w:eastAsia="宋体" w:hAnsi="宋体" w:hint="eastAsia"/>
          <w:sz w:val="32"/>
          <w:szCs w:val="32"/>
        </w:rPr>
        <w:t>日，</w:t>
      </w:r>
      <w:r w:rsidR="00650708" w:rsidRPr="00E54340">
        <w:rPr>
          <w:rFonts w:ascii="宋体" w:eastAsia="宋体" w:hAnsi="宋体" w:hint="eastAsia"/>
          <w:sz w:val="32"/>
          <w:szCs w:val="32"/>
        </w:rPr>
        <w:t>兖矿能源集团</w:t>
      </w:r>
      <w:r w:rsidR="0076723F" w:rsidRPr="00E54340">
        <w:rPr>
          <w:rFonts w:ascii="宋体" w:eastAsia="宋体" w:hAnsi="宋体" w:hint="eastAsia"/>
          <w:sz w:val="32"/>
          <w:szCs w:val="32"/>
        </w:rPr>
        <w:t>股份有限公司（“</w:t>
      </w:r>
      <w:r w:rsidR="00650708" w:rsidRPr="00E54340">
        <w:rPr>
          <w:rFonts w:ascii="宋体" w:eastAsia="宋体" w:hAnsi="宋体" w:hint="eastAsia"/>
          <w:sz w:val="32"/>
          <w:szCs w:val="32"/>
        </w:rPr>
        <w:t>兖矿能源</w:t>
      </w:r>
      <w:r w:rsidR="0076723F" w:rsidRPr="00E54340">
        <w:rPr>
          <w:rFonts w:ascii="宋体" w:eastAsia="宋体" w:hAnsi="宋体" w:hint="eastAsia"/>
          <w:sz w:val="32"/>
          <w:szCs w:val="32"/>
        </w:rPr>
        <w:t>”或“公司”）以</w:t>
      </w:r>
      <w:r w:rsidR="00062DEF" w:rsidRPr="00E54340">
        <w:rPr>
          <w:rFonts w:ascii="宋体" w:eastAsia="宋体" w:hAnsi="宋体" w:hint="eastAsia"/>
          <w:sz w:val="32"/>
          <w:szCs w:val="32"/>
        </w:rPr>
        <w:t>现场、</w:t>
      </w:r>
      <w:r w:rsidR="0076723F" w:rsidRPr="00E54340">
        <w:rPr>
          <w:rFonts w:ascii="宋体" w:eastAsia="宋体" w:hAnsi="宋体" w:hint="eastAsia"/>
          <w:sz w:val="32"/>
          <w:szCs w:val="32"/>
        </w:rPr>
        <w:t>电话</w:t>
      </w:r>
      <w:r w:rsidR="009D6D0A" w:rsidRPr="00E54340">
        <w:rPr>
          <w:rFonts w:ascii="宋体" w:eastAsia="宋体" w:hAnsi="宋体" w:hint="eastAsia"/>
          <w:sz w:val="32"/>
          <w:szCs w:val="32"/>
        </w:rPr>
        <w:t>及网络会议</w:t>
      </w:r>
      <w:r w:rsidR="0076723F" w:rsidRPr="00E54340">
        <w:rPr>
          <w:rFonts w:ascii="宋体" w:eastAsia="宋体" w:hAnsi="宋体" w:hint="eastAsia"/>
          <w:sz w:val="32"/>
          <w:szCs w:val="32"/>
        </w:rPr>
        <w:t>的方式召开</w:t>
      </w:r>
      <w:r w:rsidR="000B207E" w:rsidRPr="00E54340">
        <w:rPr>
          <w:rFonts w:ascii="宋体" w:eastAsia="宋体" w:hAnsi="宋体"/>
          <w:sz w:val="32"/>
          <w:szCs w:val="32"/>
        </w:rPr>
        <w:t>202</w:t>
      </w:r>
      <w:r w:rsidR="00AC3EFA">
        <w:rPr>
          <w:rFonts w:ascii="宋体" w:eastAsia="宋体" w:hAnsi="宋体"/>
          <w:sz w:val="32"/>
          <w:szCs w:val="32"/>
        </w:rPr>
        <w:t>6</w:t>
      </w:r>
      <w:r w:rsidR="00613F28" w:rsidRPr="00E54340">
        <w:rPr>
          <w:rFonts w:ascii="宋体" w:eastAsia="宋体" w:hAnsi="宋体" w:hint="eastAsia"/>
          <w:sz w:val="32"/>
          <w:szCs w:val="32"/>
        </w:rPr>
        <w:t>年</w:t>
      </w:r>
      <w:r w:rsidR="000B207E" w:rsidRPr="00E54340">
        <w:rPr>
          <w:rFonts w:ascii="宋体" w:eastAsia="宋体" w:hAnsi="宋体" w:hint="eastAsia"/>
          <w:sz w:val="32"/>
          <w:szCs w:val="32"/>
        </w:rPr>
        <w:t>中期</w:t>
      </w:r>
      <w:r w:rsidR="0076723F" w:rsidRPr="00E54340">
        <w:rPr>
          <w:rFonts w:ascii="宋体" w:eastAsia="宋体" w:hAnsi="宋体" w:hint="eastAsia"/>
          <w:sz w:val="32"/>
          <w:szCs w:val="32"/>
        </w:rPr>
        <w:t>业绩说明会。</w:t>
      </w:r>
      <w:r w:rsidR="00364396" w:rsidRPr="00E54340">
        <w:rPr>
          <w:rFonts w:ascii="宋体" w:eastAsia="宋体" w:hAnsi="宋体" w:hint="eastAsia"/>
          <w:sz w:val="32"/>
          <w:szCs w:val="32"/>
        </w:rPr>
        <w:t>公司董事长李伟先生，</w:t>
      </w:r>
      <w:r w:rsidR="0028003F" w:rsidRPr="00E54340">
        <w:rPr>
          <w:rFonts w:ascii="宋体" w:eastAsia="宋体" w:hAnsi="宋体" w:hint="eastAsia"/>
          <w:sz w:val="32"/>
          <w:szCs w:val="32"/>
        </w:rPr>
        <w:t>党委书记</w:t>
      </w:r>
      <w:r w:rsidR="00062DEF" w:rsidRPr="00E54340">
        <w:rPr>
          <w:rFonts w:ascii="宋体" w:eastAsia="宋体" w:hAnsi="宋体" w:hint="eastAsia"/>
          <w:sz w:val="32"/>
          <w:szCs w:val="32"/>
        </w:rPr>
        <w:t>、</w:t>
      </w:r>
      <w:r w:rsidR="000B207E" w:rsidRPr="00E54340">
        <w:rPr>
          <w:rFonts w:ascii="宋体" w:eastAsia="宋体" w:hAnsi="宋体" w:hint="eastAsia"/>
          <w:sz w:val="32"/>
          <w:szCs w:val="32"/>
        </w:rPr>
        <w:t>董事、</w:t>
      </w:r>
      <w:r w:rsidR="00062DEF" w:rsidRPr="00E54340">
        <w:rPr>
          <w:rFonts w:ascii="宋体" w:eastAsia="宋体" w:hAnsi="宋体" w:hint="eastAsia"/>
          <w:sz w:val="32"/>
          <w:szCs w:val="32"/>
        </w:rPr>
        <w:t>总经理</w:t>
      </w:r>
      <w:r w:rsidR="0028003F" w:rsidRPr="00E54340">
        <w:rPr>
          <w:rFonts w:ascii="宋体" w:eastAsia="宋体" w:hAnsi="宋体" w:hint="eastAsia"/>
          <w:sz w:val="32"/>
          <w:szCs w:val="32"/>
        </w:rPr>
        <w:t>王九红</w:t>
      </w:r>
      <w:r w:rsidR="00062DEF" w:rsidRPr="00E54340">
        <w:rPr>
          <w:rFonts w:ascii="宋体" w:eastAsia="宋体" w:hAnsi="宋体" w:hint="eastAsia"/>
          <w:sz w:val="32"/>
          <w:szCs w:val="32"/>
        </w:rPr>
        <w:t>先生，</w:t>
      </w:r>
      <w:r w:rsidR="00AC3EFA" w:rsidRPr="00E54340">
        <w:rPr>
          <w:rFonts w:ascii="宋体" w:eastAsia="宋体" w:hAnsi="宋体" w:hint="eastAsia"/>
          <w:sz w:val="32"/>
          <w:szCs w:val="32"/>
        </w:rPr>
        <w:t>独立董事</w:t>
      </w:r>
      <w:r w:rsidR="00AC3EFA">
        <w:rPr>
          <w:rFonts w:ascii="宋体" w:eastAsia="宋体" w:hAnsi="宋体" w:hint="eastAsia"/>
          <w:sz w:val="32"/>
          <w:szCs w:val="32"/>
        </w:rPr>
        <w:t>，</w:t>
      </w:r>
      <w:r w:rsidR="00364396" w:rsidRPr="00E54340">
        <w:rPr>
          <w:rFonts w:ascii="宋体" w:eastAsia="宋体" w:hAnsi="宋体" w:hint="eastAsia"/>
          <w:sz w:val="32"/>
          <w:szCs w:val="32"/>
        </w:rPr>
        <w:t>董事会秘书</w:t>
      </w:r>
      <w:r w:rsidR="00613F28" w:rsidRPr="00E54340">
        <w:rPr>
          <w:rFonts w:ascii="宋体" w:eastAsia="宋体" w:hAnsi="宋体" w:hint="eastAsia"/>
          <w:sz w:val="32"/>
          <w:szCs w:val="32"/>
        </w:rPr>
        <w:t>，</w:t>
      </w:r>
      <w:r w:rsidR="00367A5D" w:rsidRPr="00E54340">
        <w:rPr>
          <w:rFonts w:ascii="宋体" w:eastAsia="宋体" w:hAnsi="宋体" w:hint="eastAsia"/>
          <w:sz w:val="32"/>
          <w:szCs w:val="32"/>
        </w:rPr>
        <w:t>财务总监</w:t>
      </w:r>
      <w:r w:rsidR="0076723F" w:rsidRPr="00E54340">
        <w:rPr>
          <w:rFonts w:ascii="宋体" w:eastAsia="宋体" w:hAnsi="宋体" w:hint="eastAsia"/>
          <w:sz w:val="32"/>
          <w:szCs w:val="32"/>
        </w:rPr>
        <w:t>和有关业务负责人出席会议，向投资者</w:t>
      </w:r>
      <w:r w:rsidR="00A655DF" w:rsidRPr="00E54340">
        <w:rPr>
          <w:rFonts w:ascii="宋体" w:eastAsia="宋体" w:hAnsi="宋体" w:hint="eastAsia"/>
          <w:sz w:val="32"/>
          <w:szCs w:val="32"/>
        </w:rPr>
        <w:t>介绍</w:t>
      </w:r>
      <w:r w:rsidR="000B207E" w:rsidRPr="00E54340">
        <w:rPr>
          <w:rFonts w:ascii="宋体" w:eastAsia="宋体" w:hAnsi="宋体"/>
          <w:sz w:val="32"/>
          <w:szCs w:val="32"/>
        </w:rPr>
        <w:t>202</w:t>
      </w:r>
      <w:r w:rsidR="00AC3EFA">
        <w:rPr>
          <w:rFonts w:ascii="宋体" w:eastAsia="宋体" w:hAnsi="宋体"/>
          <w:sz w:val="32"/>
          <w:szCs w:val="32"/>
        </w:rPr>
        <w:t>6</w:t>
      </w:r>
      <w:r w:rsidR="0028003F" w:rsidRPr="00E54340">
        <w:rPr>
          <w:rFonts w:ascii="宋体" w:eastAsia="宋体" w:hAnsi="宋体" w:hint="eastAsia"/>
          <w:sz w:val="32"/>
          <w:szCs w:val="32"/>
        </w:rPr>
        <w:t>年</w:t>
      </w:r>
      <w:r w:rsidR="000B207E" w:rsidRPr="00E54340">
        <w:rPr>
          <w:rFonts w:ascii="宋体" w:eastAsia="宋体" w:hAnsi="宋体" w:hint="eastAsia"/>
          <w:sz w:val="32"/>
          <w:szCs w:val="32"/>
        </w:rPr>
        <w:t>中期</w:t>
      </w:r>
      <w:r w:rsidR="00A655DF" w:rsidRPr="00E54340">
        <w:rPr>
          <w:rFonts w:ascii="宋体" w:eastAsia="宋体" w:hAnsi="宋体"/>
          <w:sz w:val="32"/>
          <w:szCs w:val="32"/>
        </w:rPr>
        <w:t>经营业绩、</w:t>
      </w:r>
      <w:r w:rsidR="000B207E" w:rsidRPr="00E54340">
        <w:rPr>
          <w:rFonts w:ascii="宋体" w:eastAsia="宋体" w:hAnsi="宋体" w:hint="eastAsia"/>
          <w:sz w:val="32"/>
          <w:szCs w:val="32"/>
        </w:rPr>
        <w:t>未来</w:t>
      </w:r>
      <w:r w:rsidR="0028003F" w:rsidRPr="00E54340">
        <w:rPr>
          <w:rFonts w:ascii="宋体" w:eastAsia="宋体" w:hAnsi="宋体"/>
          <w:sz w:val="32"/>
          <w:szCs w:val="32"/>
        </w:rPr>
        <w:t>市场分析、经营措施等相关</w:t>
      </w:r>
      <w:r w:rsidR="0028003F" w:rsidRPr="00E54340">
        <w:rPr>
          <w:rFonts w:ascii="宋体" w:eastAsia="宋体" w:hAnsi="宋体" w:hint="eastAsia"/>
          <w:sz w:val="32"/>
          <w:szCs w:val="32"/>
        </w:rPr>
        <w:t>情况</w:t>
      </w:r>
      <w:r w:rsidR="00A655DF" w:rsidRPr="00E54340">
        <w:rPr>
          <w:rFonts w:ascii="宋体" w:eastAsia="宋体" w:hAnsi="宋体" w:hint="eastAsia"/>
          <w:sz w:val="32"/>
          <w:szCs w:val="32"/>
        </w:rPr>
        <w:t>，并就投资者关注的问题进行沟通和交流。</w:t>
      </w:r>
      <w:r w:rsidR="0076723F" w:rsidRPr="00E54340">
        <w:rPr>
          <w:rFonts w:ascii="宋体" w:eastAsia="宋体" w:hAnsi="宋体" w:hint="eastAsia"/>
          <w:sz w:val="32"/>
          <w:szCs w:val="32"/>
        </w:rPr>
        <w:t>现就本次会议沟通、交流的重点内容整理如下：</w:t>
      </w:r>
    </w:p>
    <w:p w14:paraId="4FA4D94F" w14:textId="4AD9AD1F" w:rsidR="003D2C3B" w:rsidRPr="00E54340" w:rsidRDefault="005E0053" w:rsidP="00F242C9">
      <w:pPr>
        <w:pStyle w:val="1"/>
        <w:spacing w:before="156" w:after="156"/>
        <w:ind w:firstLineChars="220" w:firstLine="707"/>
      </w:pPr>
      <w:r w:rsidRPr="005E0053">
        <w:rPr>
          <w:rFonts w:hint="eastAsia"/>
        </w:rPr>
        <w:t>双碳战略背景下，公司继续加大煤矿建设的战略考量</w:t>
      </w:r>
    </w:p>
    <w:p w14:paraId="3D44A7D3" w14:textId="77777777" w:rsidR="005E0053" w:rsidRPr="005E0053" w:rsidRDefault="005E0053" w:rsidP="005E0053">
      <w:pPr>
        <w:adjustRightInd w:val="0"/>
        <w:snapToGrid w:val="0"/>
        <w:spacing w:line="600" w:lineRule="exact"/>
        <w:ind w:firstLineChars="200" w:firstLine="640"/>
        <w:rPr>
          <w:rFonts w:ascii="宋体" w:eastAsia="宋体" w:hAnsi="宋体"/>
          <w:sz w:val="32"/>
          <w:szCs w:val="32"/>
        </w:rPr>
      </w:pPr>
      <w:r w:rsidRPr="005E0053">
        <w:rPr>
          <w:rFonts w:ascii="宋体" w:eastAsia="宋体" w:hAnsi="宋体" w:hint="eastAsia"/>
          <w:sz w:val="32"/>
          <w:szCs w:val="32"/>
        </w:rPr>
        <w:t>在能源转型的背景下，公司持续进行矿井建设投入，并非简单追求规模扩张，而是顺应国家能源安全战略、产能结构迭代、下游多元需求及公司自身战略等多重因素综合考量后做出的理性决策。具体原因如下：</w:t>
      </w:r>
    </w:p>
    <w:p w14:paraId="0DE71868" w14:textId="77777777" w:rsidR="005E0053" w:rsidRPr="005E0053" w:rsidRDefault="005E0053" w:rsidP="005E0053">
      <w:pPr>
        <w:adjustRightInd w:val="0"/>
        <w:snapToGrid w:val="0"/>
        <w:spacing w:line="600" w:lineRule="exact"/>
        <w:ind w:firstLineChars="200" w:firstLine="643"/>
        <w:rPr>
          <w:rFonts w:ascii="宋体" w:eastAsia="宋体" w:hAnsi="宋体"/>
          <w:b/>
          <w:bCs/>
          <w:sz w:val="32"/>
          <w:szCs w:val="32"/>
        </w:rPr>
      </w:pPr>
      <w:r w:rsidRPr="005E0053">
        <w:rPr>
          <w:rFonts w:ascii="宋体" w:eastAsia="宋体" w:hAnsi="宋体" w:hint="eastAsia"/>
          <w:b/>
          <w:bCs/>
          <w:sz w:val="32"/>
          <w:szCs w:val="32"/>
        </w:rPr>
        <w:t>（一）煤炭作为国家能源安全“压舱石”定位未变，煤炭长期需求有保证。</w:t>
      </w:r>
    </w:p>
    <w:p w14:paraId="759FFD95" w14:textId="738F3B03" w:rsidR="005E0053" w:rsidRPr="005E0053" w:rsidRDefault="005E0053" w:rsidP="005E0053">
      <w:pPr>
        <w:adjustRightInd w:val="0"/>
        <w:snapToGrid w:val="0"/>
        <w:spacing w:line="600" w:lineRule="exact"/>
        <w:ind w:firstLineChars="200" w:firstLine="640"/>
        <w:rPr>
          <w:rFonts w:ascii="宋体" w:eastAsia="宋体" w:hAnsi="宋体"/>
          <w:sz w:val="32"/>
          <w:szCs w:val="32"/>
        </w:rPr>
      </w:pPr>
      <w:r w:rsidRPr="005E0053">
        <w:rPr>
          <w:rFonts w:ascii="宋体" w:eastAsia="宋体" w:hAnsi="宋体" w:hint="eastAsia"/>
          <w:sz w:val="32"/>
          <w:szCs w:val="32"/>
        </w:rPr>
        <w:t>当前火电发电量占比回落，是新能源替代带来结构占比变化，不代表煤炭需求量的萎缩。近</w:t>
      </w:r>
      <w:r w:rsidRPr="005E0053">
        <w:rPr>
          <w:rFonts w:ascii="宋体" w:eastAsia="宋体" w:hAnsi="宋体"/>
          <w:sz w:val="32"/>
          <w:szCs w:val="32"/>
        </w:rPr>
        <w:t>10年来，</w:t>
      </w:r>
      <w:r w:rsidRPr="007B55EF">
        <w:rPr>
          <w:rFonts w:ascii="宋体" w:eastAsia="宋体" w:hAnsi="宋体"/>
          <w:sz w:val="32"/>
          <w:szCs w:val="32"/>
        </w:rPr>
        <w:t>全国煤炭消费量</w:t>
      </w:r>
      <w:r w:rsidR="00A6737D" w:rsidRPr="00B5092A">
        <w:rPr>
          <w:rFonts w:ascii="宋体" w:eastAsia="宋体" w:hAnsi="宋体" w:hint="eastAsia"/>
          <w:sz w:val="32"/>
          <w:szCs w:val="32"/>
        </w:rPr>
        <w:t>总体呈</w:t>
      </w:r>
      <w:r w:rsidRPr="007B55EF">
        <w:rPr>
          <w:rFonts w:ascii="宋体" w:eastAsia="宋体" w:hAnsi="宋体"/>
          <w:sz w:val="32"/>
          <w:szCs w:val="32"/>
        </w:rPr>
        <w:t>增长</w:t>
      </w:r>
      <w:r w:rsidR="00A6737D" w:rsidRPr="00B5092A">
        <w:rPr>
          <w:rFonts w:ascii="宋体" w:eastAsia="宋体" w:hAnsi="宋体" w:hint="eastAsia"/>
          <w:sz w:val="32"/>
          <w:szCs w:val="32"/>
        </w:rPr>
        <w:t>态势</w:t>
      </w:r>
      <w:r w:rsidR="008F507C" w:rsidRPr="007B55EF">
        <w:rPr>
          <w:rFonts w:ascii="宋体" w:eastAsia="宋体" w:hAnsi="宋体" w:hint="eastAsia"/>
          <w:sz w:val="32"/>
          <w:szCs w:val="32"/>
        </w:rPr>
        <w:t>，主要是由于</w:t>
      </w:r>
      <w:r w:rsidRPr="007B55EF">
        <w:rPr>
          <w:rFonts w:ascii="宋体" w:eastAsia="宋体" w:hAnsi="宋体"/>
          <w:sz w:val="32"/>
          <w:szCs w:val="32"/>
        </w:rPr>
        <w:t>经济发展带来的能源总需求增长，以及风光等新能源具有间歇性、波动性特征，</w:t>
      </w:r>
      <w:r w:rsidR="00030714">
        <w:rPr>
          <w:rFonts w:ascii="宋体" w:eastAsia="宋体" w:hAnsi="宋体" w:hint="eastAsia"/>
          <w:sz w:val="32"/>
          <w:szCs w:val="32"/>
        </w:rPr>
        <w:t>需要</w:t>
      </w:r>
      <w:r w:rsidRPr="007B55EF">
        <w:rPr>
          <w:rFonts w:ascii="宋体" w:eastAsia="宋体" w:hAnsi="宋体"/>
          <w:sz w:val="32"/>
          <w:szCs w:val="32"/>
        </w:rPr>
        <w:t>依</w:t>
      </w:r>
      <w:r w:rsidRPr="007B55EF">
        <w:rPr>
          <w:rFonts w:ascii="宋体" w:eastAsia="宋体" w:hAnsi="宋体"/>
          <w:sz w:val="32"/>
          <w:szCs w:val="32"/>
        </w:rPr>
        <w:lastRenderedPageBreak/>
        <w:t>靠煤电等稳定能源的发展作为保障。</w:t>
      </w:r>
    </w:p>
    <w:p w14:paraId="15D038FD" w14:textId="77250A8C" w:rsidR="005E0053" w:rsidRPr="005E0053" w:rsidRDefault="005E0053" w:rsidP="005E0053">
      <w:pPr>
        <w:adjustRightInd w:val="0"/>
        <w:snapToGrid w:val="0"/>
        <w:spacing w:line="600" w:lineRule="exact"/>
        <w:ind w:firstLineChars="200" w:firstLine="640"/>
        <w:rPr>
          <w:rFonts w:ascii="宋体" w:eastAsia="宋体" w:hAnsi="宋体"/>
          <w:sz w:val="32"/>
          <w:szCs w:val="32"/>
        </w:rPr>
      </w:pPr>
      <w:r w:rsidRPr="005E0053">
        <w:rPr>
          <w:rFonts w:ascii="宋体" w:eastAsia="宋体" w:hAnsi="宋体" w:hint="eastAsia"/>
          <w:sz w:val="32"/>
          <w:szCs w:val="32"/>
        </w:rPr>
        <w:t>根据《</w:t>
      </w:r>
      <w:bookmarkStart w:id="0" w:name="_Hlk239233228"/>
      <w:r w:rsidRPr="005E0053">
        <w:rPr>
          <w:rFonts w:ascii="宋体" w:eastAsia="宋体" w:hAnsi="宋体" w:hint="eastAsia"/>
          <w:sz w:val="32"/>
          <w:szCs w:val="32"/>
        </w:rPr>
        <w:t>煤炭工业发展“十五五”规划</w:t>
      </w:r>
      <w:bookmarkEnd w:id="0"/>
      <w:r w:rsidRPr="005E0053">
        <w:rPr>
          <w:rFonts w:ascii="宋体" w:eastAsia="宋体" w:hAnsi="宋体" w:hint="eastAsia"/>
          <w:sz w:val="32"/>
          <w:szCs w:val="32"/>
        </w:rPr>
        <w:t>》，煤炭消费将在</w:t>
      </w:r>
      <w:r w:rsidRPr="005E0053">
        <w:rPr>
          <w:rFonts w:ascii="宋体" w:eastAsia="宋体" w:hAnsi="宋体"/>
          <w:sz w:val="32"/>
          <w:szCs w:val="32"/>
        </w:rPr>
        <w:t>2030年实现达峰，“十五五”时期煤炭产业仍有较大发展空间</w:t>
      </w:r>
      <w:r w:rsidR="00030714">
        <w:rPr>
          <w:rFonts w:ascii="宋体" w:eastAsia="宋体" w:hAnsi="宋体" w:hint="eastAsia"/>
          <w:sz w:val="32"/>
          <w:szCs w:val="32"/>
        </w:rPr>
        <w:t>。</w:t>
      </w:r>
      <w:r w:rsidRPr="005E0053">
        <w:rPr>
          <w:rFonts w:ascii="宋体" w:eastAsia="宋体" w:hAnsi="宋体"/>
          <w:sz w:val="32"/>
          <w:szCs w:val="32"/>
        </w:rPr>
        <w:t>煤炭消费达峰并不意味着需求的断崖式下降，而是进入一个长周期的平稳平台期，在能源</w:t>
      </w:r>
      <w:r w:rsidR="007B55EF">
        <w:rPr>
          <w:rFonts w:ascii="宋体" w:eastAsia="宋体" w:hAnsi="宋体" w:hint="eastAsia"/>
          <w:sz w:val="32"/>
          <w:szCs w:val="32"/>
        </w:rPr>
        <w:t>供应</w:t>
      </w:r>
      <w:r w:rsidRPr="005E0053">
        <w:rPr>
          <w:rFonts w:ascii="宋体" w:eastAsia="宋体" w:hAnsi="宋体"/>
          <w:sz w:val="32"/>
          <w:szCs w:val="32"/>
        </w:rPr>
        <w:t>体系中</w:t>
      </w:r>
      <w:r w:rsidR="007B55EF">
        <w:rPr>
          <w:rFonts w:ascii="宋体" w:eastAsia="宋体" w:hAnsi="宋体" w:hint="eastAsia"/>
          <w:sz w:val="32"/>
          <w:szCs w:val="32"/>
        </w:rPr>
        <w:t>发挥着</w:t>
      </w:r>
      <w:r w:rsidRPr="005E0053">
        <w:rPr>
          <w:rFonts w:ascii="宋体" w:eastAsia="宋体" w:hAnsi="宋体"/>
          <w:sz w:val="32"/>
          <w:szCs w:val="32"/>
        </w:rPr>
        <w:t>重</w:t>
      </w:r>
      <w:r w:rsidRPr="007B55EF">
        <w:rPr>
          <w:rFonts w:ascii="宋体" w:eastAsia="宋体" w:hAnsi="宋体"/>
          <w:sz w:val="32"/>
          <w:szCs w:val="32"/>
        </w:rPr>
        <w:t>要基础保障和系统调节作用。</w:t>
      </w:r>
    </w:p>
    <w:p w14:paraId="7026FF20" w14:textId="53D32D1D" w:rsidR="005E0053" w:rsidRPr="005E0053" w:rsidRDefault="005E0053" w:rsidP="005E0053">
      <w:pPr>
        <w:adjustRightInd w:val="0"/>
        <w:snapToGrid w:val="0"/>
        <w:spacing w:line="600" w:lineRule="exact"/>
        <w:ind w:firstLineChars="200" w:firstLine="640"/>
        <w:rPr>
          <w:rFonts w:ascii="宋体" w:eastAsia="宋体" w:hAnsi="宋体"/>
          <w:sz w:val="32"/>
          <w:szCs w:val="32"/>
        </w:rPr>
      </w:pPr>
      <w:r w:rsidRPr="005E0053">
        <w:rPr>
          <w:rFonts w:ascii="宋体" w:eastAsia="宋体" w:hAnsi="宋体" w:hint="eastAsia"/>
          <w:sz w:val="32"/>
          <w:szCs w:val="32"/>
        </w:rPr>
        <w:t>国内第三产业与居民用电仍有提升空间，总电力需求仍有增长潜力，进而巩固动力煤的需求。</w:t>
      </w:r>
      <w:r w:rsidRPr="00030714">
        <w:rPr>
          <w:rFonts w:ascii="宋体" w:eastAsia="宋体" w:hAnsi="宋体" w:hint="eastAsia"/>
          <w:sz w:val="32"/>
          <w:szCs w:val="32"/>
        </w:rPr>
        <w:t>规划明确提出推动煤炭向燃料</w:t>
      </w:r>
      <w:r w:rsidR="007B55EF" w:rsidRPr="00B5092A">
        <w:rPr>
          <w:rFonts w:ascii="宋体" w:eastAsia="宋体" w:hAnsi="宋体" w:hint="eastAsia"/>
          <w:sz w:val="32"/>
          <w:szCs w:val="32"/>
        </w:rPr>
        <w:t>和</w:t>
      </w:r>
      <w:r w:rsidRPr="00030714">
        <w:rPr>
          <w:rFonts w:ascii="宋体" w:eastAsia="宋体" w:hAnsi="宋体" w:hint="eastAsia"/>
          <w:sz w:val="32"/>
          <w:szCs w:val="32"/>
        </w:rPr>
        <w:t>原料并重转变</w:t>
      </w:r>
      <w:r w:rsidR="007B55EF" w:rsidRPr="00B5092A">
        <w:rPr>
          <w:rFonts w:ascii="宋体" w:eastAsia="宋体" w:hAnsi="宋体" w:hint="eastAsia"/>
          <w:sz w:val="32"/>
          <w:szCs w:val="32"/>
        </w:rPr>
        <w:t>。</w:t>
      </w:r>
      <w:r w:rsidRPr="00030714">
        <w:rPr>
          <w:rFonts w:ascii="宋体" w:eastAsia="宋体" w:hAnsi="宋体" w:hint="eastAsia"/>
          <w:sz w:val="32"/>
          <w:szCs w:val="32"/>
        </w:rPr>
        <w:t>化工原料用煤、冶金用煤将支持刚性需求，</w:t>
      </w:r>
      <w:r w:rsidRPr="005E0053">
        <w:rPr>
          <w:rFonts w:ascii="宋体" w:eastAsia="宋体" w:hAnsi="宋体" w:hint="eastAsia"/>
          <w:sz w:val="32"/>
          <w:szCs w:val="32"/>
        </w:rPr>
        <w:t>煤基新材料的发展将持续带来需求增量。</w:t>
      </w:r>
    </w:p>
    <w:p w14:paraId="2B341464" w14:textId="4DE9C437" w:rsidR="005E0053" w:rsidRPr="00C31310" w:rsidRDefault="005E0053" w:rsidP="005E0053">
      <w:pPr>
        <w:adjustRightInd w:val="0"/>
        <w:snapToGrid w:val="0"/>
        <w:spacing w:line="600" w:lineRule="exact"/>
        <w:ind w:firstLineChars="200" w:firstLine="643"/>
        <w:rPr>
          <w:rFonts w:ascii="宋体" w:eastAsia="宋体" w:hAnsi="宋体"/>
          <w:b/>
          <w:bCs/>
          <w:sz w:val="32"/>
          <w:szCs w:val="32"/>
        </w:rPr>
      </w:pPr>
      <w:r w:rsidRPr="00C31310">
        <w:rPr>
          <w:rFonts w:ascii="宋体" w:eastAsia="宋体" w:hAnsi="宋体" w:hint="eastAsia"/>
          <w:b/>
          <w:bCs/>
          <w:sz w:val="32"/>
          <w:szCs w:val="32"/>
        </w:rPr>
        <w:t>（二）把握行业机遇，布局先进产能抢占战略优势</w:t>
      </w:r>
      <w:r w:rsidR="00030714">
        <w:rPr>
          <w:rFonts w:ascii="宋体" w:eastAsia="宋体" w:hAnsi="宋体" w:hint="eastAsia"/>
          <w:b/>
          <w:bCs/>
          <w:sz w:val="32"/>
          <w:szCs w:val="32"/>
        </w:rPr>
        <w:t>，</w:t>
      </w:r>
      <w:r w:rsidR="00030714" w:rsidRPr="00030714">
        <w:rPr>
          <w:rFonts w:ascii="宋体" w:eastAsia="宋体" w:hAnsi="宋体" w:hint="eastAsia"/>
          <w:b/>
          <w:bCs/>
          <w:sz w:val="32"/>
          <w:szCs w:val="32"/>
        </w:rPr>
        <w:t>践行公司长期发展战略</w:t>
      </w:r>
      <w:r w:rsidRPr="00C31310">
        <w:rPr>
          <w:rFonts w:ascii="宋体" w:eastAsia="宋体" w:hAnsi="宋体" w:hint="eastAsia"/>
          <w:b/>
          <w:bCs/>
          <w:sz w:val="32"/>
          <w:szCs w:val="32"/>
        </w:rPr>
        <w:t>。</w:t>
      </w:r>
    </w:p>
    <w:p w14:paraId="606AD77D" w14:textId="3F25784B" w:rsidR="005E0053" w:rsidRPr="005E0053" w:rsidRDefault="005E0053" w:rsidP="008732D2">
      <w:pPr>
        <w:adjustRightInd w:val="0"/>
        <w:snapToGrid w:val="0"/>
        <w:spacing w:line="600" w:lineRule="exact"/>
        <w:ind w:firstLineChars="200" w:firstLine="640"/>
        <w:rPr>
          <w:rFonts w:ascii="宋体" w:eastAsia="宋体" w:hAnsi="宋体"/>
          <w:sz w:val="32"/>
          <w:szCs w:val="32"/>
        </w:rPr>
      </w:pPr>
      <w:r w:rsidRPr="005E0053">
        <w:rPr>
          <w:rFonts w:ascii="宋体" w:eastAsia="宋体" w:hAnsi="宋体" w:hint="eastAsia"/>
          <w:sz w:val="32"/>
          <w:szCs w:val="32"/>
        </w:rPr>
        <w:t>在全球及国内供给增量相对有限，优质煤炭资源的稀缺性正日益凸显</w:t>
      </w:r>
      <w:r w:rsidR="008F507C" w:rsidRPr="005E0053">
        <w:rPr>
          <w:rFonts w:ascii="宋体" w:eastAsia="宋体" w:hAnsi="宋体" w:hint="eastAsia"/>
          <w:sz w:val="32"/>
          <w:szCs w:val="32"/>
        </w:rPr>
        <w:t>的背景下</w:t>
      </w:r>
      <w:r w:rsidR="008F507C">
        <w:rPr>
          <w:rFonts w:ascii="宋体" w:eastAsia="宋体" w:hAnsi="宋体" w:hint="eastAsia"/>
          <w:sz w:val="32"/>
          <w:szCs w:val="32"/>
        </w:rPr>
        <w:t>，</w:t>
      </w:r>
      <w:r w:rsidRPr="005E0053">
        <w:rPr>
          <w:rFonts w:ascii="宋体" w:eastAsia="宋体" w:hAnsi="宋体" w:hint="eastAsia"/>
          <w:sz w:val="32"/>
          <w:szCs w:val="32"/>
        </w:rPr>
        <w:t>《煤炭工业发展“十五五”规划》给出的思路是推动落后无效产能有序退出，同时积极发展优质先进产能。持续推进山西、蒙西、蒙东、陕北、新疆五大煤炭供应保障基地建设，高标准规划建设一批大型现代化煤矿。</w:t>
      </w:r>
      <w:r w:rsidRPr="005E0053">
        <w:rPr>
          <w:rFonts w:ascii="宋体" w:eastAsia="宋体" w:hAnsi="宋体"/>
          <w:sz w:val="32"/>
          <w:szCs w:val="32"/>
        </w:rPr>
        <w:t>2030年大型现代化煤矿产能占比提升至87%，推动灾害严重、资源枯竭中小煤矿有序退出，</w:t>
      </w:r>
      <w:r w:rsidR="00030714">
        <w:rPr>
          <w:rFonts w:ascii="宋体" w:eastAsia="宋体" w:hAnsi="宋体" w:hint="eastAsia"/>
          <w:sz w:val="32"/>
          <w:szCs w:val="32"/>
        </w:rPr>
        <w:t>扎实推进</w:t>
      </w:r>
      <w:r w:rsidRPr="005E0053">
        <w:rPr>
          <w:rFonts w:ascii="宋体" w:eastAsia="宋体" w:hAnsi="宋体"/>
          <w:sz w:val="32"/>
          <w:szCs w:val="32"/>
        </w:rPr>
        <w:t>产能储备制度</w:t>
      </w:r>
      <w:r w:rsidR="00030714">
        <w:rPr>
          <w:rFonts w:ascii="宋体" w:eastAsia="宋体" w:hAnsi="宋体" w:hint="eastAsia"/>
          <w:sz w:val="32"/>
          <w:szCs w:val="32"/>
        </w:rPr>
        <w:t>实施</w:t>
      </w:r>
      <w:r w:rsidRPr="005E0053">
        <w:rPr>
          <w:rFonts w:ascii="宋体" w:eastAsia="宋体" w:hAnsi="宋体"/>
          <w:sz w:val="32"/>
          <w:szCs w:val="32"/>
        </w:rPr>
        <w:t>，保障</w:t>
      </w:r>
      <w:r w:rsidR="00030714">
        <w:rPr>
          <w:rFonts w:ascii="宋体" w:eastAsia="宋体" w:hAnsi="宋体" w:hint="eastAsia"/>
          <w:sz w:val="32"/>
          <w:szCs w:val="32"/>
        </w:rPr>
        <w:t>煤炭</w:t>
      </w:r>
      <w:r w:rsidRPr="005E0053">
        <w:rPr>
          <w:rFonts w:ascii="宋体" w:eastAsia="宋体" w:hAnsi="宋体"/>
          <w:sz w:val="32"/>
          <w:szCs w:val="32"/>
        </w:rPr>
        <w:t>接续</w:t>
      </w:r>
      <w:r w:rsidR="00030714">
        <w:rPr>
          <w:rFonts w:ascii="宋体" w:eastAsia="宋体" w:hAnsi="宋体" w:hint="eastAsia"/>
          <w:sz w:val="32"/>
          <w:szCs w:val="32"/>
        </w:rPr>
        <w:t>开发</w:t>
      </w:r>
      <w:r w:rsidRPr="005E0053">
        <w:rPr>
          <w:rFonts w:ascii="宋体" w:eastAsia="宋体" w:hAnsi="宋体"/>
          <w:sz w:val="32"/>
          <w:szCs w:val="32"/>
        </w:rPr>
        <w:t>。</w:t>
      </w:r>
    </w:p>
    <w:p w14:paraId="7DD9CF7E" w14:textId="641981EF" w:rsidR="005E0053" w:rsidRDefault="005E0053" w:rsidP="00631B10">
      <w:pPr>
        <w:adjustRightInd w:val="0"/>
        <w:snapToGrid w:val="0"/>
        <w:spacing w:line="600" w:lineRule="exact"/>
        <w:ind w:firstLineChars="200" w:firstLine="640"/>
        <w:rPr>
          <w:rFonts w:ascii="宋体" w:eastAsia="宋体" w:hAnsi="宋体"/>
          <w:sz w:val="32"/>
          <w:szCs w:val="32"/>
        </w:rPr>
      </w:pPr>
      <w:r w:rsidRPr="005E0053">
        <w:rPr>
          <w:rFonts w:ascii="宋体" w:eastAsia="宋体" w:hAnsi="宋体" w:hint="eastAsia"/>
          <w:sz w:val="32"/>
          <w:szCs w:val="32"/>
        </w:rPr>
        <w:t>公司的战略布局与规划高度契合。</w:t>
      </w:r>
      <w:r w:rsidR="00AD076C">
        <w:rPr>
          <w:rFonts w:ascii="宋体" w:eastAsia="宋体" w:hAnsi="宋体" w:hint="eastAsia"/>
          <w:sz w:val="32"/>
          <w:szCs w:val="32"/>
        </w:rPr>
        <w:t>公司</w:t>
      </w:r>
      <w:r w:rsidR="00AD076C" w:rsidRPr="005E0053">
        <w:rPr>
          <w:rFonts w:ascii="宋体" w:eastAsia="宋体" w:hAnsi="宋体"/>
          <w:sz w:val="32"/>
          <w:szCs w:val="32"/>
        </w:rPr>
        <w:t>2021年</w:t>
      </w:r>
      <w:r w:rsidR="00631B10">
        <w:rPr>
          <w:rFonts w:ascii="宋体" w:eastAsia="宋体" w:hAnsi="宋体" w:hint="eastAsia"/>
          <w:sz w:val="32"/>
          <w:szCs w:val="32"/>
        </w:rPr>
        <w:t>制定的</w:t>
      </w:r>
      <w:r w:rsidR="00AD076C" w:rsidRPr="005E0053">
        <w:rPr>
          <w:rFonts w:ascii="宋体" w:eastAsia="宋体" w:hAnsi="宋体"/>
          <w:sz w:val="32"/>
          <w:szCs w:val="32"/>
        </w:rPr>
        <w:t>《发展战略纲要》</w:t>
      </w:r>
      <w:r w:rsidR="00631B10">
        <w:rPr>
          <w:rFonts w:ascii="宋体" w:eastAsia="宋体" w:hAnsi="宋体" w:hint="eastAsia"/>
          <w:sz w:val="32"/>
          <w:szCs w:val="32"/>
        </w:rPr>
        <w:t>中</w:t>
      </w:r>
      <w:r w:rsidR="00AD076C">
        <w:rPr>
          <w:rFonts w:ascii="宋体" w:eastAsia="宋体" w:hAnsi="宋体" w:hint="eastAsia"/>
          <w:sz w:val="32"/>
          <w:szCs w:val="32"/>
        </w:rPr>
        <w:t>提出：</w:t>
      </w:r>
      <w:r w:rsidR="00631B10">
        <w:rPr>
          <w:rFonts w:ascii="宋体" w:eastAsia="宋体" w:hAnsi="宋体" w:hint="eastAsia"/>
          <w:sz w:val="32"/>
          <w:szCs w:val="32"/>
        </w:rPr>
        <w:t>力争</w:t>
      </w:r>
      <w:r w:rsidR="00631B10">
        <w:rPr>
          <w:rFonts w:ascii="宋体" w:eastAsia="宋体" w:hAnsi="宋体"/>
          <w:sz w:val="32"/>
          <w:szCs w:val="32"/>
        </w:rPr>
        <w:t>5-10</w:t>
      </w:r>
      <w:r w:rsidR="00631B10">
        <w:rPr>
          <w:rFonts w:ascii="宋体" w:eastAsia="宋体" w:hAnsi="宋体" w:hint="eastAsia"/>
          <w:sz w:val="32"/>
          <w:szCs w:val="32"/>
        </w:rPr>
        <w:t>年</w:t>
      </w:r>
      <w:r w:rsidR="00AD076C" w:rsidRPr="005E0053">
        <w:rPr>
          <w:rFonts w:ascii="宋体" w:eastAsia="宋体" w:hAnsi="宋体"/>
          <w:sz w:val="32"/>
          <w:szCs w:val="32"/>
        </w:rPr>
        <w:t>煤炭产量规模达到3亿吨/年</w:t>
      </w:r>
      <w:r w:rsidR="00631B10">
        <w:rPr>
          <w:rFonts w:ascii="宋体" w:eastAsia="宋体" w:hAnsi="宋体" w:hint="eastAsia"/>
          <w:sz w:val="32"/>
          <w:szCs w:val="32"/>
        </w:rPr>
        <w:t>。</w:t>
      </w:r>
      <w:r w:rsidR="00631B10" w:rsidRPr="00631B10">
        <w:rPr>
          <w:rFonts w:ascii="宋体" w:eastAsia="宋体" w:hAnsi="宋体" w:hint="eastAsia"/>
          <w:sz w:val="32"/>
          <w:szCs w:val="32"/>
        </w:rPr>
        <w:t>近年来，公司通过资产注入和新建矿井双轮驱动，</w:t>
      </w:r>
      <w:r w:rsidR="00631B10" w:rsidRPr="00631B10">
        <w:rPr>
          <w:rFonts w:ascii="宋体" w:eastAsia="宋体" w:hAnsi="宋体" w:hint="eastAsia"/>
          <w:sz w:val="32"/>
          <w:szCs w:val="32"/>
        </w:rPr>
        <w:lastRenderedPageBreak/>
        <w:t>持续推进该战略落地</w:t>
      </w:r>
      <w:r w:rsidR="00663B3D">
        <w:rPr>
          <w:rFonts w:ascii="宋体" w:eastAsia="宋体" w:hAnsi="宋体" w:hint="eastAsia"/>
          <w:sz w:val="32"/>
          <w:szCs w:val="32"/>
        </w:rPr>
        <w:t>，</w:t>
      </w:r>
      <w:r w:rsidR="00631B10" w:rsidRPr="00631B10">
        <w:rPr>
          <w:rFonts w:ascii="宋体" w:eastAsia="宋体" w:hAnsi="宋体" w:hint="eastAsia"/>
          <w:sz w:val="32"/>
          <w:szCs w:val="32"/>
        </w:rPr>
        <w:t>有序释放产能。</w:t>
      </w:r>
      <w:r w:rsidRPr="005E0053">
        <w:rPr>
          <w:rFonts w:ascii="宋体" w:eastAsia="宋体" w:hAnsi="宋体" w:hint="eastAsia"/>
          <w:sz w:val="32"/>
          <w:szCs w:val="32"/>
        </w:rPr>
        <w:t>公司在建、规划矿井全部为</w:t>
      </w:r>
      <w:r w:rsidR="00372064" w:rsidRPr="00372064">
        <w:rPr>
          <w:rFonts w:ascii="宋体" w:eastAsia="宋体" w:hAnsi="宋体" w:hint="eastAsia"/>
          <w:sz w:val="32"/>
          <w:szCs w:val="32"/>
        </w:rPr>
        <w:t>安全、绿色、智能、高效</w:t>
      </w:r>
      <w:r w:rsidR="00372064" w:rsidRPr="00372064">
        <w:rPr>
          <w:rFonts w:ascii="宋体" w:eastAsia="宋体" w:hAnsi="宋体"/>
          <w:sz w:val="32"/>
          <w:szCs w:val="32"/>
        </w:rPr>
        <w:t>“四型矿井”</w:t>
      </w:r>
      <w:r w:rsidRPr="005E0053">
        <w:rPr>
          <w:rFonts w:ascii="宋体" w:eastAsia="宋体" w:hAnsi="宋体" w:hint="eastAsia"/>
          <w:sz w:val="32"/>
          <w:szCs w:val="32"/>
        </w:rPr>
        <w:t>，位于或临近国家五大煤炭供应保障基地。未来五年内，兖矿能源</w:t>
      </w:r>
      <w:r w:rsidR="00631B10">
        <w:rPr>
          <w:rFonts w:ascii="宋体" w:eastAsia="宋体" w:hAnsi="宋体" w:hint="eastAsia"/>
          <w:sz w:val="32"/>
          <w:szCs w:val="32"/>
        </w:rPr>
        <w:t>将</w:t>
      </w:r>
      <w:r w:rsidR="00631B10" w:rsidRPr="00631B10">
        <w:rPr>
          <w:rFonts w:ascii="宋体" w:eastAsia="宋体" w:hAnsi="宋体" w:hint="eastAsia"/>
          <w:sz w:val="32"/>
          <w:szCs w:val="32"/>
        </w:rPr>
        <w:t>按照“投产一批、在建一批、拟建一批”梯次布局，落地一批优质高效增量项目，</w:t>
      </w:r>
      <w:r w:rsidR="00E61FAF" w:rsidRPr="005E0053">
        <w:rPr>
          <w:rFonts w:ascii="宋体" w:eastAsia="宋体" w:hAnsi="宋体"/>
          <w:sz w:val="32"/>
          <w:szCs w:val="32"/>
        </w:rPr>
        <w:t>进一步提高</w:t>
      </w:r>
      <w:r w:rsidRPr="005E0053">
        <w:rPr>
          <w:rFonts w:ascii="宋体" w:eastAsia="宋体" w:hAnsi="宋体"/>
          <w:sz w:val="32"/>
          <w:szCs w:val="32"/>
        </w:rPr>
        <w:t>先进产能占比。</w:t>
      </w:r>
    </w:p>
    <w:p w14:paraId="1150403B" w14:textId="64A44914" w:rsidR="00AC2D0D" w:rsidRPr="00E54340" w:rsidRDefault="000B207E" w:rsidP="00BD486B">
      <w:pPr>
        <w:pStyle w:val="1"/>
        <w:spacing w:before="156" w:after="156"/>
        <w:ind w:firstLineChars="220" w:firstLine="707"/>
      </w:pPr>
      <w:r w:rsidRPr="00E54340">
        <w:rPr>
          <w:rFonts w:hint="eastAsia"/>
        </w:rPr>
        <w:t>公司</w:t>
      </w:r>
      <w:r w:rsidR="003C33B3" w:rsidRPr="003C33B3">
        <w:t>2026年上半年商品煤产量</w:t>
      </w:r>
      <w:r w:rsidR="003C33B3">
        <w:rPr>
          <w:rFonts w:hint="eastAsia"/>
        </w:rPr>
        <w:t>分析</w:t>
      </w:r>
    </w:p>
    <w:p w14:paraId="202638EF" w14:textId="09A6C5FA" w:rsidR="00AC12B0" w:rsidRDefault="003C33B3" w:rsidP="001B4E63">
      <w:pPr>
        <w:adjustRightInd w:val="0"/>
        <w:snapToGrid w:val="0"/>
        <w:spacing w:line="600" w:lineRule="exact"/>
        <w:ind w:firstLineChars="200" w:firstLine="640"/>
        <w:rPr>
          <w:rFonts w:ascii="宋体" w:eastAsia="宋体" w:hAnsi="宋体"/>
          <w:sz w:val="32"/>
          <w:szCs w:val="32"/>
        </w:rPr>
      </w:pPr>
      <w:r w:rsidRPr="003C33B3">
        <w:rPr>
          <w:rFonts w:ascii="宋体" w:eastAsia="宋体" w:hAnsi="宋体" w:hint="eastAsia"/>
          <w:sz w:val="32"/>
          <w:szCs w:val="32"/>
        </w:rPr>
        <w:t>公司及其附属公司（“本集团”）</w:t>
      </w:r>
      <w:r w:rsidRPr="003C33B3">
        <w:rPr>
          <w:rFonts w:ascii="宋体" w:eastAsia="宋体" w:hAnsi="宋体"/>
          <w:sz w:val="32"/>
          <w:szCs w:val="32"/>
        </w:rPr>
        <w:t>2026年上半年商品煤产量8802万吨，</w:t>
      </w:r>
      <w:r w:rsidR="00AC12B0" w:rsidRPr="00AC12B0">
        <w:rPr>
          <w:rFonts w:ascii="宋体" w:eastAsia="宋体" w:hAnsi="宋体" w:hint="eastAsia"/>
          <w:sz w:val="32"/>
          <w:szCs w:val="32"/>
        </w:rPr>
        <w:t>同比减少</w:t>
      </w:r>
      <w:r w:rsidR="00AC12B0" w:rsidRPr="00AC12B0">
        <w:rPr>
          <w:rFonts w:ascii="宋体" w:eastAsia="宋体" w:hAnsi="宋体"/>
          <w:sz w:val="32"/>
          <w:szCs w:val="32"/>
        </w:rPr>
        <w:t>184万吨或2.05%</w:t>
      </w:r>
      <w:r w:rsidR="00AC12B0">
        <w:rPr>
          <w:rFonts w:ascii="宋体" w:eastAsia="宋体" w:hAnsi="宋体" w:hint="eastAsia"/>
          <w:sz w:val="32"/>
          <w:szCs w:val="32"/>
        </w:rPr>
        <w:t>。</w:t>
      </w:r>
      <w:r w:rsidR="001B4E63">
        <w:rPr>
          <w:rFonts w:ascii="宋体" w:eastAsia="宋体" w:hAnsi="宋体" w:hint="eastAsia"/>
          <w:sz w:val="32"/>
          <w:szCs w:val="32"/>
        </w:rPr>
        <w:t>公司</w:t>
      </w:r>
      <w:r w:rsidR="001B4E63" w:rsidRPr="003C1A10">
        <w:rPr>
          <w:rFonts w:ascii="宋体" w:eastAsia="宋体" w:hAnsi="宋体" w:hint="eastAsia"/>
          <w:sz w:val="32"/>
          <w:szCs w:val="32"/>
        </w:rPr>
        <w:t>坚决守牢安全底线，科学统筹采掘接续与产能释放，核心骨干矿井稳产高效，产量逐季回升向好</w:t>
      </w:r>
      <w:r w:rsidR="004B49E8">
        <w:rPr>
          <w:rFonts w:ascii="宋体" w:eastAsia="宋体" w:hAnsi="宋体" w:hint="eastAsia"/>
          <w:sz w:val="32"/>
          <w:szCs w:val="32"/>
        </w:rPr>
        <w:t>。</w:t>
      </w:r>
      <w:r w:rsidR="00AC12B0">
        <w:rPr>
          <w:rFonts w:ascii="宋体" w:eastAsia="宋体" w:hAnsi="宋体" w:hint="eastAsia"/>
          <w:sz w:val="32"/>
          <w:szCs w:val="32"/>
        </w:rPr>
        <w:t>其中：</w:t>
      </w:r>
    </w:p>
    <w:p w14:paraId="1568A43E" w14:textId="6FB55B99" w:rsidR="003C33B3" w:rsidRDefault="00AC12B0" w:rsidP="001B4E63">
      <w:pPr>
        <w:adjustRightInd w:val="0"/>
        <w:snapToGrid w:val="0"/>
        <w:spacing w:line="600" w:lineRule="exact"/>
        <w:ind w:firstLineChars="200" w:firstLine="640"/>
        <w:rPr>
          <w:rFonts w:ascii="宋体" w:eastAsia="宋体" w:hAnsi="宋体"/>
          <w:sz w:val="32"/>
          <w:szCs w:val="32"/>
        </w:rPr>
      </w:pPr>
      <w:r w:rsidRPr="00AC12B0">
        <w:rPr>
          <w:rFonts w:ascii="宋体" w:eastAsia="宋体" w:hAnsi="宋体" w:hint="eastAsia"/>
          <w:sz w:val="32"/>
          <w:szCs w:val="32"/>
        </w:rPr>
        <w:t>①新疆能化以销定产，</w:t>
      </w:r>
      <w:r>
        <w:rPr>
          <w:rFonts w:ascii="宋体" w:eastAsia="宋体" w:hAnsi="宋体" w:hint="eastAsia"/>
          <w:sz w:val="32"/>
          <w:szCs w:val="32"/>
        </w:rPr>
        <w:t>上半年</w:t>
      </w:r>
      <w:r w:rsidRPr="00AC12B0">
        <w:rPr>
          <w:rFonts w:ascii="宋体" w:eastAsia="宋体" w:hAnsi="宋体" w:hint="eastAsia"/>
          <w:sz w:val="32"/>
          <w:szCs w:val="32"/>
        </w:rPr>
        <w:t>商品煤产量同比减少</w:t>
      </w:r>
      <w:r w:rsidRPr="00AC12B0">
        <w:rPr>
          <w:rFonts w:ascii="宋体" w:eastAsia="宋体" w:hAnsi="宋体"/>
          <w:sz w:val="32"/>
          <w:szCs w:val="32"/>
        </w:rPr>
        <w:t>236万吨；②西北矿业</w:t>
      </w:r>
      <w:r>
        <w:rPr>
          <w:rFonts w:ascii="宋体" w:eastAsia="宋体" w:hAnsi="宋体" w:hint="eastAsia"/>
          <w:sz w:val="32"/>
          <w:szCs w:val="32"/>
        </w:rPr>
        <w:t>上半年</w:t>
      </w:r>
      <w:r w:rsidRPr="00AC12B0">
        <w:rPr>
          <w:rFonts w:ascii="宋体" w:eastAsia="宋体" w:hAnsi="宋体"/>
          <w:sz w:val="32"/>
          <w:szCs w:val="32"/>
        </w:rPr>
        <w:t>商品煤产量同比增加167万吨，部分抵消其他地区的产量下降。</w:t>
      </w:r>
    </w:p>
    <w:p w14:paraId="6064ABAC" w14:textId="427ADB49" w:rsidR="00C74ACE" w:rsidRDefault="00C74ACE" w:rsidP="003D2C3B">
      <w:pPr>
        <w:pStyle w:val="1"/>
        <w:spacing w:before="156" w:after="156"/>
        <w:ind w:firstLineChars="220" w:firstLine="707"/>
      </w:pPr>
      <w:r w:rsidRPr="00C74ACE">
        <w:rPr>
          <w:rFonts w:hint="eastAsia"/>
        </w:rPr>
        <w:t>新收购电力新能源资产概况及经营表现</w:t>
      </w:r>
    </w:p>
    <w:p w14:paraId="2B9CD72A" w14:textId="77777777" w:rsidR="00C74ACE" w:rsidRPr="00C74ACE" w:rsidRDefault="00C74ACE" w:rsidP="00C74ACE">
      <w:pPr>
        <w:adjustRightInd w:val="0"/>
        <w:snapToGrid w:val="0"/>
        <w:spacing w:line="600" w:lineRule="exact"/>
        <w:ind w:firstLineChars="200" w:firstLine="643"/>
        <w:rPr>
          <w:rFonts w:ascii="宋体" w:eastAsia="宋体" w:hAnsi="宋体"/>
          <w:b/>
          <w:bCs/>
          <w:sz w:val="32"/>
          <w:szCs w:val="32"/>
        </w:rPr>
      </w:pPr>
      <w:r w:rsidRPr="00C74ACE">
        <w:rPr>
          <w:rFonts w:ascii="宋体" w:eastAsia="宋体" w:hAnsi="宋体" w:hint="eastAsia"/>
          <w:b/>
          <w:bCs/>
          <w:sz w:val="32"/>
          <w:szCs w:val="32"/>
        </w:rPr>
        <w:t>（一）交易概况</w:t>
      </w:r>
    </w:p>
    <w:p w14:paraId="3AF71E4E" w14:textId="4CFA90E4" w:rsidR="00C74ACE" w:rsidRPr="00C74ACE" w:rsidRDefault="00C74ACE" w:rsidP="00AC12B0">
      <w:pPr>
        <w:adjustRightInd w:val="0"/>
        <w:snapToGrid w:val="0"/>
        <w:spacing w:line="600" w:lineRule="exact"/>
        <w:ind w:firstLineChars="200" w:firstLine="640"/>
        <w:rPr>
          <w:rFonts w:ascii="宋体" w:eastAsia="宋体" w:hAnsi="宋体"/>
          <w:sz w:val="32"/>
          <w:szCs w:val="32"/>
        </w:rPr>
      </w:pPr>
      <w:r w:rsidRPr="00C74ACE">
        <w:rPr>
          <w:rFonts w:ascii="宋体" w:eastAsia="宋体" w:hAnsi="宋体" w:hint="eastAsia"/>
          <w:sz w:val="32"/>
          <w:szCs w:val="32"/>
        </w:rPr>
        <w:t>公司出资</w:t>
      </w:r>
      <w:r w:rsidRPr="00C74ACE">
        <w:rPr>
          <w:rFonts w:ascii="宋体" w:eastAsia="宋体" w:hAnsi="宋体"/>
          <w:sz w:val="32"/>
          <w:szCs w:val="32"/>
        </w:rPr>
        <w:t>164.15亿元收购</w:t>
      </w:r>
      <w:r w:rsidR="00AC12B0">
        <w:rPr>
          <w:rFonts w:ascii="宋体" w:eastAsia="宋体" w:hAnsi="宋体" w:hint="eastAsia"/>
          <w:sz w:val="32"/>
          <w:szCs w:val="32"/>
        </w:rPr>
        <w:t>控股股东</w:t>
      </w:r>
      <w:r w:rsidR="00AC12B0" w:rsidRPr="00AC12B0">
        <w:rPr>
          <w:rFonts w:ascii="宋体" w:eastAsia="宋体" w:hAnsi="宋体" w:hint="eastAsia"/>
          <w:sz w:val="32"/>
          <w:szCs w:val="32"/>
        </w:rPr>
        <w:t>山东能源集团有限公司两家权属公司股权，即山东能源集团新能源集团有限公司</w:t>
      </w:r>
      <w:r w:rsidR="00AC12B0" w:rsidRPr="00AC12B0">
        <w:rPr>
          <w:rFonts w:ascii="宋体" w:eastAsia="宋体" w:hAnsi="宋体"/>
          <w:sz w:val="32"/>
          <w:szCs w:val="32"/>
        </w:rPr>
        <w:t>100%股权</w:t>
      </w:r>
      <w:r w:rsidR="00AC12B0" w:rsidRPr="00AC12B0">
        <w:rPr>
          <w:rFonts w:ascii="宋体" w:eastAsia="宋体" w:hAnsi="宋体" w:hint="eastAsia"/>
          <w:sz w:val="32"/>
          <w:szCs w:val="32"/>
        </w:rPr>
        <w:t>和山东能源电力销售有限公司</w:t>
      </w:r>
      <w:r w:rsidR="00AC12B0" w:rsidRPr="00AC12B0">
        <w:rPr>
          <w:rFonts w:ascii="宋体" w:eastAsia="宋体" w:hAnsi="宋体"/>
          <w:sz w:val="32"/>
          <w:szCs w:val="32"/>
        </w:rPr>
        <w:t>100%股权</w:t>
      </w:r>
      <w:r w:rsidR="00AC12B0">
        <w:rPr>
          <w:rFonts w:ascii="宋体" w:eastAsia="宋体" w:hAnsi="宋体" w:hint="eastAsia"/>
          <w:sz w:val="32"/>
          <w:szCs w:val="32"/>
        </w:rPr>
        <w:t>。</w:t>
      </w:r>
      <w:r w:rsidR="008732D2" w:rsidRPr="00577DCF">
        <w:rPr>
          <w:rFonts w:ascii="宋体" w:eastAsia="宋体" w:hAnsi="宋体" w:hint="eastAsia"/>
          <w:sz w:val="32"/>
          <w:szCs w:val="32"/>
        </w:rPr>
        <w:t>本次收购紧扣国家《新型能源体系建设“十五五”规划》战略导向，是兖矿能源落地中长期发展规划、激活全产业链协同价值的重要战略性决策。</w:t>
      </w:r>
    </w:p>
    <w:p w14:paraId="35526B15" w14:textId="77777777" w:rsidR="00C74ACE" w:rsidRPr="00C74ACE" w:rsidRDefault="00C74ACE" w:rsidP="00C74ACE">
      <w:pPr>
        <w:adjustRightInd w:val="0"/>
        <w:snapToGrid w:val="0"/>
        <w:spacing w:line="600" w:lineRule="exact"/>
        <w:ind w:firstLineChars="200" w:firstLine="640"/>
        <w:rPr>
          <w:rFonts w:ascii="宋体" w:eastAsia="宋体" w:hAnsi="宋体"/>
          <w:sz w:val="32"/>
          <w:szCs w:val="32"/>
        </w:rPr>
      </w:pPr>
      <w:r w:rsidRPr="00C74ACE">
        <w:rPr>
          <w:rFonts w:ascii="宋体" w:eastAsia="宋体" w:hAnsi="宋体" w:hint="eastAsia"/>
          <w:sz w:val="32"/>
          <w:szCs w:val="32"/>
        </w:rPr>
        <w:t>标的资产质地优良、区位优势突出，覆盖国家“蒙电入</w:t>
      </w:r>
      <w:r w:rsidRPr="00C74ACE">
        <w:rPr>
          <w:rFonts w:ascii="宋体" w:eastAsia="宋体" w:hAnsi="宋体" w:hint="eastAsia"/>
          <w:sz w:val="32"/>
          <w:szCs w:val="32"/>
        </w:rPr>
        <w:lastRenderedPageBreak/>
        <w:t>鲁”“陇电入鲁”特高压配套电站、稀缺海上风电及蒙甘大型风光基地，大容量高效煤电稳固区域电力保供底盘，规模化新能源持续扩充绿电供给，高度契合国家推进煤电联营、风光火储一体化新型电力系统顶层部署。</w:t>
      </w:r>
    </w:p>
    <w:p w14:paraId="35E2C8D1" w14:textId="7DEFA613" w:rsidR="00C74ACE" w:rsidRPr="00C74ACE" w:rsidRDefault="00C74ACE" w:rsidP="00C74ACE">
      <w:pPr>
        <w:adjustRightInd w:val="0"/>
        <w:snapToGrid w:val="0"/>
        <w:spacing w:line="600" w:lineRule="exact"/>
        <w:ind w:firstLineChars="200" w:firstLine="640"/>
        <w:rPr>
          <w:rFonts w:ascii="宋体" w:eastAsia="宋体" w:hAnsi="宋体"/>
          <w:sz w:val="32"/>
          <w:szCs w:val="32"/>
        </w:rPr>
      </w:pPr>
      <w:r w:rsidRPr="00C74ACE">
        <w:rPr>
          <w:rFonts w:ascii="宋体" w:eastAsia="宋体" w:hAnsi="宋体" w:hint="eastAsia"/>
          <w:sz w:val="32"/>
          <w:szCs w:val="32"/>
        </w:rPr>
        <w:t>交易落地后，公司将新增电力装机</w:t>
      </w:r>
      <w:r w:rsidRPr="00C74ACE">
        <w:rPr>
          <w:rFonts w:ascii="宋体" w:eastAsia="宋体" w:hAnsi="宋体"/>
          <w:sz w:val="32"/>
          <w:szCs w:val="32"/>
        </w:rPr>
        <w:t>1.2万兆瓦，其中，现有已运行装机8808兆瓦；在建装机3204兆瓦，预计2026年至2027年陆续投产；</w:t>
      </w:r>
      <w:r w:rsidR="001B4E63">
        <w:rPr>
          <w:rFonts w:ascii="宋体" w:eastAsia="宋体" w:hAnsi="宋体" w:hint="eastAsia"/>
          <w:sz w:val="32"/>
          <w:szCs w:val="32"/>
        </w:rPr>
        <w:t>以</w:t>
      </w:r>
      <w:r w:rsidR="00AC12B0">
        <w:rPr>
          <w:rFonts w:ascii="宋体" w:eastAsia="宋体" w:hAnsi="宋体" w:hint="eastAsia"/>
          <w:sz w:val="32"/>
          <w:szCs w:val="32"/>
        </w:rPr>
        <w:t>2</w:t>
      </w:r>
      <w:r w:rsidR="00AC12B0">
        <w:rPr>
          <w:rFonts w:ascii="宋体" w:eastAsia="宋体" w:hAnsi="宋体"/>
          <w:sz w:val="32"/>
          <w:szCs w:val="32"/>
        </w:rPr>
        <w:t>0</w:t>
      </w:r>
      <w:r w:rsidR="001B4E63">
        <w:rPr>
          <w:rFonts w:ascii="宋体" w:eastAsia="宋体" w:hAnsi="宋体" w:hint="eastAsia"/>
          <w:sz w:val="32"/>
          <w:szCs w:val="32"/>
        </w:rPr>
        <w:t>2</w:t>
      </w:r>
      <w:r w:rsidR="001B4E63">
        <w:rPr>
          <w:rFonts w:ascii="宋体" w:eastAsia="宋体" w:hAnsi="宋体"/>
          <w:sz w:val="32"/>
          <w:szCs w:val="32"/>
        </w:rPr>
        <w:t>5</w:t>
      </w:r>
      <w:r w:rsidR="001B4E63">
        <w:rPr>
          <w:rFonts w:ascii="宋体" w:eastAsia="宋体" w:hAnsi="宋体" w:hint="eastAsia"/>
          <w:sz w:val="32"/>
          <w:szCs w:val="32"/>
        </w:rPr>
        <w:t>年</w:t>
      </w:r>
      <w:r w:rsidR="00AC12B0">
        <w:rPr>
          <w:rFonts w:ascii="宋体" w:eastAsia="宋体" w:hAnsi="宋体" w:hint="eastAsia"/>
          <w:sz w:val="32"/>
          <w:szCs w:val="32"/>
        </w:rPr>
        <w:t>数据</w:t>
      </w:r>
      <w:r w:rsidR="001B4E63">
        <w:rPr>
          <w:rFonts w:ascii="宋体" w:eastAsia="宋体" w:hAnsi="宋体" w:hint="eastAsia"/>
          <w:sz w:val="32"/>
          <w:szCs w:val="32"/>
        </w:rPr>
        <w:t>测算，</w:t>
      </w:r>
      <w:r w:rsidRPr="00C74ACE">
        <w:rPr>
          <w:rFonts w:ascii="宋体" w:eastAsia="宋体" w:hAnsi="宋体"/>
          <w:sz w:val="32"/>
          <w:szCs w:val="32"/>
        </w:rPr>
        <w:t>预计年新增发电量229亿千瓦时、售电量213亿千瓦时，较2025年分别提升306%、352%。</w:t>
      </w:r>
    </w:p>
    <w:p w14:paraId="583EB8A4" w14:textId="77777777" w:rsidR="00C74ACE" w:rsidRPr="00C74ACE" w:rsidRDefault="00C74ACE" w:rsidP="00C74ACE">
      <w:pPr>
        <w:adjustRightInd w:val="0"/>
        <w:snapToGrid w:val="0"/>
        <w:spacing w:line="600" w:lineRule="exact"/>
        <w:ind w:firstLineChars="200" w:firstLine="643"/>
        <w:rPr>
          <w:rFonts w:ascii="宋体" w:eastAsia="宋体" w:hAnsi="宋体"/>
          <w:b/>
          <w:bCs/>
          <w:sz w:val="32"/>
          <w:szCs w:val="32"/>
        </w:rPr>
      </w:pPr>
      <w:r w:rsidRPr="00C74ACE">
        <w:rPr>
          <w:rFonts w:ascii="宋体" w:eastAsia="宋体" w:hAnsi="宋体" w:hint="eastAsia"/>
          <w:b/>
          <w:bCs/>
          <w:sz w:val="32"/>
          <w:szCs w:val="32"/>
        </w:rPr>
        <w:t>（二）经营情况</w:t>
      </w:r>
    </w:p>
    <w:p w14:paraId="793E46B0" w14:textId="55B6A675" w:rsidR="00C74ACE" w:rsidRPr="00C74ACE" w:rsidRDefault="00C74ACE" w:rsidP="00C74ACE">
      <w:pPr>
        <w:adjustRightInd w:val="0"/>
        <w:snapToGrid w:val="0"/>
        <w:spacing w:line="600" w:lineRule="exact"/>
        <w:ind w:firstLineChars="200" w:firstLine="640"/>
        <w:rPr>
          <w:rFonts w:ascii="宋体" w:eastAsia="宋体" w:hAnsi="宋体"/>
          <w:sz w:val="32"/>
          <w:szCs w:val="32"/>
        </w:rPr>
      </w:pPr>
      <w:r w:rsidRPr="00C74ACE">
        <w:rPr>
          <w:rFonts w:ascii="宋体" w:eastAsia="宋体" w:hAnsi="宋体" w:hint="eastAsia"/>
          <w:sz w:val="32"/>
          <w:szCs w:val="32"/>
        </w:rPr>
        <w:t>标的资产</w:t>
      </w:r>
      <w:r w:rsidRPr="00C74ACE">
        <w:rPr>
          <w:rFonts w:ascii="宋体" w:eastAsia="宋体" w:hAnsi="宋体"/>
          <w:sz w:val="32"/>
          <w:szCs w:val="32"/>
        </w:rPr>
        <w:t>2025年营业收入合计77.58亿元，净利润合计11.61亿元，归母净利润合计9.58亿元，分别占兖矿能源2025年度相应指标的5.35%、8.16%和11.43%。</w:t>
      </w:r>
    </w:p>
    <w:p w14:paraId="17F42547" w14:textId="7ED09A4C" w:rsidR="00C74ACE" w:rsidRPr="00B5092A" w:rsidRDefault="00C74ACE">
      <w:pPr>
        <w:adjustRightInd w:val="0"/>
        <w:snapToGrid w:val="0"/>
        <w:spacing w:line="600" w:lineRule="exact"/>
        <w:ind w:firstLineChars="200" w:firstLine="640"/>
        <w:rPr>
          <w:rFonts w:ascii="宋体" w:eastAsia="宋体" w:hAnsi="宋体"/>
          <w:strike/>
          <w:sz w:val="32"/>
          <w:szCs w:val="32"/>
        </w:rPr>
      </w:pPr>
      <w:r w:rsidRPr="00C74ACE">
        <w:rPr>
          <w:rFonts w:ascii="宋体" w:eastAsia="宋体" w:hAnsi="宋体" w:hint="eastAsia"/>
          <w:sz w:val="32"/>
          <w:szCs w:val="32"/>
        </w:rPr>
        <w:t>本次交易属于同一控制下企业合并，资产交割完成后，</w:t>
      </w:r>
      <w:r w:rsidR="00E3413F">
        <w:rPr>
          <w:rFonts w:ascii="宋体" w:eastAsia="宋体" w:hAnsi="宋体" w:hint="eastAsia"/>
          <w:sz w:val="32"/>
          <w:szCs w:val="32"/>
        </w:rPr>
        <w:t>标的资产</w:t>
      </w:r>
      <w:r w:rsidRPr="00C74ACE">
        <w:rPr>
          <w:rFonts w:ascii="宋体" w:eastAsia="宋体" w:hAnsi="宋体"/>
          <w:sz w:val="32"/>
          <w:szCs w:val="32"/>
        </w:rPr>
        <w:t>2026整年利润将全部并入兖矿能源。</w:t>
      </w:r>
    </w:p>
    <w:p w14:paraId="18245A05" w14:textId="1F8ABF41" w:rsidR="00D51B6B" w:rsidRPr="00C6366D" w:rsidRDefault="00D51B6B" w:rsidP="00D51B6B">
      <w:pPr>
        <w:pStyle w:val="1"/>
        <w:spacing w:before="156" w:after="156"/>
        <w:ind w:firstLineChars="220" w:firstLine="707"/>
      </w:pPr>
      <w:r>
        <w:rPr>
          <w:rFonts w:hint="eastAsia"/>
        </w:rPr>
        <w:t>兴和钼业基本情况及</w:t>
      </w:r>
      <w:r w:rsidRPr="00D51B6B">
        <w:rPr>
          <w:rFonts w:hint="eastAsia"/>
        </w:rPr>
        <w:t>项目进展</w:t>
      </w:r>
    </w:p>
    <w:p w14:paraId="7BC5DD7F" w14:textId="77777777" w:rsidR="00D51B6B" w:rsidRPr="00D51B6B" w:rsidRDefault="00D51B6B" w:rsidP="00D51B6B">
      <w:pPr>
        <w:adjustRightInd w:val="0"/>
        <w:snapToGrid w:val="0"/>
        <w:spacing w:line="600" w:lineRule="exact"/>
        <w:ind w:firstLineChars="200" w:firstLine="640"/>
        <w:rPr>
          <w:rFonts w:ascii="宋体" w:eastAsia="宋体" w:hAnsi="宋体"/>
          <w:sz w:val="32"/>
          <w:szCs w:val="32"/>
        </w:rPr>
      </w:pPr>
      <w:r w:rsidRPr="00D51B6B">
        <w:rPr>
          <w:rFonts w:ascii="宋体" w:eastAsia="宋体" w:hAnsi="宋体" w:hint="eastAsia"/>
          <w:sz w:val="32"/>
          <w:szCs w:val="32"/>
        </w:rPr>
        <w:t>兴和钼业（曹四夭钼矿）是公司矿业产业延伸的核心战略项目，该矿拥有丰富的资源储量和较强的成本竞争力，规模化开发优势显著，建成后将成为公司重要利润增长点。</w:t>
      </w:r>
    </w:p>
    <w:p w14:paraId="7D183D94" w14:textId="77777777" w:rsidR="00D51B6B" w:rsidRDefault="00D51B6B" w:rsidP="00D51B6B">
      <w:pPr>
        <w:adjustRightInd w:val="0"/>
        <w:snapToGrid w:val="0"/>
        <w:spacing w:line="600" w:lineRule="exact"/>
        <w:ind w:firstLineChars="200" w:firstLine="640"/>
        <w:rPr>
          <w:rFonts w:ascii="宋体" w:eastAsia="宋体" w:hAnsi="宋体"/>
          <w:sz w:val="32"/>
          <w:szCs w:val="32"/>
        </w:rPr>
      </w:pPr>
      <w:r w:rsidRPr="00D51B6B">
        <w:rPr>
          <w:rFonts w:ascii="宋体" w:eastAsia="宋体" w:hAnsi="宋体" w:hint="eastAsia"/>
          <w:sz w:val="32"/>
          <w:szCs w:val="32"/>
        </w:rPr>
        <w:t>根据长沙有色冶金设计研究院有限公司编制的可行性研究报告，兴和钼业（曹四夭钼矿）地处内蒙古自治区乌兰察布市兴和县，拥有钼矿石资源量</w:t>
      </w:r>
      <w:r w:rsidRPr="00D51B6B">
        <w:rPr>
          <w:rFonts w:ascii="宋体" w:eastAsia="宋体" w:hAnsi="宋体"/>
          <w:sz w:val="32"/>
          <w:szCs w:val="32"/>
        </w:rPr>
        <w:t>10.4亿吨，金属量108.9</w:t>
      </w:r>
      <w:r w:rsidRPr="00D51B6B">
        <w:rPr>
          <w:rFonts w:ascii="宋体" w:eastAsia="宋体" w:hAnsi="宋体"/>
          <w:sz w:val="32"/>
          <w:szCs w:val="32"/>
        </w:rPr>
        <w:lastRenderedPageBreak/>
        <w:t>万吨，平均品位0.105%，并伴生有钨、锌等金属。设计产能为原矿1650万吨/年，达产年钼精矿产量3.08万吨/年。</w:t>
      </w:r>
    </w:p>
    <w:p w14:paraId="68EEAE72" w14:textId="2473DF55" w:rsidR="00D51B6B" w:rsidRPr="00D51B6B" w:rsidRDefault="00D51B6B" w:rsidP="00D51B6B">
      <w:pPr>
        <w:adjustRightInd w:val="0"/>
        <w:snapToGrid w:val="0"/>
        <w:spacing w:line="600" w:lineRule="exact"/>
        <w:ind w:firstLineChars="200" w:firstLine="640"/>
        <w:rPr>
          <w:rFonts w:ascii="宋体" w:eastAsia="宋体" w:hAnsi="宋体"/>
          <w:sz w:val="32"/>
          <w:szCs w:val="32"/>
        </w:rPr>
      </w:pPr>
      <w:r w:rsidRPr="00D51B6B">
        <w:rPr>
          <w:rFonts w:ascii="宋体" w:eastAsia="宋体" w:hAnsi="宋体"/>
          <w:sz w:val="32"/>
          <w:szCs w:val="32"/>
        </w:rPr>
        <w:t>2026年5月取得国家自然资源部监制的采矿许可证，预计2026年年底前开工建设，建设周期1.5-2年。</w:t>
      </w:r>
    </w:p>
    <w:p w14:paraId="4EF7D98E" w14:textId="51CFEACB" w:rsidR="00D51B6B" w:rsidRDefault="00D51B6B" w:rsidP="00D51B6B">
      <w:pPr>
        <w:pStyle w:val="1"/>
        <w:spacing w:before="156" w:after="156"/>
        <w:ind w:firstLineChars="220" w:firstLine="707"/>
      </w:pPr>
      <w:r w:rsidRPr="00D51B6B">
        <w:rPr>
          <w:rFonts w:hint="eastAsia"/>
        </w:rPr>
        <w:t>对</w:t>
      </w:r>
      <w:r w:rsidRPr="00D51B6B">
        <w:t>国内</w:t>
      </w:r>
      <w:r w:rsidR="008732D2">
        <w:rPr>
          <w:rFonts w:hint="eastAsia"/>
        </w:rPr>
        <w:t>、国际</w:t>
      </w:r>
      <w:r w:rsidRPr="00D51B6B">
        <w:t>煤价走势判断</w:t>
      </w:r>
    </w:p>
    <w:p w14:paraId="00D41FA9" w14:textId="7CF521EC" w:rsidR="006D09D9" w:rsidRPr="00B5092A" w:rsidRDefault="006D09D9" w:rsidP="00D51B6B">
      <w:pPr>
        <w:adjustRightInd w:val="0"/>
        <w:snapToGrid w:val="0"/>
        <w:spacing w:line="600" w:lineRule="exact"/>
        <w:ind w:firstLineChars="200" w:firstLine="643"/>
        <w:rPr>
          <w:rFonts w:ascii="宋体" w:eastAsia="宋体" w:hAnsi="宋体"/>
          <w:b/>
          <w:bCs/>
          <w:sz w:val="32"/>
          <w:szCs w:val="32"/>
        </w:rPr>
      </w:pPr>
      <w:r w:rsidRPr="00B5092A">
        <w:rPr>
          <w:rFonts w:ascii="宋体" w:eastAsia="宋体" w:hAnsi="宋体" w:hint="eastAsia"/>
          <w:b/>
          <w:bCs/>
          <w:sz w:val="32"/>
          <w:szCs w:val="32"/>
        </w:rPr>
        <w:t>（一）国内煤炭市场</w:t>
      </w:r>
    </w:p>
    <w:p w14:paraId="4F2D56B8" w14:textId="08CB7856" w:rsidR="00D51B6B" w:rsidRPr="00D51B6B" w:rsidRDefault="00D51B6B" w:rsidP="00D51B6B">
      <w:pPr>
        <w:adjustRightInd w:val="0"/>
        <w:snapToGrid w:val="0"/>
        <w:spacing w:line="600" w:lineRule="exact"/>
        <w:ind w:firstLineChars="200" w:firstLine="640"/>
        <w:rPr>
          <w:rFonts w:ascii="宋体" w:eastAsia="宋体" w:hAnsi="宋体"/>
          <w:sz w:val="32"/>
          <w:szCs w:val="32"/>
        </w:rPr>
      </w:pPr>
      <w:r w:rsidRPr="00D51B6B">
        <w:rPr>
          <w:rFonts w:ascii="宋体" w:eastAsia="宋体" w:hAnsi="宋体" w:hint="eastAsia"/>
          <w:sz w:val="32"/>
          <w:szCs w:val="32"/>
        </w:rPr>
        <w:t>预计下半年，煤炭供需将呈现总体稳定、阶段性紧平衡，价格在中高位窄幅波动、全年价格中枢确定性高于去年。</w:t>
      </w:r>
    </w:p>
    <w:p w14:paraId="09D64BB0" w14:textId="77777777" w:rsidR="00D51B6B" w:rsidRPr="001703AC" w:rsidRDefault="00D51B6B" w:rsidP="00D51B6B">
      <w:pPr>
        <w:adjustRightInd w:val="0"/>
        <w:snapToGrid w:val="0"/>
        <w:spacing w:line="600" w:lineRule="exact"/>
        <w:ind w:firstLineChars="200" w:firstLine="640"/>
        <w:rPr>
          <w:rFonts w:ascii="宋体" w:eastAsia="宋体" w:hAnsi="宋体"/>
          <w:sz w:val="32"/>
          <w:szCs w:val="32"/>
        </w:rPr>
      </w:pPr>
      <w:r w:rsidRPr="001703AC">
        <w:rPr>
          <w:rFonts w:ascii="宋体" w:eastAsia="宋体" w:hAnsi="宋体" w:hint="eastAsia"/>
          <w:sz w:val="32"/>
          <w:szCs w:val="32"/>
        </w:rPr>
        <w:t>供应端，国内煤炭供应能力稳定，随着电煤保供、煤炭储备等调节机制逐步健全，有利于煤炭价格长期趋稳运行。当前，全行业安全监管持续强化，刚性约束产能有序释放。国内供给阶段性收缩，</w:t>
      </w:r>
      <w:r w:rsidRPr="001703AC">
        <w:rPr>
          <w:rFonts w:ascii="宋体" w:eastAsia="宋体" w:hAnsi="宋体"/>
          <w:sz w:val="32"/>
          <w:szCs w:val="32"/>
        </w:rPr>
        <w:t>1-7月国内煤炭产量27亿吨，同比下降2.9%，其中7月同比下降10.1%。</w:t>
      </w:r>
    </w:p>
    <w:p w14:paraId="4F135DA1" w14:textId="0962DB9B" w:rsidR="008742FA" w:rsidRDefault="00D51B6B" w:rsidP="00D51B6B">
      <w:pPr>
        <w:adjustRightInd w:val="0"/>
        <w:snapToGrid w:val="0"/>
        <w:spacing w:line="600" w:lineRule="exact"/>
        <w:ind w:firstLineChars="200" w:firstLine="640"/>
        <w:rPr>
          <w:rFonts w:ascii="宋体" w:eastAsia="宋体" w:hAnsi="宋体"/>
          <w:sz w:val="32"/>
          <w:szCs w:val="32"/>
        </w:rPr>
      </w:pPr>
      <w:r w:rsidRPr="001703AC">
        <w:rPr>
          <w:rFonts w:ascii="宋体" w:eastAsia="宋体" w:hAnsi="宋体"/>
          <w:sz w:val="32"/>
          <w:szCs w:val="32"/>
        </w:rPr>
        <w:t>需求端，</w:t>
      </w:r>
      <w:r w:rsidR="006D09D9" w:rsidRPr="001703AC">
        <w:rPr>
          <w:rFonts w:ascii="宋体" w:eastAsia="宋体" w:hAnsi="宋体" w:hint="eastAsia"/>
          <w:sz w:val="32"/>
          <w:szCs w:val="32"/>
        </w:rPr>
        <w:t>宏观政策发力提效，</w:t>
      </w:r>
      <w:r w:rsidR="006D09D9" w:rsidRPr="001703AC">
        <w:rPr>
          <w:rFonts w:ascii="宋体" w:eastAsia="宋体" w:hAnsi="宋体"/>
          <w:sz w:val="32"/>
          <w:szCs w:val="32"/>
        </w:rPr>
        <w:t>加快财政支出和债券资金使用进度，</w:t>
      </w:r>
      <w:r w:rsidR="008742FA" w:rsidRPr="001703AC">
        <w:rPr>
          <w:rFonts w:ascii="宋体" w:eastAsia="宋体" w:hAnsi="宋体" w:hint="eastAsia"/>
          <w:sz w:val="32"/>
          <w:szCs w:val="32"/>
        </w:rPr>
        <w:t>推进</w:t>
      </w:r>
      <w:r w:rsidRPr="001703AC">
        <w:rPr>
          <w:rFonts w:ascii="宋体" w:eastAsia="宋体" w:hAnsi="宋体"/>
          <w:sz w:val="32"/>
          <w:szCs w:val="32"/>
        </w:rPr>
        <w:t>“</w:t>
      </w:r>
      <w:r w:rsidRPr="00D51B6B">
        <w:rPr>
          <w:rFonts w:ascii="宋体" w:eastAsia="宋体" w:hAnsi="宋体"/>
          <w:sz w:val="32"/>
          <w:szCs w:val="32"/>
        </w:rPr>
        <w:t>两重”“两新”“六张网”等基建投资、促消费举措。中电联预测全年社会用电量将同比增长5%-6%</w:t>
      </w:r>
      <w:r w:rsidR="00CD4C72">
        <w:rPr>
          <w:rFonts w:ascii="宋体" w:eastAsia="宋体" w:hAnsi="宋体" w:hint="eastAsia"/>
          <w:sz w:val="32"/>
          <w:szCs w:val="32"/>
        </w:rPr>
        <w:t>。</w:t>
      </w:r>
      <w:r w:rsidR="008742FA" w:rsidRPr="008742FA">
        <w:rPr>
          <w:rFonts w:ascii="宋体" w:eastAsia="宋体" w:hAnsi="宋体" w:hint="eastAsia"/>
          <w:sz w:val="32"/>
          <w:szCs w:val="32"/>
        </w:rPr>
        <w:t>随着高端制造业、数字经济与新兴技术等领域用电需求的快速增长，全社会用电量有望保持高位。多个</w:t>
      </w:r>
      <w:r w:rsidR="00CB261A" w:rsidRPr="008742FA">
        <w:rPr>
          <w:rFonts w:ascii="宋体" w:eastAsia="宋体" w:hAnsi="宋体" w:hint="eastAsia"/>
          <w:sz w:val="32"/>
          <w:szCs w:val="32"/>
        </w:rPr>
        <w:t>煤化工</w:t>
      </w:r>
      <w:r w:rsidR="008742FA" w:rsidRPr="008742FA">
        <w:rPr>
          <w:rFonts w:ascii="宋体" w:eastAsia="宋体" w:hAnsi="宋体" w:hint="eastAsia"/>
          <w:sz w:val="32"/>
          <w:szCs w:val="32"/>
        </w:rPr>
        <w:t>新建项目下半年投产，预计化工</w:t>
      </w:r>
      <w:r w:rsidR="00A5672B">
        <w:rPr>
          <w:rFonts w:ascii="宋体" w:eastAsia="宋体" w:hAnsi="宋体" w:hint="eastAsia"/>
          <w:sz w:val="32"/>
          <w:szCs w:val="32"/>
        </w:rPr>
        <w:t>用煤</w:t>
      </w:r>
      <w:r w:rsidR="008742FA" w:rsidRPr="008742FA">
        <w:rPr>
          <w:rFonts w:ascii="宋体" w:eastAsia="宋体" w:hAnsi="宋体" w:hint="eastAsia"/>
          <w:sz w:val="32"/>
          <w:szCs w:val="32"/>
        </w:rPr>
        <w:t>将持续提升。</w:t>
      </w:r>
    </w:p>
    <w:p w14:paraId="5FCEAAA3" w14:textId="5B13EDD1" w:rsidR="006D09D9" w:rsidRDefault="006D09D9" w:rsidP="00B5092A">
      <w:pPr>
        <w:ind w:firstLineChars="200" w:firstLine="643"/>
        <w:contextualSpacing/>
      </w:pPr>
      <w:r w:rsidRPr="005903C9">
        <w:rPr>
          <w:rFonts w:ascii="宋体" w:eastAsia="宋体" w:hAnsi="宋体" w:hint="eastAsia"/>
          <w:b/>
          <w:bCs/>
          <w:sz w:val="32"/>
          <w:szCs w:val="32"/>
        </w:rPr>
        <w:t>（</w:t>
      </w:r>
      <w:r>
        <w:rPr>
          <w:rFonts w:ascii="宋体" w:eastAsia="宋体" w:hAnsi="宋体" w:hint="eastAsia"/>
          <w:b/>
          <w:bCs/>
          <w:sz w:val="32"/>
          <w:szCs w:val="32"/>
        </w:rPr>
        <w:t>二</w:t>
      </w:r>
      <w:r w:rsidRPr="005903C9">
        <w:rPr>
          <w:rFonts w:ascii="宋体" w:eastAsia="宋体" w:hAnsi="宋体" w:hint="eastAsia"/>
          <w:b/>
          <w:bCs/>
          <w:sz w:val="32"/>
          <w:szCs w:val="32"/>
        </w:rPr>
        <w:t>）</w:t>
      </w:r>
      <w:r>
        <w:rPr>
          <w:rFonts w:ascii="宋体" w:eastAsia="宋体" w:hAnsi="宋体" w:hint="eastAsia"/>
          <w:b/>
          <w:bCs/>
          <w:sz w:val="32"/>
          <w:szCs w:val="32"/>
        </w:rPr>
        <w:t>国际</w:t>
      </w:r>
      <w:r w:rsidRPr="005903C9">
        <w:rPr>
          <w:rFonts w:ascii="宋体" w:eastAsia="宋体" w:hAnsi="宋体" w:hint="eastAsia"/>
          <w:b/>
          <w:bCs/>
          <w:sz w:val="32"/>
          <w:szCs w:val="32"/>
        </w:rPr>
        <w:t>煤炭市场</w:t>
      </w:r>
    </w:p>
    <w:p w14:paraId="3A96D247" w14:textId="26975447" w:rsidR="00D51B6B" w:rsidRDefault="00D51B6B" w:rsidP="00D51B6B">
      <w:pPr>
        <w:adjustRightInd w:val="0"/>
        <w:snapToGrid w:val="0"/>
        <w:spacing w:line="600" w:lineRule="exact"/>
        <w:ind w:firstLineChars="200" w:firstLine="640"/>
        <w:rPr>
          <w:rFonts w:ascii="宋体" w:eastAsia="宋体" w:hAnsi="宋体"/>
          <w:sz w:val="32"/>
          <w:szCs w:val="32"/>
        </w:rPr>
      </w:pPr>
      <w:r w:rsidRPr="00D51B6B">
        <w:rPr>
          <w:rFonts w:ascii="宋体" w:eastAsia="宋体" w:hAnsi="宋体" w:hint="eastAsia"/>
          <w:sz w:val="32"/>
          <w:szCs w:val="32"/>
        </w:rPr>
        <w:t>预计下半年</w:t>
      </w:r>
      <w:r w:rsidR="001018A8">
        <w:rPr>
          <w:rFonts w:ascii="宋体" w:eastAsia="宋体" w:hAnsi="宋体" w:hint="eastAsia"/>
          <w:sz w:val="32"/>
          <w:szCs w:val="32"/>
        </w:rPr>
        <w:t>，</w:t>
      </w:r>
      <w:r w:rsidRPr="00D51B6B">
        <w:rPr>
          <w:rFonts w:ascii="宋体" w:eastAsia="宋体" w:hAnsi="宋体" w:hint="eastAsia"/>
          <w:sz w:val="32"/>
          <w:szCs w:val="32"/>
        </w:rPr>
        <w:t>国际煤炭市场</w:t>
      </w:r>
      <w:r w:rsidR="001018A8">
        <w:rPr>
          <w:rFonts w:ascii="宋体" w:eastAsia="宋体" w:hAnsi="宋体" w:hint="eastAsia"/>
          <w:sz w:val="32"/>
          <w:szCs w:val="32"/>
        </w:rPr>
        <w:t>价格走势与国内趋同，维持</w:t>
      </w:r>
      <w:r w:rsidRPr="00D51B6B">
        <w:rPr>
          <w:rFonts w:ascii="宋体" w:eastAsia="宋体" w:hAnsi="宋体" w:hint="eastAsia"/>
          <w:sz w:val="32"/>
          <w:szCs w:val="32"/>
        </w:rPr>
        <w:t>中高位震荡。</w:t>
      </w:r>
    </w:p>
    <w:p w14:paraId="405A9077" w14:textId="46592E9B" w:rsidR="008732D2" w:rsidRPr="00D51B6B" w:rsidRDefault="001018A8" w:rsidP="00D51B6B">
      <w:pPr>
        <w:adjustRightInd w:val="0"/>
        <w:snapToGrid w:val="0"/>
        <w:spacing w:line="600" w:lineRule="exact"/>
        <w:ind w:firstLineChars="200" w:firstLine="640"/>
        <w:rPr>
          <w:rFonts w:ascii="宋体" w:eastAsia="宋体" w:hAnsi="宋体"/>
          <w:sz w:val="32"/>
          <w:szCs w:val="32"/>
        </w:rPr>
      </w:pPr>
      <w:r>
        <w:rPr>
          <w:rFonts w:ascii="宋体" w:eastAsia="宋体" w:hAnsi="宋体" w:hint="eastAsia"/>
          <w:sz w:val="32"/>
          <w:szCs w:val="32"/>
        </w:rPr>
        <w:lastRenderedPageBreak/>
        <w:t>受</w:t>
      </w:r>
      <w:r w:rsidRPr="001018A8">
        <w:rPr>
          <w:rFonts w:ascii="宋体" w:eastAsia="宋体" w:hAnsi="宋体" w:hint="eastAsia"/>
          <w:sz w:val="32"/>
          <w:szCs w:val="32"/>
        </w:rPr>
        <w:t>印尼出口供应不确定性较强、海运成本抬升</w:t>
      </w:r>
      <w:r>
        <w:rPr>
          <w:rFonts w:ascii="宋体" w:eastAsia="宋体" w:hAnsi="宋体" w:hint="eastAsia"/>
          <w:sz w:val="32"/>
          <w:szCs w:val="32"/>
        </w:rPr>
        <w:t>等因素影响，</w:t>
      </w:r>
      <w:r w:rsidR="004B49E8" w:rsidRPr="004B49E8">
        <w:rPr>
          <w:rFonts w:ascii="宋体" w:eastAsia="宋体" w:hAnsi="宋体" w:hint="eastAsia"/>
          <w:sz w:val="32"/>
          <w:szCs w:val="32"/>
        </w:rPr>
        <w:t>全球煤炭出口供应增量有限</w:t>
      </w:r>
      <w:r>
        <w:rPr>
          <w:rFonts w:ascii="宋体" w:eastAsia="宋体" w:hAnsi="宋体" w:hint="eastAsia"/>
          <w:sz w:val="32"/>
          <w:szCs w:val="32"/>
        </w:rPr>
        <w:t>。</w:t>
      </w:r>
      <w:r w:rsidR="004B49E8" w:rsidRPr="008732D2">
        <w:rPr>
          <w:rFonts w:ascii="宋体" w:eastAsia="宋体" w:hAnsi="宋体" w:hint="eastAsia"/>
          <w:sz w:val="32"/>
          <w:szCs w:val="32"/>
        </w:rPr>
        <w:t>地缘冲突局势反复强化了煤炭</w:t>
      </w:r>
      <w:r>
        <w:rPr>
          <w:rFonts w:ascii="宋体" w:eastAsia="宋体" w:hAnsi="宋体" w:hint="eastAsia"/>
          <w:sz w:val="32"/>
          <w:szCs w:val="32"/>
        </w:rPr>
        <w:t>的</w:t>
      </w:r>
      <w:r w:rsidR="004B49E8">
        <w:rPr>
          <w:rFonts w:ascii="宋体" w:eastAsia="宋体" w:hAnsi="宋体" w:hint="eastAsia"/>
          <w:sz w:val="32"/>
          <w:szCs w:val="32"/>
        </w:rPr>
        <w:t>兜底保障作用</w:t>
      </w:r>
      <w:r w:rsidR="004B49E8" w:rsidRPr="008732D2">
        <w:rPr>
          <w:rFonts w:ascii="宋体" w:eastAsia="宋体" w:hAnsi="宋体" w:hint="eastAsia"/>
          <w:sz w:val="32"/>
          <w:szCs w:val="32"/>
        </w:rPr>
        <w:t>，</w:t>
      </w:r>
      <w:r w:rsidRPr="00D51B6B">
        <w:rPr>
          <w:rFonts w:ascii="宋体" w:eastAsia="宋体" w:hAnsi="宋体"/>
          <w:sz w:val="32"/>
          <w:szCs w:val="32"/>
        </w:rPr>
        <w:t>为国际煤价维持</w:t>
      </w:r>
      <w:r w:rsidR="00627AE4">
        <w:rPr>
          <w:rFonts w:ascii="宋体" w:eastAsia="宋体" w:hAnsi="宋体" w:hint="eastAsia"/>
          <w:sz w:val="32"/>
          <w:szCs w:val="32"/>
        </w:rPr>
        <w:t>中</w:t>
      </w:r>
      <w:r w:rsidRPr="00D51B6B">
        <w:rPr>
          <w:rFonts w:ascii="宋体" w:eastAsia="宋体" w:hAnsi="宋体"/>
          <w:sz w:val="32"/>
          <w:szCs w:val="32"/>
        </w:rPr>
        <w:t>高位提供支撑。</w:t>
      </w:r>
    </w:p>
    <w:p w14:paraId="453AA52A" w14:textId="32C8DA2F" w:rsidR="003D2C3B" w:rsidRPr="00E54340" w:rsidRDefault="00B753E8" w:rsidP="000352E9">
      <w:pPr>
        <w:pStyle w:val="1"/>
        <w:spacing w:before="156" w:after="156"/>
        <w:ind w:firstLineChars="200" w:firstLine="643"/>
      </w:pPr>
      <w:r w:rsidRPr="00B753E8">
        <w:rPr>
          <w:rFonts w:hint="eastAsia"/>
        </w:rPr>
        <w:t>红隼煤矿收购</w:t>
      </w:r>
      <w:r>
        <w:rPr>
          <w:rFonts w:hint="eastAsia"/>
        </w:rPr>
        <w:t>基本情况及</w:t>
      </w:r>
      <w:r w:rsidRPr="00B753E8">
        <w:rPr>
          <w:rFonts w:hint="eastAsia"/>
        </w:rPr>
        <w:t>项目进展</w:t>
      </w:r>
    </w:p>
    <w:p w14:paraId="7398B0F7" w14:textId="77777777" w:rsidR="00B753E8" w:rsidRPr="00B753E8" w:rsidRDefault="00B753E8" w:rsidP="00B753E8">
      <w:pPr>
        <w:adjustRightInd w:val="0"/>
        <w:snapToGrid w:val="0"/>
        <w:spacing w:line="600" w:lineRule="exact"/>
        <w:ind w:firstLineChars="200" w:firstLine="643"/>
        <w:rPr>
          <w:rFonts w:ascii="宋体" w:eastAsia="宋体" w:hAnsi="宋体"/>
          <w:b/>
          <w:bCs/>
          <w:sz w:val="32"/>
          <w:szCs w:val="32"/>
        </w:rPr>
      </w:pPr>
      <w:r w:rsidRPr="00B753E8">
        <w:rPr>
          <w:rFonts w:ascii="宋体" w:eastAsia="宋体" w:hAnsi="宋体" w:hint="eastAsia"/>
          <w:b/>
          <w:bCs/>
          <w:sz w:val="32"/>
          <w:szCs w:val="32"/>
        </w:rPr>
        <w:t>（一）基本情况</w:t>
      </w:r>
    </w:p>
    <w:p w14:paraId="43C9F6EE" w14:textId="34D84FEC" w:rsidR="00B753E8" w:rsidRPr="00B753E8" w:rsidRDefault="00577DCF" w:rsidP="00577DCF">
      <w:pPr>
        <w:adjustRightInd w:val="0"/>
        <w:snapToGrid w:val="0"/>
        <w:spacing w:line="600" w:lineRule="exact"/>
        <w:ind w:firstLineChars="200" w:firstLine="640"/>
        <w:rPr>
          <w:rFonts w:ascii="宋体" w:eastAsia="宋体" w:hAnsi="宋体"/>
          <w:sz w:val="32"/>
          <w:szCs w:val="32"/>
        </w:rPr>
      </w:pPr>
      <w:r w:rsidRPr="00577DCF">
        <w:rPr>
          <w:rFonts w:ascii="宋体" w:eastAsia="宋体" w:hAnsi="宋体" w:hint="eastAsia"/>
          <w:sz w:val="32"/>
          <w:szCs w:val="32"/>
        </w:rPr>
        <w:t>兖煤澳大利亚有限公司（“兖煤澳洲”）</w:t>
      </w:r>
      <w:r w:rsidR="00B753E8" w:rsidRPr="00B753E8">
        <w:rPr>
          <w:rFonts w:ascii="宋体" w:eastAsia="宋体" w:hAnsi="宋体" w:hint="eastAsia"/>
          <w:sz w:val="32"/>
          <w:szCs w:val="32"/>
        </w:rPr>
        <w:t>收购</w:t>
      </w:r>
      <w:r w:rsidRPr="00577DCF">
        <w:rPr>
          <w:rFonts w:ascii="宋体" w:eastAsia="宋体" w:hAnsi="宋体" w:hint="eastAsia"/>
          <w:sz w:val="32"/>
          <w:szCs w:val="32"/>
        </w:rPr>
        <w:t>红隼煤炭集团有限公司</w:t>
      </w:r>
      <w:r w:rsidR="00B753E8" w:rsidRPr="00B753E8">
        <w:rPr>
          <w:rFonts w:ascii="宋体" w:eastAsia="宋体" w:hAnsi="宋体"/>
          <w:sz w:val="32"/>
          <w:szCs w:val="32"/>
        </w:rPr>
        <w:t>100%权益，间接取得红隼煤矿80%权益，交易对价上限为24亿美元，包括18.5亿美元首付现金对价及最高不超过5.5亿美元的或有现金对价。其中，</w:t>
      </w:r>
      <w:r w:rsidR="005C6E68" w:rsidRPr="005C6E68">
        <w:rPr>
          <w:rFonts w:ascii="宋体" w:eastAsia="宋体" w:hAnsi="宋体" w:hint="eastAsia"/>
          <w:sz w:val="32"/>
          <w:szCs w:val="32"/>
        </w:rPr>
        <w:t>或有对价的触发条件与红隼煤矿的经营业绩直接挂钩，若触发或有对价，则表明红隼煤矿在规定期间内的实际售价超过了约定的门槛价格。在这种情况下，卖方、兖煤澳洲以及兖煤澳洲的股东将按约定比例分享超过门槛价格部分所产生的销售收入</w:t>
      </w:r>
      <w:r w:rsidR="00B753E8" w:rsidRPr="00B753E8">
        <w:rPr>
          <w:rFonts w:ascii="宋体" w:eastAsia="宋体" w:hAnsi="宋体"/>
          <w:sz w:val="32"/>
          <w:szCs w:val="32"/>
        </w:rPr>
        <w:t>。</w:t>
      </w:r>
    </w:p>
    <w:p w14:paraId="3612E466" w14:textId="4295969F" w:rsidR="00B753E8" w:rsidRPr="00B753E8" w:rsidRDefault="00B753E8" w:rsidP="00B753E8">
      <w:pPr>
        <w:adjustRightInd w:val="0"/>
        <w:snapToGrid w:val="0"/>
        <w:spacing w:line="600" w:lineRule="exact"/>
        <w:ind w:firstLineChars="200" w:firstLine="640"/>
        <w:rPr>
          <w:rFonts w:ascii="宋体" w:eastAsia="宋体" w:hAnsi="宋体"/>
          <w:sz w:val="32"/>
          <w:szCs w:val="32"/>
        </w:rPr>
      </w:pPr>
      <w:r w:rsidRPr="00B753E8">
        <w:rPr>
          <w:rFonts w:ascii="宋体" w:eastAsia="宋体" w:hAnsi="宋体" w:hint="eastAsia"/>
          <w:sz w:val="32"/>
          <w:szCs w:val="32"/>
        </w:rPr>
        <w:t>红隼煤矿是澳大利亚最大的在产井工煤矿之一，主产</w:t>
      </w:r>
      <w:r w:rsidR="00577DCF">
        <w:rPr>
          <w:rFonts w:ascii="宋体" w:eastAsia="宋体" w:hAnsi="宋体" w:hint="eastAsia"/>
          <w:sz w:val="32"/>
          <w:szCs w:val="32"/>
        </w:rPr>
        <w:t>优质</w:t>
      </w:r>
      <w:r w:rsidRPr="00B753E8">
        <w:rPr>
          <w:rFonts w:ascii="宋体" w:eastAsia="宋体" w:hAnsi="宋体" w:hint="eastAsia"/>
          <w:sz w:val="32"/>
          <w:szCs w:val="32"/>
        </w:rPr>
        <w:t>硬焦煤（约占</w:t>
      </w:r>
      <w:r w:rsidRPr="00B753E8">
        <w:rPr>
          <w:rFonts w:ascii="宋体" w:eastAsia="宋体" w:hAnsi="宋体"/>
          <w:sz w:val="32"/>
          <w:szCs w:val="32"/>
        </w:rPr>
        <w:t>80%），辅以半软焦煤</w:t>
      </w:r>
      <w:r w:rsidR="00577DCF">
        <w:rPr>
          <w:rFonts w:ascii="宋体" w:eastAsia="宋体" w:hAnsi="宋体" w:hint="eastAsia"/>
          <w:sz w:val="32"/>
          <w:szCs w:val="32"/>
        </w:rPr>
        <w:t>与</w:t>
      </w:r>
      <w:r w:rsidRPr="00B753E8">
        <w:rPr>
          <w:rFonts w:ascii="宋体" w:eastAsia="宋体" w:hAnsi="宋体"/>
          <w:sz w:val="32"/>
          <w:szCs w:val="32"/>
        </w:rPr>
        <w:t>动力煤，主要销往日本、韩国、印度及东南亚等亚洲钢铁企业市场。</w:t>
      </w:r>
    </w:p>
    <w:p w14:paraId="0DD0F207" w14:textId="77777777" w:rsidR="00B753E8" w:rsidRPr="00B753E8" w:rsidRDefault="00B753E8" w:rsidP="00B753E8">
      <w:pPr>
        <w:adjustRightInd w:val="0"/>
        <w:snapToGrid w:val="0"/>
        <w:spacing w:line="600" w:lineRule="exact"/>
        <w:ind w:firstLineChars="200" w:firstLine="640"/>
        <w:rPr>
          <w:rFonts w:ascii="宋体" w:eastAsia="宋体" w:hAnsi="宋体"/>
          <w:sz w:val="32"/>
          <w:szCs w:val="32"/>
        </w:rPr>
      </w:pPr>
      <w:r w:rsidRPr="00B753E8">
        <w:rPr>
          <w:rFonts w:ascii="宋体" w:eastAsia="宋体" w:hAnsi="宋体" w:hint="eastAsia"/>
          <w:sz w:val="32"/>
          <w:szCs w:val="32"/>
        </w:rPr>
        <w:t>红隼煤矿在澳大利亚所有在产井工冶金煤矿中煤炭产量、生产效率和资源储量分别位居第一名、第二名、第三名。近年原煤产量</w:t>
      </w:r>
      <w:r w:rsidRPr="00B753E8">
        <w:rPr>
          <w:rFonts w:ascii="宋体" w:eastAsia="宋体" w:hAnsi="宋体"/>
          <w:sz w:val="32"/>
          <w:szCs w:val="32"/>
        </w:rPr>
        <w:t>600万-810万吨/年，2025年原煤产量约810万吨、商品煤约590万吨，2026年预计商品煤产量约600万吨；JORC规范下可销售储量1.64亿吨、资源量4.06亿吨（100%权益口径），矿山服务年限约25年，并具备进一步延</w:t>
      </w:r>
      <w:r w:rsidRPr="00B753E8">
        <w:rPr>
          <w:rFonts w:ascii="宋体" w:eastAsia="宋体" w:hAnsi="宋体"/>
          <w:sz w:val="32"/>
          <w:szCs w:val="32"/>
        </w:rPr>
        <w:lastRenderedPageBreak/>
        <w:t>长的潜力。</w:t>
      </w:r>
    </w:p>
    <w:p w14:paraId="408398E5" w14:textId="08CA3131" w:rsidR="00B753E8" w:rsidRPr="00B753E8" w:rsidRDefault="00B753E8" w:rsidP="00B753E8">
      <w:pPr>
        <w:adjustRightInd w:val="0"/>
        <w:snapToGrid w:val="0"/>
        <w:spacing w:line="600" w:lineRule="exact"/>
        <w:ind w:firstLineChars="200" w:firstLine="643"/>
        <w:rPr>
          <w:rFonts w:ascii="宋体" w:eastAsia="宋体" w:hAnsi="宋体"/>
          <w:b/>
          <w:bCs/>
          <w:sz w:val="32"/>
          <w:szCs w:val="32"/>
        </w:rPr>
      </w:pPr>
      <w:r w:rsidRPr="00B753E8">
        <w:rPr>
          <w:rFonts w:ascii="宋体" w:eastAsia="宋体" w:hAnsi="宋体" w:hint="eastAsia"/>
          <w:b/>
          <w:bCs/>
          <w:sz w:val="32"/>
          <w:szCs w:val="32"/>
        </w:rPr>
        <w:t>（二）项目进展</w:t>
      </w:r>
    </w:p>
    <w:p w14:paraId="4C4CB0B8" w14:textId="5B5783D4" w:rsidR="00C6366D" w:rsidRPr="00B753E8" w:rsidRDefault="00B753E8" w:rsidP="00B753E8">
      <w:pPr>
        <w:adjustRightInd w:val="0"/>
        <w:snapToGrid w:val="0"/>
        <w:spacing w:line="600" w:lineRule="exact"/>
        <w:ind w:firstLineChars="200" w:firstLine="640"/>
        <w:rPr>
          <w:rFonts w:ascii="宋体" w:eastAsia="宋体" w:hAnsi="宋体"/>
          <w:sz w:val="32"/>
          <w:szCs w:val="32"/>
        </w:rPr>
      </w:pPr>
      <w:r w:rsidRPr="00B753E8">
        <w:rPr>
          <w:rFonts w:ascii="宋体" w:eastAsia="宋体" w:hAnsi="宋体" w:hint="eastAsia"/>
          <w:sz w:val="32"/>
          <w:szCs w:val="32"/>
        </w:rPr>
        <w:t>目前该交易已取得澳大利亚外国投资审查委员会（</w:t>
      </w:r>
      <w:r w:rsidRPr="00B753E8">
        <w:rPr>
          <w:rFonts w:ascii="宋体" w:eastAsia="宋体" w:hAnsi="宋体"/>
          <w:sz w:val="32"/>
          <w:szCs w:val="32"/>
        </w:rPr>
        <w:t>FIRB）</w:t>
      </w:r>
      <w:r w:rsidR="005C6E68">
        <w:rPr>
          <w:rFonts w:ascii="宋体" w:eastAsia="宋体" w:hAnsi="宋体" w:hint="eastAsia"/>
          <w:sz w:val="32"/>
          <w:szCs w:val="32"/>
        </w:rPr>
        <w:t>等机构的</w:t>
      </w:r>
      <w:r w:rsidRPr="00B753E8">
        <w:rPr>
          <w:rFonts w:ascii="宋体" w:eastAsia="宋体" w:hAnsi="宋体"/>
          <w:sz w:val="32"/>
          <w:szCs w:val="32"/>
        </w:rPr>
        <w:t>审批，预计将于</w:t>
      </w:r>
      <w:r w:rsidR="00577DCF">
        <w:rPr>
          <w:rFonts w:ascii="宋体" w:eastAsia="宋体" w:hAnsi="宋体" w:hint="eastAsia"/>
          <w:sz w:val="32"/>
          <w:szCs w:val="32"/>
        </w:rPr>
        <w:t>2</w:t>
      </w:r>
      <w:r w:rsidR="00577DCF">
        <w:rPr>
          <w:rFonts w:ascii="宋体" w:eastAsia="宋体" w:hAnsi="宋体"/>
          <w:sz w:val="32"/>
          <w:szCs w:val="32"/>
        </w:rPr>
        <w:t>026</w:t>
      </w:r>
      <w:r w:rsidR="00577DCF">
        <w:rPr>
          <w:rFonts w:ascii="宋体" w:eastAsia="宋体" w:hAnsi="宋体" w:hint="eastAsia"/>
          <w:sz w:val="32"/>
          <w:szCs w:val="32"/>
        </w:rPr>
        <w:t>年</w:t>
      </w:r>
      <w:r>
        <w:rPr>
          <w:rFonts w:ascii="宋体" w:eastAsia="宋体" w:hAnsi="宋体" w:hint="eastAsia"/>
          <w:sz w:val="32"/>
          <w:szCs w:val="32"/>
        </w:rPr>
        <w:t>三季度末</w:t>
      </w:r>
      <w:r w:rsidRPr="00B753E8">
        <w:rPr>
          <w:rFonts w:ascii="宋体" w:eastAsia="宋体" w:hAnsi="宋体"/>
          <w:sz w:val="32"/>
          <w:szCs w:val="32"/>
        </w:rPr>
        <w:t>完成交割。</w:t>
      </w:r>
    </w:p>
    <w:p w14:paraId="11850DD5" w14:textId="4E8BAF30" w:rsidR="00C6366D" w:rsidRPr="0043635E" w:rsidRDefault="00C6366D" w:rsidP="00C6366D">
      <w:pPr>
        <w:adjustRightInd w:val="0"/>
        <w:snapToGrid w:val="0"/>
        <w:spacing w:line="600" w:lineRule="exact"/>
        <w:ind w:firstLineChars="200" w:firstLine="640"/>
        <w:rPr>
          <w:rFonts w:ascii="宋体" w:eastAsia="宋体" w:hAnsi="宋体"/>
          <w:sz w:val="32"/>
          <w:szCs w:val="32"/>
        </w:rPr>
      </w:pPr>
    </w:p>
    <w:p w14:paraId="76CDDF7B" w14:textId="76753D1A" w:rsidR="00EF7AB5" w:rsidRPr="00E54340" w:rsidRDefault="00EF7AB5" w:rsidP="00C6366D">
      <w:pPr>
        <w:adjustRightInd w:val="0"/>
        <w:snapToGrid w:val="0"/>
        <w:spacing w:line="600" w:lineRule="exact"/>
        <w:ind w:firstLineChars="200" w:firstLine="640"/>
        <w:rPr>
          <w:rFonts w:ascii="宋体" w:eastAsia="宋体" w:hAnsi="宋体"/>
          <w:sz w:val="32"/>
          <w:szCs w:val="32"/>
        </w:rPr>
      </w:pPr>
    </w:p>
    <w:sectPr w:rsidR="00EF7AB5" w:rsidRPr="00E54340">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FD44A" w14:textId="77777777" w:rsidR="0054080C" w:rsidRDefault="0054080C" w:rsidP="00482F81">
      <w:r>
        <w:separator/>
      </w:r>
    </w:p>
  </w:endnote>
  <w:endnote w:type="continuationSeparator" w:id="0">
    <w:p w14:paraId="369BBCE7" w14:textId="77777777" w:rsidR="0054080C" w:rsidRDefault="0054080C" w:rsidP="00482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4409237"/>
      <w:docPartObj>
        <w:docPartGallery w:val="Page Numbers (Bottom of Page)"/>
        <w:docPartUnique/>
      </w:docPartObj>
    </w:sdtPr>
    <w:sdtEndPr/>
    <w:sdtContent>
      <w:p w14:paraId="5D45A900" w14:textId="17C98CAD" w:rsidR="006167B5" w:rsidRDefault="006167B5">
        <w:pPr>
          <w:pStyle w:val="a9"/>
          <w:jc w:val="center"/>
        </w:pPr>
        <w:r>
          <w:fldChar w:fldCharType="begin"/>
        </w:r>
        <w:r>
          <w:instrText>PAGE   \* MERGEFORMAT</w:instrText>
        </w:r>
        <w:r>
          <w:fldChar w:fldCharType="separate"/>
        </w:r>
        <w:r>
          <w:rPr>
            <w:lang w:val="zh-CN"/>
          </w:rPr>
          <w:t>2</w:t>
        </w:r>
        <w:r>
          <w:fldChar w:fldCharType="end"/>
        </w:r>
      </w:p>
    </w:sdtContent>
  </w:sdt>
  <w:p w14:paraId="4D67397B" w14:textId="77777777" w:rsidR="006167B5" w:rsidRDefault="006167B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45165" w14:textId="77777777" w:rsidR="0054080C" w:rsidRDefault="0054080C" w:rsidP="00482F81">
      <w:r>
        <w:separator/>
      </w:r>
    </w:p>
  </w:footnote>
  <w:footnote w:type="continuationSeparator" w:id="0">
    <w:p w14:paraId="6C68FDF4" w14:textId="77777777" w:rsidR="0054080C" w:rsidRDefault="0054080C" w:rsidP="00482F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11902"/>
    <w:multiLevelType w:val="hybridMultilevel"/>
    <w:tmpl w:val="4BE4C272"/>
    <w:lvl w:ilvl="0" w:tplc="7A8CA876">
      <w:start w:val="1"/>
      <w:numFmt w:val="chineseCountingThousand"/>
      <w:pStyle w:val="1"/>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246972"/>
    <w:multiLevelType w:val="hybridMultilevel"/>
    <w:tmpl w:val="054692BA"/>
    <w:lvl w:ilvl="0" w:tplc="5E36A434">
      <w:start w:val="1"/>
      <w:numFmt w:val="decimal"/>
      <w:suff w:val="nothing"/>
      <w:lvlText w:val="%1."/>
      <w:lvlJc w:val="left"/>
      <w:pPr>
        <w:ind w:left="1555" w:hanging="420"/>
      </w:pPr>
      <w:rPr>
        <w:rFonts w:hint="eastAsia"/>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2" w15:restartNumberingAfterBreak="0">
    <w:nsid w:val="338A73E8"/>
    <w:multiLevelType w:val="multilevel"/>
    <w:tmpl w:val="70F046BA"/>
    <w:lvl w:ilvl="0">
      <w:start w:val="1"/>
      <w:numFmt w:val="chineseCountingThousand"/>
      <w:pStyle w:val="2"/>
      <w:suff w:val="nothing"/>
      <w:lvlText w:val="%1、"/>
      <w:lvlJc w:val="left"/>
      <w:pPr>
        <w:ind w:left="1130" w:hanging="420"/>
      </w:pPr>
      <w:rPr>
        <w:rFonts w:hint="eastAsia"/>
        <w:lang w:val="en-US"/>
      </w:r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abstractNum w:abstractNumId="3" w15:restartNumberingAfterBreak="0">
    <w:nsid w:val="4BF1104E"/>
    <w:multiLevelType w:val="hybridMultilevel"/>
    <w:tmpl w:val="50B0CC0C"/>
    <w:lvl w:ilvl="0" w:tplc="8018AAD2">
      <w:start w:val="1"/>
      <w:numFmt w:val="decimal"/>
      <w:suff w:val="nothing"/>
      <w:lvlText w:val="%1."/>
      <w:lvlJc w:val="left"/>
      <w:pPr>
        <w:ind w:left="1063" w:hanging="420"/>
      </w:pPr>
      <w:rPr>
        <w:rFonts w:hint="eastAsia"/>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num w:numId="1">
    <w:abstractNumId w:val="0"/>
  </w:num>
  <w:num w:numId="2">
    <w:abstractNumId w:val="1"/>
  </w:num>
  <w:num w:numId="3">
    <w:abstractNumId w:val="3"/>
  </w:num>
  <w:num w:numId="4">
    <w:abstractNumId w:val="0"/>
  </w:num>
  <w:num w:numId="5">
    <w:abstractNumId w:val="2"/>
  </w:num>
  <w:num w:numId="6">
    <w:abstractNumId w:val="2"/>
    <w:lvlOverride w:ilvl="0">
      <w:startOverride w:val="1"/>
    </w:lvlOverride>
  </w:num>
  <w:num w:numId="7">
    <w:abstractNumId w:val="0"/>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0"/>
  </w:num>
  <w:num w:numId="11">
    <w:abstractNumId w:val="0"/>
  </w:num>
  <w:num w:numId="12">
    <w:abstractNumId w:val="0"/>
  </w:num>
  <w:num w:numId="13">
    <w:abstractNumId w:val="0"/>
    <w:lvlOverride w:ilvl="0">
      <w:startOverride w:val="1"/>
    </w:lvlOverride>
  </w:num>
  <w:num w:numId="14">
    <w:abstractNumId w:val="0"/>
  </w:num>
  <w:num w:numId="15">
    <w:abstractNumId w:val="0"/>
    <w:lvlOverride w:ilvl="0">
      <w:startOverride w:val="1"/>
    </w:lvlOverride>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lvlOverride w:ilvl="0">
      <w:startOverride w:val="1"/>
    </w:lvlOverride>
  </w:num>
  <w:num w:numId="29">
    <w:abstractNumId w:val="0"/>
    <w:lvlOverride w:ilvl="0">
      <w:startOverride w:val="1"/>
    </w:lvlOverride>
  </w:num>
  <w:num w:numId="30">
    <w:abstractNumId w:val="0"/>
    <w:lvlOverride w:ilvl="0">
      <w:startOverride w:val="1"/>
    </w:lvlOverride>
  </w:num>
  <w:num w:numId="31">
    <w:abstractNumId w:val="0"/>
    <w:lvlOverride w:ilvl="0">
      <w:startOverride w:val="1"/>
    </w:lvlOverride>
  </w:num>
  <w:num w:numId="32">
    <w:abstractNumId w:val="0"/>
  </w:num>
  <w:num w:numId="33">
    <w:abstractNumId w:val="0"/>
  </w:num>
  <w:num w:numId="34">
    <w:abstractNumId w:val="0"/>
  </w:num>
  <w:num w:numId="35">
    <w:abstractNumId w:val="0"/>
    <w:lvlOverride w:ilvl="0">
      <w:startOverride w:val="1"/>
    </w:lvlOverride>
  </w:num>
  <w:num w:numId="36">
    <w:abstractNumId w:val="0"/>
    <w:lvlOverride w:ilvl="0">
      <w:startOverride w:val="1"/>
    </w:lvlOverride>
  </w:num>
  <w:num w:numId="37">
    <w:abstractNumId w:val="0"/>
  </w:num>
  <w:num w:numId="38">
    <w:abstractNumId w:val="0"/>
  </w:num>
  <w:num w:numId="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966"/>
    <w:rsid w:val="0000209F"/>
    <w:rsid w:val="00005CE1"/>
    <w:rsid w:val="00006779"/>
    <w:rsid w:val="000110DF"/>
    <w:rsid w:val="00015D2C"/>
    <w:rsid w:val="00026D10"/>
    <w:rsid w:val="00030714"/>
    <w:rsid w:val="00035137"/>
    <w:rsid w:val="000352E9"/>
    <w:rsid w:val="00040055"/>
    <w:rsid w:val="000413C7"/>
    <w:rsid w:val="0004303F"/>
    <w:rsid w:val="00043088"/>
    <w:rsid w:val="00062DEF"/>
    <w:rsid w:val="000747EE"/>
    <w:rsid w:val="000753DD"/>
    <w:rsid w:val="00082A09"/>
    <w:rsid w:val="00086E2E"/>
    <w:rsid w:val="0009179D"/>
    <w:rsid w:val="000923A0"/>
    <w:rsid w:val="00097D2B"/>
    <w:rsid w:val="000A1349"/>
    <w:rsid w:val="000A3AF5"/>
    <w:rsid w:val="000A72BD"/>
    <w:rsid w:val="000B0B53"/>
    <w:rsid w:val="000B207E"/>
    <w:rsid w:val="000B625D"/>
    <w:rsid w:val="000D43BB"/>
    <w:rsid w:val="000D5F04"/>
    <w:rsid w:val="000E20D7"/>
    <w:rsid w:val="000E65E2"/>
    <w:rsid w:val="000E6A0C"/>
    <w:rsid w:val="000F2DAA"/>
    <w:rsid w:val="001018A8"/>
    <w:rsid w:val="0010371C"/>
    <w:rsid w:val="001135AE"/>
    <w:rsid w:val="00113701"/>
    <w:rsid w:val="001175BF"/>
    <w:rsid w:val="00120966"/>
    <w:rsid w:val="00130FFE"/>
    <w:rsid w:val="001341EE"/>
    <w:rsid w:val="001360C3"/>
    <w:rsid w:val="00151749"/>
    <w:rsid w:val="00151E69"/>
    <w:rsid w:val="001703AC"/>
    <w:rsid w:val="0017047E"/>
    <w:rsid w:val="00194294"/>
    <w:rsid w:val="00196D6A"/>
    <w:rsid w:val="001A2C5C"/>
    <w:rsid w:val="001A313B"/>
    <w:rsid w:val="001B326F"/>
    <w:rsid w:val="001B4E63"/>
    <w:rsid w:val="001C6AE2"/>
    <w:rsid w:val="001E0A32"/>
    <w:rsid w:val="00213C2A"/>
    <w:rsid w:val="0021465C"/>
    <w:rsid w:val="00221BEE"/>
    <w:rsid w:val="00224FF0"/>
    <w:rsid w:val="002432B5"/>
    <w:rsid w:val="00252011"/>
    <w:rsid w:val="00252E1B"/>
    <w:rsid w:val="00255378"/>
    <w:rsid w:val="00257929"/>
    <w:rsid w:val="002621E6"/>
    <w:rsid w:val="00262C05"/>
    <w:rsid w:val="00274A68"/>
    <w:rsid w:val="00274AC2"/>
    <w:rsid w:val="00275CF7"/>
    <w:rsid w:val="00276BD2"/>
    <w:rsid w:val="0027770A"/>
    <w:rsid w:val="0028003F"/>
    <w:rsid w:val="002852B4"/>
    <w:rsid w:val="00285492"/>
    <w:rsid w:val="0028663C"/>
    <w:rsid w:val="002A6654"/>
    <w:rsid w:val="002A7D71"/>
    <w:rsid w:val="002B6170"/>
    <w:rsid w:val="002C23B3"/>
    <w:rsid w:val="002D614F"/>
    <w:rsid w:val="002D671F"/>
    <w:rsid w:val="002E1096"/>
    <w:rsid w:val="002E3F6A"/>
    <w:rsid w:val="002F7D2D"/>
    <w:rsid w:val="00305D38"/>
    <w:rsid w:val="0030608B"/>
    <w:rsid w:val="00332900"/>
    <w:rsid w:val="003528B3"/>
    <w:rsid w:val="003536DF"/>
    <w:rsid w:val="003626D6"/>
    <w:rsid w:val="00364396"/>
    <w:rsid w:val="00367A5D"/>
    <w:rsid w:val="00372064"/>
    <w:rsid w:val="003724F0"/>
    <w:rsid w:val="00376E07"/>
    <w:rsid w:val="00385E38"/>
    <w:rsid w:val="003A044C"/>
    <w:rsid w:val="003A1437"/>
    <w:rsid w:val="003A58C8"/>
    <w:rsid w:val="003C1A10"/>
    <w:rsid w:val="003C33B3"/>
    <w:rsid w:val="003D2C3B"/>
    <w:rsid w:val="003F5E84"/>
    <w:rsid w:val="004205EA"/>
    <w:rsid w:val="004270BF"/>
    <w:rsid w:val="00427D5E"/>
    <w:rsid w:val="0043635E"/>
    <w:rsid w:val="00444067"/>
    <w:rsid w:val="00454B91"/>
    <w:rsid w:val="00454D93"/>
    <w:rsid w:val="00456ED7"/>
    <w:rsid w:val="0047410B"/>
    <w:rsid w:val="0048037F"/>
    <w:rsid w:val="00482F81"/>
    <w:rsid w:val="004844EC"/>
    <w:rsid w:val="004B0878"/>
    <w:rsid w:val="004B49E8"/>
    <w:rsid w:val="004B7F9A"/>
    <w:rsid w:val="004C4EBB"/>
    <w:rsid w:val="004E35E3"/>
    <w:rsid w:val="00500376"/>
    <w:rsid w:val="005025B0"/>
    <w:rsid w:val="0054080C"/>
    <w:rsid w:val="00550FE0"/>
    <w:rsid w:val="005535CF"/>
    <w:rsid w:val="005636B1"/>
    <w:rsid w:val="00577DCF"/>
    <w:rsid w:val="00580A34"/>
    <w:rsid w:val="00585350"/>
    <w:rsid w:val="005A0559"/>
    <w:rsid w:val="005B3B5D"/>
    <w:rsid w:val="005B57B2"/>
    <w:rsid w:val="005B7ECD"/>
    <w:rsid w:val="005C6E68"/>
    <w:rsid w:val="005D6B0A"/>
    <w:rsid w:val="005E0053"/>
    <w:rsid w:val="005E02C5"/>
    <w:rsid w:val="005E502C"/>
    <w:rsid w:val="005F1DDE"/>
    <w:rsid w:val="005F5503"/>
    <w:rsid w:val="00613F28"/>
    <w:rsid w:val="006167B5"/>
    <w:rsid w:val="00627AE4"/>
    <w:rsid w:val="006302DA"/>
    <w:rsid w:val="0063157F"/>
    <w:rsid w:val="00631B10"/>
    <w:rsid w:val="00642123"/>
    <w:rsid w:val="00650708"/>
    <w:rsid w:val="006542BC"/>
    <w:rsid w:val="00655C68"/>
    <w:rsid w:val="00663523"/>
    <w:rsid w:val="00663B3D"/>
    <w:rsid w:val="006742D3"/>
    <w:rsid w:val="006802B3"/>
    <w:rsid w:val="00692287"/>
    <w:rsid w:val="00694021"/>
    <w:rsid w:val="006A32A1"/>
    <w:rsid w:val="006A7141"/>
    <w:rsid w:val="006A77F6"/>
    <w:rsid w:val="006B2428"/>
    <w:rsid w:val="006B6500"/>
    <w:rsid w:val="006C311D"/>
    <w:rsid w:val="006D001E"/>
    <w:rsid w:val="006D09D9"/>
    <w:rsid w:val="006D1059"/>
    <w:rsid w:val="006D5B19"/>
    <w:rsid w:val="006E1E60"/>
    <w:rsid w:val="006F1F23"/>
    <w:rsid w:val="00724C7F"/>
    <w:rsid w:val="007269F5"/>
    <w:rsid w:val="007274D0"/>
    <w:rsid w:val="00735EF8"/>
    <w:rsid w:val="00740FAE"/>
    <w:rsid w:val="00743E30"/>
    <w:rsid w:val="00745852"/>
    <w:rsid w:val="00746776"/>
    <w:rsid w:val="00746FFD"/>
    <w:rsid w:val="00755571"/>
    <w:rsid w:val="00762982"/>
    <w:rsid w:val="0076723F"/>
    <w:rsid w:val="0078142B"/>
    <w:rsid w:val="00796090"/>
    <w:rsid w:val="007A0ACB"/>
    <w:rsid w:val="007B29E5"/>
    <w:rsid w:val="007B55EF"/>
    <w:rsid w:val="007B5CED"/>
    <w:rsid w:val="007B7EE0"/>
    <w:rsid w:val="007E0067"/>
    <w:rsid w:val="007E2F18"/>
    <w:rsid w:val="007F4187"/>
    <w:rsid w:val="008045FC"/>
    <w:rsid w:val="008059C7"/>
    <w:rsid w:val="00807C2E"/>
    <w:rsid w:val="00830D8E"/>
    <w:rsid w:val="00835EC7"/>
    <w:rsid w:val="00841556"/>
    <w:rsid w:val="00841FA1"/>
    <w:rsid w:val="008426E1"/>
    <w:rsid w:val="008567BB"/>
    <w:rsid w:val="00857FED"/>
    <w:rsid w:val="008732D2"/>
    <w:rsid w:val="008742FA"/>
    <w:rsid w:val="008814C0"/>
    <w:rsid w:val="00883001"/>
    <w:rsid w:val="0089660A"/>
    <w:rsid w:val="008A14F4"/>
    <w:rsid w:val="008A4D59"/>
    <w:rsid w:val="008B07C9"/>
    <w:rsid w:val="008B7149"/>
    <w:rsid w:val="008C2573"/>
    <w:rsid w:val="008C6BF8"/>
    <w:rsid w:val="008E08FD"/>
    <w:rsid w:val="008E5F8D"/>
    <w:rsid w:val="008F507C"/>
    <w:rsid w:val="00902249"/>
    <w:rsid w:val="009159D9"/>
    <w:rsid w:val="00923F94"/>
    <w:rsid w:val="00932A0F"/>
    <w:rsid w:val="0094036E"/>
    <w:rsid w:val="00945831"/>
    <w:rsid w:val="00954701"/>
    <w:rsid w:val="009732AE"/>
    <w:rsid w:val="0097550D"/>
    <w:rsid w:val="00981DC9"/>
    <w:rsid w:val="00982817"/>
    <w:rsid w:val="0098412A"/>
    <w:rsid w:val="009848AE"/>
    <w:rsid w:val="00992F9C"/>
    <w:rsid w:val="009A493A"/>
    <w:rsid w:val="009A66EE"/>
    <w:rsid w:val="009B05AF"/>
    <w:rsid w:val="009B0E79"/>
    <w:rsid w:val="009B2A4B"/>
    <w:rsid w:val="009C1E3E"/>
    <w:rsid w:val="009D6D0A"/>
    <w:rsid w:val="009E0637"/>
    <w:rsid w:val="009E6A11"/>
    <w:rsid w:val="009F2A3A"/>
    <w:rsid w:val="00A0251B"/>
    <w:rsid w:val="00A02D43"/>
    <w:rsid w:val="00A25210"/>
    <w:rsid w:val="00A5038E"/>
    <w:rsid w:val="00A5672B"/>
    <w:rsid w:val="00A655DF"/>
    <w:rsid w:val="00A65A8F"/>
    <w:rsid w:val="00A6737D"/>
    <w:rsid w:val="00A72AA0"/>
    <w:rsid w:val="00A81CFF"/>
    <w:rsid w:val="00A91F4A"/>
    <w:rsid w:val="00A9364B"/>
    <w:rsid w:val="00A9530D"/>
    <w:rsid w:val="00AB660A"/>
    <w:rsid w:val="00AC12B0"/>
    <w:rsid w:val="00AC2D0D"/>
    <w:rsid w:val="00AC3EFA"/>
    <w:rsid w:val="00AD0454"/>
    <w:rsid w:val="00AD076C"/>
    <w:rsid w:val="00AE3AAC"/>
    <w:rsid w:val="00AF1578"/>
    <w:rsid w:val="00AF2F56"/>
    <w:rsid w:val="00AF6D36"/>
    <w:rsid w:val="00B0435B"/>
    <w:rsid w:val="00B0452C"/>
    <w:rsid w:val="00B17ADD"/>
    <w:rsid w:val="00B2054D"/>
    <w:rsid w:val="00B445CB"/>
    <w:rsid w:val="00B5092A"/>
    <w:rsid w:val="00B50FBD"/>
    <w:rsid w:val="00B545A8"/>
    <w:rsid w:val="00B61EAA"/>
    <w:rsid w:val="00B64476"/>
    <w:rsid w:val="00B730B5"/>
    <w:rsid w:val="00B736CD"/>
    <w:rsid w:val="00B753E8"/>
    <w:rsid w:val="00B86313"/>
    <w:rsid w:val="00B93F69"/>
    <w:rsid w:val="00BA688C"/>
    <w:rsid w:val="00BB0CC7"/>
    <w:rsid w:val="00BB678B"/>
    <w:rsid w:val="00BC2C8A"/>
    <w:rsid w:val="00BD486B"/>
    <w:rsid w:val="00BE40B3"/>
    <w:rsid w:val="00C0409B"/>
    <w:rsid w:val="00C12BEE"/>
    <w:rsid w:val="00C31310"/>
    <w:rsid w:val="00C6366D"/>
    <w:rsid w:val="00C668D2"/>
    <w:rsid w:val="00C70F59"/>
    <w:rsid w:val="00C74ACE"/>
    <w:rsid w:val="00C74FC2"/>
    <w:rsid w:val="00C90D79"/>
    <w:rsid w:val="00C969B4"/>
    <w:rsid w:val="00CA2749"/>
    <w:rsid w:val="00CB261A"/>
    <w:rsid w:val="00CB42A7"/>
    <w:rsid w:val="00CD1762"/>
    <w:rsid w:val="00CD4C72"/>
    <w:rsid w:val="00CF6EE9"/>
    <w:rsid w:val="00D05A85"/>
    <w:rsid w:val="00D11CA8"/>
    <w:rsid w:val="00D14F02"/>
    <w:rsid w:val="00D45064"/>
    <w:rsid w:val="00D51B6B"/>
    <w:rsid w:val="00D528C0"/>
    <w:rsid w:val="00D57658"/>
    <w:rsid w:val="00D73349"/>
    <w:rsid w:val="00D76774"/>
    <w:rsid w:val="00D814C6"/>
    <w:rsid w:val="00D87267"/>
    <w:rsid w:val="00D97D0B"/>
    <w:rsid w:val="00DA0CDC"/>
    <w:rsid w:val="00DA1BFE"/>
    <w:rsid w:val="00DD1B89"/>
    <w:rsid w:val="00DE4F4C"/>
    <w:rsid w:val="00DE730D"/>
    <w:rsid w:val="00DF435E"/>
    <w:rsid w:val="00DF48BE"/>
    <w:rsid w:val="00DF5CF8"/>
    <w:rsid w:val="00E01673"/>
    <w:rsid w:val="00E03376"/>
    <w:rsid w:val="00E04297"/>
    <w:rsid w:val="00E0701B"/>
    <w:rsid w:val="00E21600"/>
    <w:rsid w:val="00E30A5D"/>
    <w:rsid w:val="00E3413F"/>
    <w:rsid w:val="00E3491C"/>
    <w:rsid w:val="00E37E6C"/>
    <w:rsid w:val="00E54340"/>
    <w:rsid w:val="00E61FAF"/>
    <w:rsid w:val="00E64FA8"/>
    <w:rsid w:val="00E83B5E"/>
    <w:rsid w:val="00E85BAC"/>
    <w:rsid w:val="00E8764A"/>
    <w:rsid w:val="00E90726"/>
    <w:rsid w:val="00E9217F"/>
    <w:rsid w:val="00E939B9"/>
    <w:rsid w:val="00E97106"/>
    <w:rsid w:val="00EB06F0"/>
    <w:rsid w:val="00EB19DE"/>
    <w:rsid w:val="00EC368F"/>
    <w:rsid w:val="00EC3DFB"/>
    <w:rsid w:val="00EC7C09"/>
    <w:rsid w:val="00ED02F5"/>
    <w:rsid w:val="00ED41A0"/>
    <w:rsid w:val="00ED5608"/>
    <w:rsid w:val="00EE18E7"/>
    <w:rsid w:val="00EE7BC4"/>
    <w:rsid w:val="00EF0866"/>
    <w:rsid w:val="00EF25D3"/>
    <w:rsid w:val="00EF7AB5"/>
    <w:rsid w:val="00F05266"/>
    <w:rsid w:val="00F11E41"/>
    <w:rsid w:val="00F20601"/>
    <w:rsid w:val="00F242C9"/>
    <w:rsid w:val="00F4313C"/>
    <w:rsid w:val="00F504FE"/>
    <w:rsid w:val="00F557B8"/>
    <w:rsid w:val="00F57BEF"/>
    <w:rsid w:val="00F62336"/>
    <w:rsid w:val="00F64956"/>
    <w:rsid w:val="00F65032"/>
    <w:rsid w:val="00F85810"/>
    <w:rsid w:val="00F9308E"/>
    <w:rsid w:val="00FA5C2F"/>
    <w:rsid w:val="00FD431E"/>
    <w:rsid w:val="00FE1A15"/>
    <w:rsid w:val="00FE34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47DF48"/>
  <w15:chartTrackingRefBased/>
  <w15:docId w15:val="{08597004-8157-4492-B413-2ACA097D8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F25D3"/>
    <w:pPr>
      <w:numPr>
        <w:numId w:val="4"/>
      </w:numPr>
      <w:snapToGrid w:val="0"/>
      <w:spacing w:beforeLines="50" w:before="50" w:afterLines="50" w:after="50" w:line="560" w:lineRule="exact"/>
      <w:outlineLvl w:val="0"/>
    </w:pPr>
    <w:rPr>
      <w:rFonts w:ascii="宋体" w:eastAsia="宋体" w:hAnsi="宋体"/>
      <w:b/>
      <w:sz w:val="32"/>
      <w:szCs w:val="32"/>
    </w:rPr>
  </w:style>
  <w:style w:type="paragraph" w:styleId="2">
    <w:name w:val="heading 2"/>
    <w:basedOn w:val="a"/>
    <w:next w:val="a"/>
    <w:link w:val="20"/>
    <w:uiPriority w:val="9"/>
    <w:unhideWhenUsed/>
    <w:qFormat/>
    <w:rsid w:val="006A32A1"/>
    <w:pPr>
      <w:numPr>
        <w:numId w:val="5"/>
      </w:numPr>
      <w:adjustRightInd w:val="0"/>
      <w:ind w:left="620" w:firstLine="0"/>
      <w:outlineLvl w:val="1"/>
    </w:pPr>
    <w:rPr>
      <w:rFonts w:ascii="黑体" w:eastAsia="黑体"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5A0559"/>
    <w:rPr>
      <w:rFonts w:ascii="宋体" w:eastAsia="宋体" w:hAnsi="Courier New" w:cs="Courier New"/>
      <w:szCs w:val="21"/>
    </w:rPr>
  </w:style>
  <w:style w:type="character" w:customStyle="1" w:styleId="a4">
    <w:name w:val="纯文本 字符"/>
    <w:basedOn w:val="a0"/>
    <w:link w:val="a3"/>
    <w:rsid w:val="005A0559"/>
    <w:rPr>
      <w:rFonts w:ascii="宋体" w:eastAsia="宋体" w:hAnsi="Courier New" w:cs="Courier New"/>
      <w:szCs w:val="21"/>
    </w:rPr>
  </w:style>
  <w:style w:type="paragraph" w:styleId="a5">
    <w:name w:val="Balloon Text"/>
    <w:basedOn w:val="a"/>
    <w:link w:val="a6"/>
    <w:uiPriority w:val="99"/>
    <w:semiHidden/>
    <w:unhideWhenUsed/>
    <w:rsid w:val="000747EE"/>
    <w:rPr>
      <w:sz w:val="18"/>
      <w:szCs w:val="18"/>
    </w:rPr>
  </w:style>
  <w:style w:type="character" w:customStyle="1" w:styleId="a6">
    <w:name w:val="批注框文本 字符"/>
    <w:basedOn w:val="a0"/>
    <w:link w:val="a5"/>
    <w:uiPriority w:val="99"/>
    <w:semiHidden/>
    <w:rsid w:val="000747EE"/>
    <w:rPr>
      <w:sz w:val="18"/>
      <w:szCs w:val="18"/>
    </w:rPr>
  </w:style>
  <w:style w:type="character" w:customStyle="1" w:styleId="10">
    <w:name w:val="标题 1 字符"/>
    <w:basedOn w:val="a0"/>
    <w:link w:val="1"/>
    <w:uiPriority w:val="9"/>
    <w:rsid w:val="00EF25D3"/>
    <w:rPr>
      <w:rFonts w:ascii="宋体" w:eastAsia="宋体" w:hAnsi="宋体"/>
      <w:b/>
      <w:sz w:val="32"/>
      <w:szCs w:val="32"/>
    </w:rPr>
  </w:style>
  <w:style w:type="character" w:customStyle="1" w:styleId="20">
    <w:name w:val="标题 2 字符"/>
    <w:basedOn w:val="a0"/>
    <w:link w:val="2"/>
    <w:uiPriority w:val="9"/>
    <w:rsid w:val="006A32A1"/>
    <w:rPr>
      <w:rFonts w:ascii="黑体" w:eastAsia="黑体" w:hAnsiTheme="majorHAnsi" w:cstheme="majorBidi"/>
      <w:bCs/>
      <w:sz w:val="32"/>
      <w:szCs w:val="32"/>
    </w:rPr>
  </w:style>
  <w:style w:type="paragraph" w:styleId="a7">
    <w:name w:val="header"/>
    <w:basedOn w:val="a"/>
    <w:link w:val="a8"/>
    <w:uiPriority w:val="99"/>
    <w:unhideWhenUsed/>
    <w:rsid w:val="00482F81"/>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482F81"/>
    <w:rPr>
      <w:sz w:val="18"/>
      <w:szCs w:val="18"/>
    </w:rPr>
  </w:style>
  <w:style w:type="paragraph" w:styleId="a9">
    <w:name w:val="footer"/>
    <w:basedOn w:val="a"/>
    <w:link w:val="aa"/>
    <w:uiPriority w:val="99"/>
    <w:unhideWhenUsed/>
    <w:rsid w:val="00482F81"/>
    <w:pPr>
      <w:tabs>
        <w:tab w:val="center" w:pos="4153"/>
        <w:tab w:val="right" w:pos="8306"/>
      </w:tabs>
      <w:snapToGrid w:val="0"/>
      <w:jc w:val="left"/>
    </w:pPr>
    <w:rPr>
      <w:sz w:val="18"/>
      <w:szCs w:val="18"/>
    </w:rPr>
  </w:style>
  <w:style w:type="character" w:customStyle="1" w:styleId="aa">
    <w:name w:val="页脚 字符"/>
    <w:basedOn w:val="a0"/>
    <w:link w:val="a9"/>
    <w:uiPriority w:val="99"/>
    <w:rsid w:val="00482F8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404</TotalTime>
  <Pages>7</Pages>
  <Words>476</Words>
  <Characters>2714</Characters>
  <Application>Microsoft Office Word</Application>
  <DocSecurity>0</DocSecurity>
  <Lines>22</Lines>
  <Paragraphs>6</Paragraphs>
  <ScaleCrop>false</ScaleCrop>
  <Company/>
  <LinksUpToDate>false</LinksUpToDate>
  <CharactersWithSpaces>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 晨</dc:creator>
  <cp:keywords/>
  <dc:description/>
  <cp:lastModifiedBy>Tian</cp:lastModifiedBy>
  <cp:revision>33</cp:revision>
  <cp:lastPrinted>2026-09-02T03:44:00Z</cp:lastPrinted>
  <dcterms:created xsi:type="dcterms:W3CDTF">2025-09-02T09:34:00Z</dcterms:created>
  <dcterms:modified xsi:type="dcterms:W3CDTF">2026-09-02T06:11:00Z</dcterms:modified>
</cp:coreProperties>
</file>

<file path=docProps/custom.xml><?xml version="1.0" encoding="utf-8"?>
<Properties xmlns="http://schemas.openxmlformats.org/officeDocument/2006/custom-properties" xmlns:vt="http://schemas.openxmlformats.org/officeDocument/2006/docPropsVTypes">
  <property fmtid="{5B77E7CE-EC58-BC6A-FAE8-886BEB80DBEB}" pid="2" name="5B77E7CEEC58BC6AFAE8886BEB80DBEB">
    <vt:lpwstr>otCYQxs9Dbw2bUEn/Soxv9pYAoWsCRIsU8+gIbxzzmNcJN13+qHIPyWmbF9hFzPHyi2m8DLwi54E5OVVM5pJ0yGmgAiYTaR6oYUdYZxdjep6I9xviFUFZ9aTScfBW9OGOlnXc/IZb8R7rEPwsVajvJWoRUCxKFR5kEelwxGKH73EvrLu03CX8HCSr5ExfkUOdl4eJXQeOBRef64zyQ52gHLZmX9jO/v2tag5EiQ3d3FSeqic6TydfIuu2ByT837dpCScyiJFaWs33qZWqW8ZxvNDkmOlno2NABuZ8qHkqLu0EqhGtXOnrufYEGeNR86EkJI/3YHWKb1zGMVOHvLxksjnTB7zG4U5xM9LbcvqfJROHbqqSUkOFFD9alVXkgUjdUYn8APk9TNLpmNIs2LbK4CG51VAPFcP0OadgMS10/PS3vugtMjl2kRKHjDNBcyd+OvRgoy+qpvm+3lYofHk37GBIYX/aaSCt5j6M2HUN7Gw3WIPa8q9soffmhRitWwnCtO0r9cFzs0k/D0LO95QtxCLX0W2QRrnv1B3qC8XzBJmwuhIp6n0WTSOAzmYn4Wi5mznM2Of6vP6+TUQsKLzZe0jRJwMpSg44TnzMVGaU0GNymiCpbPslJxrt9eqH+yH</vt:lpwstr>
  </property>
</Properties>
</file>