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4C60" w:rsidRDefault="000873EA">
      <w:pPr>
        <w:spacing w:beforeLines="50" w:before="156" w:afterLines="50" w:after="156" w:line="400" w:lineRule="exact"/>
        <w:jc w:val="center"/>
        <w:rPr>
          <w:rFonts w:ascii="Times New Roman" w:eastAsia="宋体" w:hAnsi="Times New Roman" w:cs="Times New Roman"/>
          <w:b/>
          <w:bCs/>
          <w:iCs/>
          <w:sz w:val="32"/>
          <w:szCs w:val="32"/>
        </w:rPr>
      </w:pPr>
      <w:r>
        <w:rPr>
          <w:rFonts w:ascii="Times New Roman" w:eastAsia="宋体" w:hAnsi="Times New Roman" w:cs="Times New Roman" w:hint="eastAsia"/>
          <w:b/>
          <w:bCs/>
          <w:iCs/>
          <w:sz w:val="32"/>
          <w:szCs w:val="32"/>
        </w:rPr>
        <w:t>中国核电</w:t>
      </w:r>
      <w:r>
        <w:rPr>
          <w:rFonts w:ascii="Times New Roman" w:eastAsia="宋体" w:hAnsi="Times New Roman" w:cs="Times New Roman"/>
          <w:b/>
          <w:bCs/>
          <w:iCs/>
          <w:sz w:val="32"/>
          <w:szCs w:val="32"/>
        </w:rPr>
        <w:t>2026</w:t>
      </w:r>
      <w:r>
        <w:rPr>
          <w:rFonts w:ascii="Times New Roman" w:eastAsia="宋体" w:hAnsi="Times New Roman" w:cs="Times New Roman" w:hint="eastAsia"/>
          <w:b/>
          <w:bCs/>
          <w:iCs/>
          <w:sz w:val="32"/>
          <w:szCs w:val="32"/>
        </w:rPr>
        <w:t>年半年度业绩说明会会议记录表</w:t>
      </w:r>
    </w:p>
    <w:p w:rsidR="00154C60" w:rsidRDefault="000873EA">
      <w:pPr>
        <w:spacing w:line="400" w:lineRule="exact"/>
        <w:rPr>
          <w:rFonts w:ascii="Times New Roman" w:eastAsia="宋体" w:hAnsi="Times New Roman" w:cs="Times New Roman"/>
          <w:bCs/>
          <w:iCs/>
          <w:sz w:val="24"/>
          <w:szCs w:val="24"/>
        </w:rPr>
      </w:pPr>
      <w:r>
        <w:rPr>
          <w:rFonts w:ascii="Times New Roman" w:eastAsia="宋体" w:hAnsi="Times New Roman" w:cs="Times New Roman"/>
          <w:bCs/>
          <w:iCs/>
          <w:sz w:val="24"/>
          <w:szCs w:val="24"/>
        </w:rPr>
        <w:t xml:space="preserve">                                                       </w:t>
      </w:r>
      <w:r>
        <w:rPr>
          <w:rFonts w:ascii="Times New Roman" w:eastAsia="宋体" w:hAnsi="Times New Roman" w:cs="Times New Roman"/>
          <w:bCs/>
          <w:iCs/>
          <w:sz w:val="24"/>
          <w:szCs w:val="24"/>
        </w:rPr>
        <w:t>编号：</w:t>
      </w:r>
      <w:r>
        <w:rPr>
          <w:rFonts w:ascii="Times New Roman" w:eastAsia="宋体" w:hAnsi="Times New Roman" w:cs="Times New Roman"/>
          <w:bCs/>
          <w:iCs/>
          <w:sz w:val="24"/>
          <w:szCs w:val="24"/>
        </w:rPr>
        <w:t>2026-02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5"/>
        <w:gridCol w:w="6741"/>
      </w:tblGrid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投资者关系活动类别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特定对象调研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分析师会议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bookmarkStart w:id="0" w:name="OLE_LINK2"/>
            <w:bookmarkStart w:id="1" w:name="OLE_LINK3"/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bookmarkEnd w:id="0"/>
            <w:bookmarkEnd w:id="1"/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媒体采访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业绩发布会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新闻发布会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路演活动</w:t>
            </w:r>
          </w:p>
          <w:p w:rsidR="00154C60" w:rsidRDefault="000873EA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现场参观</w:t>
            </w:r>
          </w:p>
          <w:p w:rsidR="00154C60" w:rsidRDefault="000873EA">
            <w:pPr>
              <w:tabs>
                <w:tab w:val="center" w:pos="3199"/>
              </w:tabs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其他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活动时间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026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31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日</w:t>
            </w:r>
          </w:p>
        </w:tc>
      </w:tr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方式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举办电话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+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网络业绩交流会</w:t>
            </w:r>
          </w:p>
        </w:tc>
      </w:tr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>
            <w:pPr>
              <w:spacing w:line="480" w:lineRule="atLeast"/>
              <w:jc w:val="center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上市公司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参会人员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中国核能电力股份有限公司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总会计师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刘焕冰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董事会秘书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张红军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证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资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部主任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李兴雷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电力营销部副主任（主持工作）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贾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朋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财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资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部主任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施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庆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证券事务代表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姜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静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证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资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部主管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 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穆思齐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中核汇能有限公司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资本运营部副主任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郝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蕴</w:t>
            </w:r>
          </w:p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财务部主管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 xml:space="preserve">                 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刘皓祯</w:t>
            </w:r>
          </w:p>
        </w:tc>
      </w:tr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>
            <w:pPr>
              <w:spacing w:line="480" w:lineRule="atLeast"/>
              <w:jc w:val="center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参会投资者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长江证券、中信证券、华宝基金、理成资产、嘉实基金、泰康资产、华富基金、国泰海通、霸菱资产、天风证券、建信基金、远信私募、宏利基金、国金证券、招商证券、交银施罗德基金、汇丰晋信基金、中意资产、泰康基金、华泰证券、兴华基金等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78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人</w:t>
            </w:r>
          </w:p>
        </w:tc>
      </w:tr>
      <w:tr w:rsidR="00154C60">
        <w:trPr>
          <w:trHeight w:val="175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投资者关系活动主要内容介绍</w:t>
            </w:r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widowControl/>
              <w:spacing w:line="276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公司主要情况介绍：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年上半年，公司坚守安全底线，持续开展设备可靠性提升，全面推进运行生产可视化建设，确保机组安全稳定运行，上半年实现上网电量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1,151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亿度；核电运行业绩继续保持行业领先，上半年预测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台机组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WANO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综合指数满分，圆满完成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次大修。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公司聚焦“十五五”规划目标要求，按照每年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台机组具备核准条件的目标全力推进；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日辽宁庄河核电项目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号机组和浙江金七门核电项目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号机组获得国家核准。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公司核电工程建设稳步推进，各在建项目高质量精细化管控目标整体受控。上半年漳州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号机组实现商业运行；徐圩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号、金七门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号机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组顺利实现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FCD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公司坚持非核清洁能源高质量发展，上半年新增在运装机容量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136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万千瓦，较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年同期（新增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362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万千瓦）有所放缓；公司积极调整产业结构，上半年新获新能源指标中，风光比例为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6:1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，风电指标占比持续提升。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上半年，公司实现营业收入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383.98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亿元，归母净利润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36.41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亿元；其中核电实现归母净利润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39.79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亿元，主要原因为市场化电价下降、大修同比增加、增值税返还减少等；核电上半年综合电价为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0.3798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度，同比下降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0.0162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度，降幅约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4.09%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，市场化交易电量约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650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亿度，约占上网电量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的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71%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，市场化电价为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0.3696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度，同比下降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0.0250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度，降幅约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6.33%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；上半年公司完成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次大修，同比增加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次，大修费用同比增加约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6.60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亿元；上半年部分核电机组脱离增值税返还优惠期，增值税返还额度同比减少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3.90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亿元，下降约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24.37%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上半年公司新能源业务实现归母净利润为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-3.37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亿元，同比下降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198.05%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，主要原因为电价下行与限电率提升、营业成本增加、汇能归母利润减少等；上半年公司新能源综合电价为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0.3442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度，同比下降约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0.0410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度，上半年平均限电率约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23.52%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，同比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增加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6.12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个百分点；营业成本同比增加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9.44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亿元，同比增长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22.48%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，其中固定资产折旧费用为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39.58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亿元，同比增长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8.80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亿元，增幅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28.59%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，占营业成本增加额的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93.22%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；此外中核汇能于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2025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年末发行三期类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REITs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产品，同时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年发行公募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REITs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，少数股东占比增加，中核汇能归属于股东利润进一步下降。</w:t>
            </w:r>
          </w:p>
          <w:p w:rsidR="00154C60" w:rsidRDefault="000873EA">
            <w:pPr>
              <w:widowControl/>
              <w:spacing w:line="276" w:lineRule="auto"/>
              <w:ind w:firstLineChars="200" w:firstLine="48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公司一直高度重视股东回报。公司计划实施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年中期现金分红每股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元；同时，公司计划自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026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日起，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个月内进行股份回购，拟回购金额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至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t>亿元。未来，公司</w:t>
            </w:r>
            <w:r>
              <w:rPr>
                <w:rFonts w:ascii="Times New Roman" w:hAnsi="Times New Roman" w:cs="Times New Roman" w:hint="eastAsia"/>
                <w:bCs/>
                <w:color w:val="000000" w:themeColor="text1"/>
                <w:sz w:val="24"/>
                <w:szCs w:val="24"/>
              </w:rPr>
              <w:lastRenderedPageBreak/>
              <w:t>将持续通过股份回购、现金分红等多种方式，切实增强投资者回报。</w:t>
            </w:r>
          </w:p>
          <w:p w:rsidR="00154C60" w:rsidRDefault="000873EA">
            <w:pPr>
              <w:widowControl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问答环节：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、公司上半年核电与新能源市场化交易情况如何？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答：公司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2026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年上半年核电市场化交易电量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650.99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亿度，约占上网电量的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71%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；平均市场电价约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0.3696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度，同比下降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0.0250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度。除秦山、江苏外，基本维持在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0.37-0.38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度的水平。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公司新能源上半年市场化电量为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188.84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亿度，占比约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86.78%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，优先保障电量为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34.68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亿度，占比约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16%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。公司新能源市场化电价含税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0.2563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度，同比下降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0.0234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度，其中：风电平均市场电价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0.2652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度，光伏平均市场电价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0.2486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度。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、福清核电净利润同比降幅比较大，请问是什么原因？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答：福清核电净利润下降主要原因为大修同比增多、上网电量下降、市场化电价下降、增值税返还减少等。具体来讲：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上半年福清核电完成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2/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号四个机组大修，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025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年同期没有安排大修，营业成本同比大幅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增加，上网电量同比减少</w:t>
            </w:r>
            <w:r>
              <w:rPr>
                <w:rFonts w:ascii="Segoe UI Symbol" w:eastAsia="宋体" w:hAnsi="Segoe UI Symbol" w:cs="Segoe UI Symbol" w:hint="eastAsia"/>
                <w:bCs/>
                <w:iCs/>
                <w:sz w:val="24"/>
                <w:szCs w:val="24"/>
              </w:rPr>
              <w:t>约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亿度；福清核电全部电量参与福建省市场化交易，上半年平均上网电价约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.37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度，同比下降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0.0121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元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/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度；福清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号机组已满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年，开始计提乏燃料处置费用；福清核电部分机组增值税返还退坡，返还金额同比减少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.34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亿元。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、公司新能源补贴到位情况？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答：上半年公司收回国补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7.69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亿元，较同期大幅增加。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、公司对核电新项目核准预期如何？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答：公司上半年获得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台核电机组核准，占全国核准台数的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0%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。公司预计十五五期间国家保持每年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8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至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台核准节奏，公司的目标是获得核准台数不低于同行。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、公司下半年核电机组大修情况？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答：公司计划下半年完成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次大修。公司原计划全年完成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次大修，上半年已完成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10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次，下半年其中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次大修调整至明年年初实施，因此下半年计划完成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4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次大修。</w:t>
            </w:r>
          </w:p>
          <w:p w:rsidR="00154C60" w:rsidRDefault="000873EA">
            <w:pPr>
              <w:spacing w:line="276" w:lineRule="auto"/>
              <w:ind w:firstLineChars="200" w:firstLine="482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6</w:t>
            </w:r>
            <w:r>
              <w:rPr>
                <w:rFonts w:ascii="Times New Roman" w:eastAsia="宋体" w:hAnsi="Times New Roman" w:cs="Times New Roman" w:hint="eastAsia"/>
                <w:b/>
                <w:bCs/>
                <w:iCs/>
                <w:sz w:val="24"/>
                <w:szCs w:val="24"/>
              </w:rPr>
              <w:t>、公司在建核电项目进展如何？</w:t>
            </w:r>
          </w:p>
          <w:p w:rsidR="00154C60" w:rsidRDefault="000873EA">
            <w:pPr>
              <w:spacing w:line="276" w:lineRule="auto"/>
              <w:ind w:firstLineChars="200" w:firstLine="480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答：公司控股田湾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7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号核电机组（装机容量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26.5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万千瓦）计划于下半年具备商运条件；海南核电小堆机组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预计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027</w:t>
            </w:r>
            <w:r>
              <w:rPr>
                <w:rFonts w:ascii="Times New Roman" w:eastAsia="宋体" w:hAnsi="Times New Roman" w:cs="Times New Roman" w:hint="eastAsia"/>
                <w:bCs/>
                <w:iCs/>
                <w:sz w:val="24"/>
                <w:szCs w:val="24"/>
              </w:rPr>
              <w:t>年初投产。</w:t>
            </w:r>
          </w:p>
        </w:tc>
      </w:tr>
      <w:tr w:rsidR="00154C60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C60" w:rsidRDefault="000873EA" w:rsidP="000873EA">
            <w:pPr>
              <w:spacing w:line="480" w:lineRule="atLeast"/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附件清单</w:t>
            </w:r>
            <w:bookmarkStart w:id="2" w:name="_GoBack"/>
            <w:bookmarkEnd w:id="2"/>
          </w:p>
        </w:tc>
        <w:tc>
          <w:tcPr>
            <w:tcW w:w="6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C60" w:rsidRDefault="000873EA">
            <w:pPr>
              <w:spacing w:line="480" w:lineRule="atLeast"/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bCs/>
                <w:iCs/>
                <w:sz w:val="24"/>
                <w:szCs w:val="24"/>
              </w:rPr>
              <w:t>无</w:t>
            </w:r>
          </w:p>
        </w:tc>
      </w:tr>
    </w:tbl>
    <w:p w:rsidR="00154C60" w:rsidRDefault="00154C60" w:rsidP="000873EA">
      <w:pPr>
        <w:rPr>
          <w:rFonts w:ascii="Times New Roman" w:hAnsi="Times New Roman" w:cs="Times New Roman"/>
        </w:rPr>
      </w:pPr>
    </w:p>
    <w:sectPr w:rsidR="00154C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9D8"/>
    <w:rsid w:val="00010907"/>
    <w:rsid w:val="000149D7"/>
    <w:rsid w:val="0001788E"/>
    <w:rsid w:val="00030D95"/>
    <w:rsid w:val="0003618C"/>
    <w:rsid w:val="0004071F"/>
    <w:rsid w:val="00041F4C"/>
    <w:rsid w:val="000422DC"/>
    <w:rsid w:val="00047D91"/>
    <w:rsid w:val="00057D05"/>
    <w:rsid w:val="000622A2"/>
    <w:rsid w:val="00073797"/>
    <w:rsid w:val="0008504C"/>
    <w:rsid w:val="000873EA"/>
    <w:rsid w:val="000A079B"/>
    <w:rsid w:val="000A56DF"/>
    <w:rsid w:val="000A7A8A"/>
    <w:rsid w:val="000B1A00"/>
    <w:rsid w:val="000B68A5"/>
    <w:rsid w:val="000D1688"/>
    <w:rsid w:val="000D6BB6"/>
    <w:rsid w:val="000E25CE"/>
    <w:rsid w:val="000E62B5"/>
    <w:rsid w:val="000F1107"/>
    <w:rsid w:val="000F54A2"/>
    <w:rsid w:val="000F7748"/>
    <w:rsid w:val="00101505"/>
    <w:rsid w:val="00102698"/>
    <w:rsid w:val="0012593B"/>
    <w:rsid w:val="00126FB1"/>
    <w:rsid w:val="001353E3"/>
    <w:rsid w:val="00141B00"/>
    <w:rsid w:val="00143C3C"/>
    <w:rsid w:val="001474C8"/>
    <w:rsid w:val="00154327"/>
    <w:rsid w:val="00154C60"/>
    <w:rsid w:val="001603AA"/>
    <w:rsid w:val="00160D0B"/>
    <w:rsid w:val="00164608"/>
    <w:rsid w:val="00165BFC"/>
    <w:rsid w:val="00165C1A"/>
    <w:rsid w:val="00171AFB"/>
    <w:rsid w:val="00172A30"/>
    <w:rsid w:val="0017430A"/>
    <w:rsid w:val="001912DA"/>
    <w:rsid w:val="001A03A6"/>
    <w:rsid w:val="001A1252"/>
    <w:rsid w:val="001A20DD"/>
    <w:rsid w:val="001A23A0"/>
    <w:rsid w:val="001A338B"/>
    <w:rsid w:val="001A3760"/>
    <w:rsid w:val="001A6980"/>
    <w:rsid w:val="001A7260"/>
    <w:rsid w:val="001B55CB"/>
    <w:rsid w:val="001B7984"/>
    <w:rsid w:val="001C6B21"/>
    <w:rsid w:val="001C7FC5"/>
    <w:rsid w:val="001D20D9"/>
    <w:rsid w:val="001F5A98"/>
    <w:rsid w:val="0020075F"/>
    <w:rsid w:val="00212678"/>
    <w:rsid w:val="0021453E"/>
    <w:rsid w:val="0021748A"/>
    <w:rsid w:val="002238E7"/>
    <w:rsid w:val="00223BB4"/>
    <w:rsid w:val="00232134"/>
    <w:rsid w:val="0023404A"/>
    <w:rsid w:val="0023637D"/>
    <w:rsid w:val="002407C8"/>
    <w:rsid w:val="0025019E"/>
    <w:rsid w:val="00261527"/>
    <w:rsid w:val="002626D0"/>
    <w:rsid w:val="002662B3"/>
    <w:rsid w:val="0027177D"/>
    <w:rsid w:val="00273C67"/>
    <w:rsid w:val="00275200"/>
    <w:rsid w:val="00275C60"/>
    <w:rsid w:val="00281FDC"/>
    <w:rsid w:val="002831C2"/>
    <w:rsid w:val="00284E35"/>
    <w:rsid w:val="00287258"/>
    <w:rsid w:val="00287627"/>
    <w:rsid w:val="002978CD"/>
    <w:rsid w:val="002A62E8"/>
    <w:rsid w:val="002A6700"/>
    <w:rsid w:val="002B2C18"/>
    <w:rsid w:val="002B79A4"/>
    <w:rsid w:val="002C7441"/>
    <w:rsid w:val="002C7BA4"/>
    <w:rsid w:val="002D2650"/>
    <w:rsid w:val="002D574D"/>
    <w:rsid w:val="002E5EC3"/>
    <w:rsid w:val="002F2BBF"/>
    <w:rsid w:val="002F2FA6"/>
    <w:rsid w:val="002F4053"/>
    <w:rsid w:val="00311F8C"/>
    <w:rsid w:val="003160AB"/>
    <w:rsid w:val="0031635C"/>
    <w:rsid w:val="00321A42"/>
    <w:rsid w:val="00325155"/>
    <w:rsid w:val="003329FF"/>
    <w:rsid w:val="003408D0"/>
    <w:rsid w:val="00340E19"/>
    <w:rsid w:val="00345321"/>
    <w:rsid w:val="003635F4"/>
    <w:rsid w:val="00367C29"/>
    <w:rsid w:val="00374977"/>
    <w:rsid w:val="00374CA3"/>
    <w:rsid w:val="003765D8"/>
    <w:rsid w:val="00384689"/>
    <w:rsid w:val="00384A9E"/>
    <w:rsid w:val="00387A2A"/>
    <w:rsid w:val="00393C72"/>
    <w:rsid w:val="003A2E3B"/>
    <w:rsid w:val="003A3E22"/>
    <w:rsid w:val="003C5723"/>
    <w:rsid w:val="003D5B8A"/>
    <w:rsid w:val="003E276C"/>
    <w:rsid w:val="003E5770"/>
    <w:rsid w:val="003E5EFB"/>
    <w:rsid w:val="003F0879"/>
    <w:rsid w:val="003F2760"/>
    <w:rsid w:val="003F3D8E"/>
    <w:rsid w:val="003F47DD"/>
    <w:rsid w:val="003F6FCD"/>
    <w:rsid w:val="00401B8C"/>
    <w:rsid w:val="00407E3B"/>
    <w:rsid w:val="004103E5"/>
    <w:rsid w:val="00423E78"/>
    <w:rsid w:val="00424112"/>
    <w:rsid w:val="004256C4"/>
    <w:rsid w:val="004278FA"/>
    <w:rsid w:val="00430394"/>
    <w:rsid w:val="00432019"/>
    <w:rsid w:val="00434766"/>
    <w:rsid w:val="00436480"/>
    <w:rsid w:val="00441DBA"/>
    <w:rsid w:val="00451ECD"/>
    <w:rsid w:val="00467F2E"/>
    <w:rsid w:val="0047609F"/>
    <w:rsid w:val="00480D67"/>
    <w:rsid w:val="00486DF5"/>
    <w:rsid w:val="00492E9B"/>
    <w:rsid w:val="004A587A"/>
    <w:rsid w:val="004B13CA"/>
    <w:rsid w:val="004B74E4"/>
    <w:rsid w:val="004B7719"/>
    <w:rsid w:val="004D0E9E"/>
    <w:rsid w:val="004D294C"/>
    <w:rsid w:val="004E3435"/>
    <w:rsid w:val="004E4FFE"/>
    <w:rsid w:val="004F607B"/>
    <w:rsid w:val="004F7DE9"/>
    <w:rsid w:val="00505608"/>
    <w:rsid w:val="00510B4E"/>
    <w:rsid w:val="005136BB"/>
    <w:rsid w:val="00514CDF"/>
    <w:rsid w:val="00537F99"/>
    <w:rsid w:val="0054041A"/>
    <w:rsid w:val="00547D26"/>
    <w:rsid w:val="00552AEA"/>
    <w:rsid w:val="00555F24"/>
    <w:rsid w:val="005575FC"/>
    <w:rsid w:val="00566A25"/>
    <w:rsid w:val="00572C21"/>
    <w:rsid w:val="0057495B"/>
    <w:rsid w:val="005750D4"/>
    <w:rsid w:val="005909CE"/>
    <w:rsid w:val="00594C06"/>
    <w:rsid w:val="00596B59"/>
    <w:rsid w:val="005A43B5"/>
    <w:rsid w:val="005A5C0F"/>
    <w:rsid w:val="005B1D82"/>
    <w:rsid w:val="005C1006"/>
    <w:rsid w:val="005C1D76"/>
    <w:rsid w:val="005C5CD8"/>
    <w:rsid w:val="005D1436"/>
    <w:rsid w:val="005D3226"/>
    <w:rsid w:val="005D3F41"/>
    <w:rsid w:val="00610905"/>
    <w:rsid w:val="00612C82"/>
    <w:rsid w:val="00614C7D"/>
    <w:rsid w:val="00620ADC"/>
    <w:rsid w:val="00625A41"/>
    <w:rsid w:val="00625D7F"/>
    <w:rsid w:val="00631AC3"/>
    <w:rsid w:val="00635FFA"/>
    <w:rsid w:val="0063671C"/>
    <w:rsid w:val="006434B3"/>
    <w:rsid w:val="00643F1A"/>
    <w:rsid w:val="00644559"/>
    <w:rsid w:val="00650329"/>
    <w:rsid w:val="0065134C"/>
    <w:rsid w:val="006567DD"/>
    <w:rsid w:val="00660E3B"/>
    <w:rsid w:val="00664817"/>
    <w:rsid w:val="006662B2"/>
    <w:rsid w:val="00671113"/>
    <w:rsid w:val="00673C5A"/>
    <w:rsid w:val="006846DD"/>
    <w:rsid w:val="0068593B"/>
    <w:rsid w:val="00687D83"/>
    <w:rsid w:val="006902A0"/>
    <w:rsid w:val="006A108D"/>
    <w:rsid w:val="006A312B"/>
    <w:rsid w:val="006A788B"/>
    <w:rsid w:val="006B4EA5"/>
    <w:rsid w:val="006B6F43"/>
    <w:rsid w:val="006C1894"/>
    <w:rsid w:val="006C4127"/>
    <w:rsid w:val="006C4252"/>
    <w:rsid w:val="006D310E"/>
    <w:rsid w:val="006E5390"/>
    <w:rsid w:val="006E5BBF"/>
    <w:rsid w:val="006E7181"/>
    <w:rsid w:val="006F31C2"/>
    <w:rsid w:val="007039D8"/>
    <w:rsid w:val="00712A44"/>
    <w:rsid w:val="00720113"/>
    <w:rsid w:val="00724516"/>
    <w:rsid w:val="00735886"/>
    <w:rsid w:val="0073645F"/>
    <w:rsid w:val="00736718"/>
    <w:rsid w:val="0074238F"/>
    <w:rsid w:val="0074588E"/>
    <w:rsid w:val="007511A5"/>
    <w:rsid w:val="00757BD3"/>
    <w:rsid w:val="0076011A"/>
    <w:rsid w:val="00761635"/>
    <w:rsid w:val="00770900"/>
    <w:rsid w:val="007721C4"/>
    <w:rsid w:val="00773974"/>
    <w:rsid w:val="00783952"/>
    <w:rsid w:val="00790D98"/>
    <w:rsid w:val="007979C8"/>
    <w:rsid w:val="007A5691"/>
    <w:rsid w:val="007A625B"/>
    <w:rsid w:val="007B1BED"/>
    <w:rsid w:val="007B4AFE"/>
    <w:rsid w:val="007D5C9B"/>
    <w:rsid w:val="007D6807"/>
    <w:rsid w:val="007E5B5D"/>
    <w:rsid w:val="007E76B6"/>
    <w:rsid w:val="007E7DE6"/>
    <w:rsid w:val="007F0102"/>
    <w:rsid w:val="007F04A0"/>
    <w:rsid w:val="00802952"/>
    <w:rsid w:val="00804672"/>
    <w:rsid w:val="00813F35"/>
    <w:rsid w:val="00822466"/>
    <w:rsid w:val="0083381B"/>
    <w:rsid w:val="00837C64"/>
    <w:rsid w:val="00840513"/>
    <w:rsid w:val="00840967"/>
    <w:rsid w:val="008458E1"/>
    <w:rsid w:val="00845A8A"/>
    <w:rsid w:val="00852C2B"/>
    <w:rsid w:val="00853FA7"/>
    <w:rsid w:val="00867EB6"/>
    <w:rsid w:val="00870D6B"/>
    <w:rsid w:val="00871800"/>
    <w:rsid w:val="00881B8E"/>
    <w:rsid w:val="008A1D5D"/>
    <w:rsid w:val="008A3252"/>
    <w:rsid w:val="008A7CD1"/>
    <w:rsid w:val="008B4874"/>
    <w:rsid w:val="008C16A8"/>
    <w:rsid w:val="008C38EE"/>
    <w:rsid w:val="008C4195"/>
    <w:rsid w:val="008D1D0E"/>
    <w:rsid w:val="008D22B5"/>
    <w:rsid w:val="008E2634"/>
    <w:rsid w:val="008F6335"/>
    <w:rsid w:val="009020DF"/>
    <w:rsid w:val="0090297B"/>
    <w:rsid w:val="009030C8"/>
    <w:rsid w:val="00904B3B"/>
    <w:rsid w:val="0090573F"/>
    <w:rsid w:val="0091308C"/>
    <w:rsid w:val="0091342D"/>
    <w:rsid w:val="00915FAB"/>
    <w:rsid w:val="00917DF4"/>
    <w:rsid w:val="009231C1"/>
    <w:rsid w:val="009261D2"/>
    <w:rsid w:val="00934555"/>
    <w:rsid w:val="00935FD5"/>
    <w:rsid w:val="009371B4"/>
    <w:rsid w:val="009376E7"/>
    <w:rsid w:val="009442DE"/>
    <w:rsid w:val="00952D58"/>
    <w:rsid w:val="0095759D"/>
    <w:rsid w:val="0096019C"/>
    <w:rsid w:val="00960201"/>
    <w:rsid w:val="009608EE"/>
    <w:rsid w:val="00973124"/>
    <w:rsid w:val="00983485"/>
    <w:rsid w:val="00993862"/>
    <w:rsid w:val="00996FEF"/>
    <w:rsid w:val="009A43B6"/>
    <w:rsid w:val="009A52FF"/>
    <w:rsid w:val="009B01D2"/>
    <w:rsid w:val="009B3671"/>
    <w:rsid w:val="009B52E7"/>
    <w:rsid w:val="009B742E"/>
    <w:rsid w:val="009C1CD9"/>
    <w:rsid w:val="009C6DA6"/>
    <w:rsid w:val="009E4C4C"/>
    <w:rsid w:val="00A03374"/>
    <w:rsid w:val="00A15B3D"/>
    <w:rsid w:val="00A2493F"/>
    <w:rsid w:val="00A2799E"/>
    <w:rsid w:val="00A32C95"/>
    <w:rsid w:val="00A3601A"/>
    <w:rsid w:val="00A37DB8"/>
    <w:rsid w:val="00A40592"/>
    <w:rsid w:val="00A50D1B"/>
    <w:rsid w:val="00A5247C"/>
    <w:rsid w:val="00A5277B"/>
    <w:rsid w:val="00A53473"/>
    <w:rsid w:val="00A6097E"/>
    <w:rsid w:val="00A664C0"/>
    <w:rsid w:val="00A7271E"/>
    <w:rsid w:val="00A74572"/>
    <w:rsid w:val="00A8080C"/>
    <w:rsid w:val="00A904C8"/>
    <w:rsid w:val="00A91A62"/>
    <w:rsid w:val="00A9541B"/>
    <w:rsid w:val="00AA37BD"/>
    <w:rsid w:val="00AB6AC3"/>
    <w:rsid w:val="00AD3F63"/>
    <w:rsid w:val="00AD7518"/>
    <w:rsid w:val="00AE1177"/>
    <w:rsid w:val="00AF283F"/>
    <w:rsid w:val="00AF285E"/>
    <w:rsid w:val="00AF7274"/>
    <w:rsid w:val="00B02394"/>
    <w:rsid w:val="00B11A07"/>
    <w:rsid w:val="00B13239"/>
    <w:rsid w:val="00B2371C"/>
    <w:rsid w:val="00B3439B"/>
    <w:rsid w:val="00B356B7"/>
    <w:rsid w:val="00B359D5"/>
    <w:rsid w:val="00B41B2F"/>
    <w:rsid w:val="00B46CAD"/>
    <w:rsid w:val="00B711C6"/>
    <w:rsid w:val="00B73314"/>
    <w:rsid w:val="00B76B38"/>
    <w:rsid w:val="00B82BD3"/>
    <w:rsid w:val="00B83885"/>
    <w:rsid w:val="00B84493"/>
    <w:rsid w:val="00B86814"/>
    <w:rsid w:val="00BA0D8C"/>
    <w:rsid w:val="00BA4570"/>
    <w:rsid w:val="00BB69D8"/>
    <w:rsid w:val="00BC46A8"/>
    <w:rsid w:val="00BD227B"/>
    <w:rsid w:val="00BD22EC"/>
    <w:rsid w:val="00BD3BF8"/>
    <w:rsid w:val="00BD4BAC"/>
    <w:rsid w:val="00BD6F1A"/>
    <w:rsid w:val="00BF25B8"/>
    <w:rsid w:val="00BF3527"/>
    <w:rsid w:val="00BF69B7"/>
    <w:rsid w:val="00C004E8"/>
    <w:rsid w:val="00C0214A"/>
    <w:rsid w:val="00C03866"/>
    <w:rsid w:val="00C06A97"/>
    <w:rsid w:val="00C147B0"/>
    <w:rsid w:val="00C15642"/>
    <w:rsid w:val="00C17423"/>
    <w:rsid w:val="00C23128"/>
    <w:rsid w:val="00C244D7"/>
    <w:rsid w:val="00C3437F"/>
    <w:rsid w:val="00C34840"/>
    <w:rsid w:val="00C432E1"/>
    <w:rsid w:val="00C43F41"/>
    <w:rsid w:val="00C46B46"/>
    <w:rsid w:val="00C53CD8"/>
    <w:rsid w:val="00C56D7A"/>
    <w:rsid w:val="00C5752B"/>
    <w:rsid w:val="00C63AB7"/>
    <w:rsid w:val="00C66127"/>
    <w:rsid w:val="00C84DE0"/>
    <w:rsid w:val="00C87D4A"/>
    <w:rsid w:val="00C90286"/>
    <w:rsid w:val="00C93C90"/>
    <w:rsid w:val="00C94363"/>
    <w:rsid w:val="00C94DD5"/>
    <w:rsid w:val="00C9711D"/>
    <w:rsid w:val="00C97998"/>
    <w:rsid w:val="00CA63A2"/>
    <w:rsid w:val="00CC1C9A"/>
    <w:rsid w:val="00CE13BC"/>
    <w:rsid w:val="00CE3CE6"/>
    <w:rsid w:val="00D01684"/>
    <w:rsid w:val="00D17E3B"/>
    <w:rsid w:val="00D20AE0"/>
    <w:rsid w:val="00D26E35"/>
    <w:rsid w:val="00D36227"/>
    <w:rsid w:val="00D435A0"/>
    <w:rsid w:val="00D445E2"/>
    <w:rsid w:val="00D47A35"/>
    <w:rsid w:val="00D519AB"/>
    <w:rsid w:val="00D52E63"/>
    <w:rsid w:val="00D53B42"/>
    <w:rsid w:val="00D60473"/>
    <w:rsid w:val="00D61E0A"/>
    <w:rsid w:val="00D61FD7"/>
    <w:rsid w:val="00D62E92"/>
    <w:rsid w:val="00D66280"/>
    <w:rsid w:val="00D70F0A"/>
    <w:rsid w:val="00D73A42"/>
    <w:rsid w:val="00D7416D"/>
    <w:rsid w:val="00D741C6"/>
    <w:rsid w:val="00D765F0"/>
    <w:rsid w:val="00D84A70"/>
    <w:rsid w:val="00D84FE8"/>
    <w:rsid w:val="00D9035C"/>
    <w:rsid w:val="00D925FC"/>
    <w:rsid w:val="00D92C5F"/>
    <w:rsid w:val="00D972C9"/>
    <w:rsid w:val="00DB3290"/>
    <w:rsid w:val="00DB742B"/>
    <w:rsid w:val="00DB7C69"/>
    <w:rsid w:val="00DC0B1D"/>
    <w:rsid w:val="00DC7052"/>
    <w:rsid w:val="00E04EB0"/>
    <w:rsid w:val="00E071AA"/>
    <w:rsid w:val="00E07958"/>
    <w:rsid w:val="00E16AB3"/>
    <w:rsid w:val="00E20313"/>
    <w:rsid w:val="00E24BEA"/>
    <w:rsid w:val="00E33A83"/>
    <w:rsid w:val="00E54C86"/>
    <w:rsid w:val="00E60515"/>
    <w:rsid w:val="00E61BB2"/>
    <w:rsid w:val="00E629E0"/>
    <w:rsid w:val="00E6445D"/>
    <w:rsid w:val="00E64B29"/>
    <w:rsid w:val="00E7391D"/>
    <w:rsid w:val="00E82AE3"/>
    <w:rsid w:val="00E93C1B"/>
    <w:rsid w:val="00E9452B"/>
    <w:rsid w:val="00EA240F"/>
    <w:rsid w:val="00EB2F6C"/>
    <w:rsid w:val="00EB449E"/>
    <w:rsid w:val="00EC1AD8"/>
    <w:rsid w:val="00EC47A6"/>
    <w:rsid w:val="00ED03CC"/>
    <w:rsid w:val="00ED03E0"/>
    <w:rsid w:val="00EE5C28"/>
    <w:rsid w:val="00EE74C9"/>
    <w:rsid w:val="00F1376B"/>
    <w:rsid w:val="00F14B93"/>
    <w:rsid w:val="00F15A87"/>
    <w:rsid w:val="00F21450"/>
    <w:rsid w:val="00F214F0"/>
    <w:rsid w:val="00F24D2C"/>
    <w:rsid w:val="00F31A31"/>
    <w:rsid w:val="00F40985"/>
    <w:rsid w:val="00F41092"/>
    <w:rsid w:val="00F4398F"/>
    <w:rsid w:val="00F44B73"/>
    <w:rsid w:val="00F46FAC"/>
    <w:rsid w:val="00F60329"/>
    <w:rsid w:val="00F75D22"/>
    <w:rsid w:val="00F82229"/>
    <w:rsid w:val="00F849E7"/>
    <w:rsid w:val="00F8630F"/>
    <w:rsid w:val="00F90097"/>
    <w:rsid w:val="00F94280"/>
    <w:rsid w:val="00FD3805"/>
    <w:rsid w:val="00FE7A74"/>
    <w:rsid w:val="00FF41CB"/>
    <w:rsid w:val="00FF4530"/>
    <w:rsid w:val="0A30023C"/>
    <w:rsid w:val="7971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25A61"/>
  <w15:docId w15:val="{ABFEA20C-603A-40E5-B1DA-60BE3C39F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rPr>
      <w:b/>
      <w:bCs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2"/>
    </w:rPr>
  </w:style>
  <w:style w:type="paragraph" w:customStyle="1" w:styleId="10">
    <w:name w:val="样式1"/>
    <w:basedOn w:val="3"/>
    <w:link w:val="1Char"/>
    <w:qFormat/>
    <w:pPr>
      <w:widowControl/>
      <w:spacing w:line="440" w:lineRule="exact"/>
    </w:pPr>
    <w:rPr>
      <w:rFonts w:ascii="微软雅黑" w:eastAsia="微软雅黑" w:hAnsi="微软雅黑"/>
      <w:color w:val="000000" w:themeColor="text1"/>
      <w:sz w:val="28"/>
      <w:szCs w:val="28"/>
    </w:rPr>
  </w:style>
  <w:style w:type="character" w:customStyle="1" w:styleId="1Char">
    <w:name w:val="样式1 Char"/>
    <w:basedOn w:val="30"/>
    <w:link w:val="10"/>
    <w:qFormat/>
    <w:rPr>
      <w:rFonts w:ascii="微软雅黑" w:eastAsia="微软雅黑" w:hAnsi="微软雅黑"/>
      <w:b/>
      <w:bCs/>
      <w:color w:val="000000" w:themeColor="text1"/>
      <w:sz w:val="28"/>
      <w:szCs w:val="28"/>
    </w:rPr>
  </w:style>
  <w:style w:type="character" w:customStyle="1" w:styleId="30">
    <w:name w:val="标题 3 字符"/>
    <w:basedOn w:val="a0"/>
    <w:link w:val="3"/>
    <w:uiPriority w:val="9"/>
    <w:semiHidden/>
    <w:rPr>
      <w:b/>
      <w:bCs/>
      <w:sz w:val="32"/>
      <w:szCs w:val="32"/>
    </w:rPr>
  </w:style>
  <w:style w:type="paragraph" w:customStyle="1" w:styleId="2">
    <w:name w:val="样式2"/>
    <w:basedOn w:val="a"/>
    <w:link w:val="2Char"/>
    <w:qFormat/>
    <w:pPr>
      <w:widowControl/>
      <w:snapToGrid w:val="0"/>
      <w:spacing w:afterLines="100" w:after="312" w:line="240" w:lineRule="atLeast"/>
      <w:contextualSpacing/>
    </w:pPr>
    <w:rPr>
      <w:rFonts w:ascii="微软雅黑" w:eastAsia="微软雅黑" w:hAnsi="微软雅黑"/>
      <w:b/>
      <w:bCs/>
      <w:color w:val="000000" w:themeColor="text1"/>
      <w:sz w:val="28"/>
      <w:szCs w:val="28"/>
    </w:rPr>
  </w:style>
  <w:style w:type="character" w:customStyle="1" w:styleId="2Char">
    <w:name w:val="样式2 Char"/>
    <w:basedOn w:val="a0"/>
    <w:link w:val="2"/>
    <w:qFormat/>
    <w:rPr>
      <w:rFonts w:ascii="微软雅黑" w:eastAsia="微软雅黑" w:hAnsi="微软雅黑"/>
      <w:b/>
      <w:bCs/>
      <w:color w:val="000000" w:themeColor="text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B1754-773D-4623-9FA1-A6CD67B19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978</Words>
  <Characters>1528</Characters>
  <Application>Microsoft Office Word</Application>
  <DocSecurity>0</DocSecurity>
  <Lines>218</Lines>
  <Paragraphs>192</Paragraphs>
  <ScaleCrop>false</ScaleCrop>
  <Company>FAWCAR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马燃</dc:creator>
  <cp:lastModifiedBy>穆思齐</cp:lastModifiedBy>
  <cp:revision>44</cp:revision>
  <cp:lastPrinted>2023-04-06T09:12:00Z</cp:lastPrinted>
  <dcterms:created xsi:type="dcterms:W3CDTF">2026-04-30T07:37:00Z</dcterms:created>
  <dcterms:modified xsi:type="dcterms:W3CDTF">2026-09-01T09:52:00Z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2052-11.8.2.12119</vt:lpwstr>
  </property>
  <property fmtid="{D5CDD505-2E9C-101B-9397-08002B2CF9AE}" pid="3" name="ICV">
    <vt:lpwstr>DE33E3AEF9FA4CCA838D96ECCF55F868</vt:lpwstr>
  </property>
</Properties>
</file>