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02E120">
      <w:pPr>
        <w:snapToGrid w:val="0"/>
        <w:spacing w:line="360" w:lineRule="auto"/>
        <w:rPr>
          <w:rFonts w:eastAsiaTheme="minorEastAsia"/>
          <w:b/>
          <w:iCs/>
          <w:color w:val="000000"/>
          <w:sz w:val="24"/>
          <w:szCs w:val="24"/>
        </w:rPr>
      </w:pPr>
      <w:r>
        <w:rPr>
          <w:rFonts w:eastAsiaTheme="minorEastAsia"/>
          <w:b/>
          <w:iCs/>
          <w:color w:val="000000"/>
          <w:sz w:val="24"/>
          <w:szCs w:val="24"/>
        </w:rPr>
        <w:t>证券代码：605086                                  证券简称：龙高股份</w:t>
      </w:r>
    </w:p>
    <w:p w14:paraId="268351C2">
      <w:pPr>
        <w:keepNext w:val="0"/>
        <w:keepLines w:val="0"/>
        <w:pageBreakBefore w:val="0"/>
        <w:widowControl w:val="0"/>
        <w:kinsoku/>
        <w:wordWrap/>
        <w:overflowPunct/>
        <w:topLinePunct w:val="0"/>
        <w:autoSpaceDE/>
        <w:autoSpaceDN/>
        <w:bidi w:val="0"/>
        <w:adjustRightInd/>
        <w:snapToGrid w:val="0"/>
        <w:spacing w:before="156" w:beforeLines="50" w:line="360" w:lineRule="auto"/>
        <w:jc w:val="center"/>
        <w:textAlignment w:val="auto"/>
        <w:rPr>
          <w:rFonts w:eastAsia="黑体"/>
          <w:b/>
          <w:bCs/>
          <w:iCs/>
          <w:color w:val="000000"/>
          <w:sz w:val="32"/>
          <w:szCs w:val="32"/>
        </w:rPr>
      </w:pPr>
      <w:r>
        <w:rPr>
          <w:rFonts w:eastAsia="黑体"/>
          <w:b/>
          <w:bCs/>
          <w:iCs/>
          <w:color w:val="000000"/>
          <w:sz w:val="32"/>
          <w:szCs w:val="32"/>
        </w:rPr>
        <w:t>龙岩高岭土股份有限公司投资者关系活动记录表</w:t>
      </w:r>
    </w:p>
    <w:p w14:paraId="16E43DBF">
      <w:pPr>
        <w:spacing w:line="360" w:lineRule="auto"/>
        <w:rPr>
          <w:rFonts w:hint="default" w:eastAsia="仿宋"/>
          <w:bCs/>
          <w:iCs/>
          <w:color w:val="000000"/>
          <w:sz w:val="24"/>
          <w:szCs w:val="24"/>
          <w:lang w:val="en-US" w:eastAsia="zh-CN"/>
        </w:rPr>
      </w:pPr>
      <w:r>
        <w:rPr>
          <w:rFonts w:eastAsia="仿宋"/>
          <w:bCs/>
          <w:iCs/>
          <w:color w:val="000000"/>
          <w:sz w:val="28"/>
          <w:szCs w:val="28"/>
        </w:rPr>
        <w:t xml:space="preserve">                                                </w:t>
      </w:r>
      <w:r>
        <w:rPr>
          <w:rFonts w:asciiTheme="minorEastAsia" w:hAnsiTheme="minorEastAsia" w:eastAsiaTheme="minorEastAsia"/>
          <w:bCs/>
          <w:iCs/>
          <w:color w:val="000000"/>
          <w:sz w:val="24"/>
          <w:szCs w:val="24"/>
        </w:rPr>
        <w:t>编号：</w:t>
      </w:r>
      <w:r>
        <w:rPr>
          <w:rFonts w:eastAsia="仿宋"/>
          <w:bCs/>
          <w:iCs/>
          <w:color w:val="000000"/>
          <w:sz w:val="24"/>
          <w:szCs w:val="24"/>
        </w:rPr>
        <w:t>20</w:t>
      </w:r>
      <w:r>
        <w:rPr>
          <w:rFonts w:hint="eastAsia" w:eastAsia="仿宋"/>
          <w:bCs/>
          <w:iCs/>
          <w:color w:val="000000"/>
          <w:sz w:val="24"/>
          <w:szCs w:val="24"/>
        </w:rPr>
        <w:t>2</w:t>
      </w:r>
      <w:r>
        <w:rPr>
          <w:rFonts w:hint="eastAsia" w:eastAsia="仿宋"/>
          <w:bCs/>
          <w:iCs/>
          <w:color w:val="000000"/>
          <w:sz w:val="24"/>
          <w:szCs w:val="24"/>
          <w:lang w:val="en-US" w:eastAsia="zh-CN"/>
        </w:rPr>
        <w:t>6-08</w:t>
      </w:r>
    </w:p>
    <w:tbl>
      <w:tblPr>
        <w:tblStyle w:val="9"/>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6379"/>
      </w:tblGrid>
      <w:tr w14:paraId="55A4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9" w:hRule="atLeast"/>
        </w:trPr>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184642B6">
            <w:pPr>
              <w:spacing w:line="360" w:lineRule="auto"/>
              <w:jc w:val="center"/>
              <w:rPr>
                <w:bCs/>
                <w:iCs/>
                <w:color w:val="000000"/>
                <w:sz w:val="24"/>
                <w:szCs w:val="24"/>
              </w:rPr>
            </w:pPr>
            <w:r>
              <w:rPr>
                <w:bCs/>
                <w:iCs/>
                <w:color w:val="000000"/>
                <w:sz w:val="24"/>
                <w:szCs w:val="24"/>
              </w:rPr>
              <w:t>投资者关系活动类别</w:t>
            </w:r>
          </w:p>
        </w:tc>
        <w:tc>
          <w:tcPr>
            <w:tcW w:w="6379" w:type="dxa"/>
            <w:tcBorders>
              <w:top w:val="single" w:color="auto" w:sz="4" w:space="0"/>
              <w:left w:val="single" w:color="auto" w:sz="4" w:space="0"/>
              <w:bottom w:val="single" w:color="auto" w:sz="4" w:space="0"/>
              <w:right w:val="single" w:color="auto" w:sz="4" w:space="0"/>
            </w:tcBorders>
            <w:shd w:val="clear" w:color="auto" w:fill="auto"/>
            <w:vAlign w:val="center"/>
          </w:tcPr>
          <w:p w14:paraId="7367F36B">
            <w:pPr>
              <w:spacing w:line="360" w:lineRule="auto"/>
              <w:rPr>
                <w:rFonts w:ascii="宋体" w:hAnsi="宋体"/>
                <w:bCs/>
                <w:iCs/>
                <w:color w:val="000000"/>
                <w:sz w:val="24"/>
                <w:szCs w:val="24"/>
              </w:rPr>
            </w:pPr>
            <w:r>
              <w:rPr>
                <w:rFonts w:ascii="宋体" w:hAnsi="宋体"/>
                <w:bCs/>
                <w:iCs/>
                <w:color w:val="000000"/>
                <w:sz w:val="24"/>
                <w:szCs w:val="24"/>
              </w:rPr>
              <w:t>□</w:t>
            </w:r>
            <w:r>
              <w:rPr>
                <w:rFonts w:ascii="宋体" w:hAnsi="宋体"/>
                <w:color w:val="000000"/>
                <w:sz w:val="24"/>
                <w:szCs w:val="24"/>
              </w:rPr>
              <w:t xml:space="preserve">特定对象调研      </w:t>
            </w:r>
            <w:r>
              <w:rPr>
                <w:rFonts w:ascii="宋体" w:hAnsi="宋体"/>
                <w:bCs/>
                <w:iCs/>
                <w:color w:val="000000"/>
                <w:sz w:val="24"/>
                <w:szCs w:val="24"/>
              </w:rPr>
              <w:t>□</w:t>
            </w:r>
            <w:r>
              <w:rPr>
                <w:rFonts w:ascii="宋体" w:hAnsi="宋体"/>
                <w:color w:val="000000"/>
                <w:sz w:val="24"/>
                <w:szCs w:val="24"/>
              </w:rPr>
              <w:t>分析师会议</w:t>
            </w:r>
            <w:r>
              <w:rPr>
                <w:rFonts w:hint="eastAsia" w:ascii="宋体" w:hAnsi="宋体"/>
                <w:color w:val="000000"/>
                <w:sz w:val="24"/>
                <w:szCs w:val="24"/>
              </w:rPr>
              <w:t xml:space="preserve"> </w:t>
            </w:r>
            <w:r>
              <w:rPr>
                <w:rFonts w:ascii="宋体" w:hAnsi="宋体"/>
                <w:color w:val="000000"/>
                <w:sz w:val="24"/>
                <w:szCs w:val="24"/>
              </w:rPr>
              <w:t xml:space="preserve">      </w:t>
            </w:r>
            <w:r>
              <w:rPr>
                <w:rFonts w:ascii="宋体" w:hAnsi="宋体"/>
                <w:bCs/>
                <w:iCs/>
                <w:color w:val="000000"/>
                <w:sz w:val="24"/>
                <w:szCs w:val="24"/>
              </w:rPr>
              <w:t>□</w:t>
            </w:r>
            <w:r>
              <w:rPr>
                <w:rFonts w:ascii="宋体" w:hAnsi="宋体"/>
                <w:color w:val="000000"/>
                <w:sz w:val="24"/>
                <w:szCs w:val="24"/>
              </w:rPr>
              <w:t xml:space="preserve">媒体采访      </w:t>
            </w:r>
            <w:r>
              <w:rPr>
                <w:rFonts w:ascii="宋体" w:hAnsi="宋体"/>
                <w:bCs/>
                <w:iCs/>
                <w:color w:val="000000"/>
                <w:sz w:val="24"/>
                <w:szCs w:val="24"/>
              </w:rPr>
              <w:t>□</w:t>
            </w:r>
            <w:r>
              <w:rPr>
                <w:rFonts w:ascii="宋体" w:hAnsi="宋体"/>
                <w:color w:val="000000"/>
                <w:sz w:val="24"/>
                <w:szCs w:val="24"/>
              </w:rPr>
              <w:t xml:space="preserve">业绩说明会         </w:t>
            </w:r>
            <w:r>
              <w:rPr>
                <w:rFonts w:ascii="宋体" w:hAnsi="宋体"/>
                <w:bCs/>
                <w:iCs/>
                <w:color w:val="000000"/>
                <w:sz w:val="24"/>
                <w:szCs w:val="24"/>
              </w:rPr>
              <w:t>□</w:t>
            </w:r>
            <w:r>
              <w:rPr>
                <w:rFonts w:ascii="宋体" w:hAnsi="宋体"/>
                <w:color w:val="000000"/>
                <w:sz w:val="24"/>
                <w:szCs w:val="24"/>
              </w:rPr>
              <w:t xml:space="preserve">新闻发布会        </w:t>
            </w:r>
            <w:r>
              <w:rPr>
                <w:rFonts w:ascii="宋体" w:hAnsi="宋体"/>
                <w:bCs/>
                <w:iCs/>
                <w:color w:val="000000"/>
                <w:sz w:val="24"/>
                <w:szCs w:val="24"/>
              </w:rPr>
              <w:t>□</w:t>
            </w:r>
            <w:r>
              <w:rPr>
                <w:rFonts w:ascii="宋体" w:hAnsi="宋体"/>
                <w:color w:val="000000"/>
                <w:sz w:val="24"/>
                <w:szCs w:val="24"/>
              </w:rPr>
              <w:t>路演活动</w:t>
            </w:r>
          </w:p>
          <w:p w14:paraId="6D32EC6C">
            <w:pPr>
              <w:tabs>
                <w:tab w:val="left" w:pos="3045"/>
                <w:tab w:val="center" w:pos="3199"/>
              </w:tabs>
              <w:spacing w:line="360" w:lineRule="auto"/>
              <w:rPr>
                <w:bCs/>
                <w:iCs/>
                <w:color w:val="000000"/>
                <w:sz w:val="24"/>
                <w:szCs w:val="24"/>
              </w:rPr>
            </w:pPr>
            <w:r>
              <w:rPr>
                <w:rFonts w:ascii="宋体" w:hAnsi="宋体"/>
                <w:bCs/>
                <w:iCs/>
                <w:color w:val="000000"/>
                <w:sz w:val="24"/>
                <w:szCs w:val="24"/>
              </w:rPr>
              <w:t>√</w:t>
            </w:r>
            <w:r>
              <w:rPr>
                <w:rFonts w:ascii="宋体" w:hAnsi="宋体"/>
                <w:color w:val="000000"/>
                <w:sz w:val="24"/>
                <w:szCs w:val="24"/>
              </w:rPr>
              <w:t>现场</w:t>
            </w:r>
            <w:r>
              <w:rPr>
                <w:rFonts w:hint="eastAsia" w:ascii="宋体" w:hAnsi="宋体"/>
                <w:color w:val="000000"/>
                <w:sz w:val="24"/>
                <w:szCs w:val="24"/>
                <w:lang w:val="en-US" w:eastAsia="zh-CN"/>
              </w:rPr>
              <w:t>交流</w:t>
            </w:r>
            <w:r>
              <w:rPr>
                <w:rFonts w:hint="eastAsia" w:ascii="宋体" w:hAnsi="宋体"/>
                <w:color w:val="000000"/>
                <w:sz w:val="24"/>
                <w:szCs w:val="24"/>
              </w:rPr>
              <w:t xml:space="preserve"> </w:t>
            </w:r>
            <w:r>
              <w:rPr>
                <w:rFonts w:ascii="宋体" w:hAnsi="宋体"/>
                <w:color w:val="000000"/>
                <w:sz w:val="24"/>
                <w:szCs w:val="24"/>
              </w:rPr>
              <w:t xml:space="preserve">          </w:t>
            </w:r>
            <w:r>
              <w:rPr>
                <w:rFonts w:ascii="宋体" w:hAnsi="宋体"/>
                <w:bCs/>
                <w:iCs/>
                <w:color w:val="000000"/>
                <w:sz w:val="24"/>
                <w:szCs w:val="24"/>
              </w:rPr>
              <w:t>□</w:t>
            </w:r>
            <w:r>
              <w:rPr>
                <w:rFonts w:ascii="宋体" w:hAnsi="宋体"/>
                <w:color w:val="000000"/>
                <w:sz w:val="24"/>
                <w:szCs w:val="24"/>
              </w:rPr>
              <w:t>其他</w:t>
            </w:r>
          </w:p>
        </w:tc>
      </w:tr>
      <w:tr w14:paraId="558C5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4" w:hRule="atLeast"/>
        </w:trPr>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5D7DAD22">
            <w:pPr>
              <w:spacing w:line="360" w:lineRule="auto"/>
              <w:jc w:val="center"/>
              <w:rPr>
                <w:bCs/>
                <w:iCs/>
                <w:color w:val="000000"/>
                <w:sz w:val="24"/>
                <w:szCs w:val="24"/>
              </w:rPr>
            </w:pPr>
            <w:r>
              <w:rPr>
                <w:bCs/>
                <w:iCs/>
                <w:color w:val="000000"/>
                <w:sz w:val="24"/>
                <w:szCs w:val="24"/>
              </w:rPr>
              <w:t>参与单位名称</w:t>
            </w:r>
          </w:p>
          <w:p w14:paraId="2F34641D">
            <w:pPr>
              <w:spacing w:line="360" w:lineRule="auto"/>
              <w:jc w:val="center"/>
              <w:rPr>
                <w:bCs/>
                <w:iCs/>
                <w:color w:val="000000"/>
                <w:sz w:val="24"/>
                <w:szCs w:val="24"/>
              </w:rPr>
            </w:pPr>
            <w:r>
              <w:rPr>
                <w:bCs/>
                <w:iCs/>
                <w:color w:val="000000"/>
                <w:sz w:val="24"/>
                <w:szCs w:val="24"/>
              </w:rPr>
              <w:t>及人员姓名</w:t>
            </w:r>
          </w:p>
        </w:tc>
        <w:tc>
          <w:tcPr>
            <w:tcW w:w="6379" w:type="dxa"/>
            <w:tcBorders>
              <w:top w:val="single" w:color="auto" w:sz="4" w:space="0"/>
              <w:left w:val="single" w:color="auto" w:sz="4" w:space="0"/>
              <w:bottom w:val="single" w:color="auto" w:sz="4" w:space="0"/>
              <w:right w:val="single" w:color="auto" w:sz="4" w:space="0"/>
            </w:tcBorders>
            <w:shd w:val="clear" w:color="auto" w:fill="auto"/>
            <w:vAlign w:val="center"/>
          </w:tcPr>
          <w:p w14:paraId="0FC46DA5">
            <w:pPr>
              <w:spacing w:line="360" w:lineRule="auto"/>
              <w:rPr>
                <w:rFonts w:hint="default" w:eastAsia="宋体"/>
                <w:bCs/>
                <w:iCs/>
                <w:color w:val="000000"/>
                <w:sz w:val="24"/>
                <w:szCs w:val="24"/>
                <w:lang w:val="en-US" w:eastAsia="zh-CN"/>
              </w:rPr>
            </w:pPr>
            <w:r>
              <w:rPr>
                <w:rFonts w:hint="default" w:eastAsia="宋体"/>
                <w:bCs/>
                <w:iCs/>
                <w:color w:val="000000"/>
                <w:sz w:val="24"/>
                <w:szCs w:val="24"/>
                <w:lang w:val="en-US" w:eastAsia="zh-CN"/>
              </w:rPr>
              <w:t>华泰证券 黄自迪</w:t>
            </w:r>
          </w:p>
          <w:p w14:paraId="642959DF">
            <w:pPr>
              <w:spacing w:line="360" w:lineRule="auto"/>
              <w:rPr>
                <w:rFonts w:hint="default" w:eastAsia="宋体"/>
                <w:bCs/>
                <w:iCs/>
                <w:color w:val="000000"/>
                <w:sz w:val="24"/>
                <w:szCs w:val="24"/>
                <w:lang w:val="en-US" w:eastAsia="zh-CN"/>
              </w:rPr>
            </w:pPr>
            <w:r>
              <w:rPr>
                <w:rFonts w:hint="default" w:eastAsia="宋体"/>
                <w:bCs/>
                <w:iCs/>
                <w:color w:val="000000"/>
                <w:sz w:val="24"/>
                <w:szCs w:val="24"/>
                <w:lang w:val="en-US" w:eastAsia="zh-CN"/>
              </w:rPr>
              <w:t>景林资产 周茜</w:t>
            </w:r>
          </w:p>
          <w:p w14:paraId="07F177C4">
            <w:pPr>
              <w:spacing w:line="360" w:lineRule="auto"/>
              <w:rPr>
                <w:rFonts w:hint="default" w:eastAsia="宋体"/>
                <w:bCs/>
                <w:iCs/>
                <w:color w:val="000000"/>
                <w:sz w:val="24"/>
                <w:szCs w:val="24"/>
                <w:lang w:val="en-US" w:eastAsia="zh-CN"/>
              </w:rPr>
            </w:pPr>
            <w:r>
              <w:rPr>
                <w:rFonts w:hint="default" w:eastAsia="宋体"/>
                <w:bCs/>
                <w:iCs/>
                <w:color w:val="000000"/>
                <w:sz w:val="24"/>
                <w:szCs w:val="24"/>
                <w:lang w:val="en-US" w:eastAsia="zh-CN"/>
              </w:rPr>
              <w:t>高毅资产 张汇韬</w:t>
            </w:r>
          </w:p>
        </w:tc>
      </w:tr>
      <w:tr w14:paraId="390F9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04A94593">
            <w:pPr>
              <w:spacing w:line="360" w:lineRule="auto"/>
              <w:jc w:val="center"/>
              <w:rPr>
                <w:bCs/>
                <w:iCs/>
                <w:color w:val="000000"/>
                <w:sz w:val="24"/>
                <w:szCs w:val="24"/>
              </w:rPr>
            </w:pPr>
            <w:r>
              <w:rPr>
                <w:bCs/>
                <w:iCs/>
                <w:color w:val="000000"/>
                <w:sz w:val="24"/>
                <w:szCs w:val="24"/>
              </w:rPr>
              <w:t>时间</w:t>
            </w:r>
          </w:p>
        </w:tc>
        <w:tc>
          <w:tcPr>
            <w:tcW w:w="6379" w:type="dxa"/>
            <w:tcBorders>
              <w:top w:val="single" w:color="auto" w:sz="4" w:space="0"/>
              <w:left w:val="single" w:color="auto" w:sz="4" w:space="0"/>
              <w:bottom w:val="single" w:color="auto" w:sz="4" w:space="0"/>
              <w:right w:val="single" w:color="auto" w:sz="4" w:space="0"/>
            </w:tcBorders>
            <w:shd w:val="clear" w:color="auto" w:fill="auto"/>
            <w:vAlign w:val="center"/>
          </w:tcPr>
          <w:p w14:paraId="6CDEC3EF">
            <w:pPr>
              <w:spacing w:line="360" w:lineRule="auto"/>
              <w:rPr>
                <w:rFonts w:hint="default" w:eastAsia="宋体"/>
                <w:bCs/>
                <w:iCs/>
                <w:color w:val="000000"/>
                <w:sz w:val="24"/>
                <w:szCs w:val="24"/>
                <w:lang w:val="en-US" w:eastAsia="zh-CN"/>
              </w:rPr>
            </w:pPr>
            <w:r>
              <w:rPr>
                <w:bCs/>
                <w:iCs/>
                <w:color w:val="000000"/>
                <w:sz w:val="24"/>
                <w:szCs w:val="24"/>
              </w:rPr>
              <w:t>202</w:t>
            </w:r>
            <w:r>
              <w:rPr>
                <w:rFonts w:hint="eastAsia"/>
                <w:bCs/>
                <w:iCs/>
                <w:color w:val="000000"/>
                <w:sz w:val="24"/>
                <w:szCs w:val="24"/>
                <w:lang w:val="en-US" w:eastAsia="zh-CN"/>
              </w:rPr>
              <w:t>6</w:t>
            </w:r>
            <w:r>
              <w:rPr>
                <w:bCs/>
                <w:iCs/>
                <w:color w:val="000000"/>
                <w:sz w:val="24"/>
                <w:szCs w:val="24"/>
              </w:rPr>
              <w:t>年</w:t>
            </w:r>
            <w:r>
              <w:rPr>
                <w:rFonts w:hint="eastAsia"/>
                <w:bCs/>
                <w:iCs/>
                <w:color w:val="000000"/>
                <w:sz w:val="24"/>
                <w:szCs w:val="24"/>
                <w:lang w:val="en-US" w:eastAsia="zh-CN"/>
              </w:rPr>
              <w:t>9</w:t>
            </w:r>
            <w:r>
              <w:rPr>
                <w:bCs/>
                <w:iCs/>
                <w:color w:val="000000"/>
                <w:sz w:val="24"/>
                <w:szCs w:val="24"/>
              </w:rPr>
              <w:t>月</w:t>
            </w:r>
            <w:r>
              <w:rPr>
                <w:rFonts w:hint="eastAsia"/>
                <w:bCs/>
                <w:iCs/>
                <w:color w:val="000000"/>
                <w:sz w:val="24"/>
                <w:szCs w:val="24"/>
                <w:lang w:val="en-US" w:eastAsia="zh-CN"/>
              </w:rPr>
              <w:t>1</w:t>
            </w:r>
            <w:r>
              <w:rPr>
                <w:bCs/>
                <w:iCs/>
                <w:color w:val="000000"/>
                <w:sz w:val="24"/>
                <w:szCs w:val="24"/>
              </w:rPr>
              <w:t>日</w:t>
            </w:r>
            <w:r>
              <w:rPr>
                <w:rFonts w:hint="eastAsia"/>
                <w:bCs/>
                <w:iCs/>
                <w:sz w:val="24"/>
                <w:szCs w:val="24"/>
                <w:lang w:val="en-US" w:eastAsia="zh-CN"/>
              </w:rPr>
              <w:t>12:00-14:00</w:t>
            </w:r>
          </w:p>
        </w:tc>
      </w:tr>
      <w:tr w14:paraId="6C471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25FEE520">
            <w:pPr>
              <w:spacing w:line="360" w:lineRule="auto"/>
              <w:jc w:val="center"/>
              <w:rPr>
                <w:bCs/>
                <w:iCs/>
                <w:color w:val="000000"/>
                <w:sz w:val="24"/>
                <w:szCs w:val="24"/>
              </w:rPr>
            </w:pPr>
            <w:r>
              <w:rPr>
                <w:bCs/>
                <w:iCs/>
                <w:color w:val="000000"/>
                <w:sz w:val="24"/>
                <w:szCs w:val="24"/>
              </w:rPr>
              <w:t>地点</w:t>
            </w:r>
          </w:p>
        </w:tc>
        <w:tc>
          <w:tcPr>
            <w:tcW w:w="6379" w:type="dxa"/>
            <w:tcBorders>
              <w:top w:val="single" w:color="auto" w:sz="4" w:space="0"/>
              <w:left w:val="single" w:color="auto" w:sz="4" w:space="0"/>
              <w:bottom w:val="single" w:color="auto" w:sz="4" w:space="0"/>
              <w:right w:val="single" w:color="auto" w:sz="4" w:space="0"/>
            </w:tcBorders>
            <w:shd w:val="clear" w:color="auto" w:fill="auto"/>
            <w:vAlign w:val="center"/>
          </w:tcPr>
          <w:p w14:paraId="3EA8C980">
            <w:pPr>
              <w:spacing w:line="360" w:lineRule="auto"/>
              <w:rPr>
                <w:bCs/>
                <w:iCs/>
                <w:color w:val="000000"/>
                <w:sz w:val="24"/>
                <w:szCs w:val="24"/>
              </w:rPr>
            </w:pPr>
            <w:r>
              <w:rPr>
                <w:rFonts w:hint="eastAsia"/>
                <w:bCs/>
                <w:iCs/>
                <w:color w:val="000000"/>
                <w:sz w:val="24"/>
                <w:szCs w:val="24"/>
              </w:rPr>
              <w:t>龙岩高岭土股份有限公司</w:t>
            </w:r>
          </w:p>
        </w:tc>
      </w:tr>
      <w:tr w14:paraId="6E23B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6154C128">
            <w:pPr>
              <w:spacing w:line="360" w:lineRule="auto"/>
              <w:jc w:val="center"/>
              <w:rPr>
                <w:bCs/>
                <w:iCs/>
                <w:color w:val="000000"/>
                <w:sz w:val="24"/>
                <w:szCs w:val="24"/>
              </w:rPr>
            </w:pPr>
            <w:r>
              <w:rPr>
                <w:bCs/>
                <w:iCs/>
                <w:color w:val="000000"/>
                <w:sz w:val="24"/>
                <w:szCs w:val="24"/>
              </w:rPr>
              <w:t>上市公司接待</w:t>
            </w:r>
          </w:p>
          <w:p w14:paraId="7EEE3C38">
            <w:pPr>
              <w:spacing w:line="360" w:lineRule="auto"/>
              <w:jc w:val="center"/>
              <w:rPr>
                <w:bCs/>
                <w:iCs/>
                <w:color w:val="000000"/>
                <w:sz w:val="24"/>
                <w:szCs w:val="24"/>
              </w:rPr>
            </w:pPr>
            <w:r>
              <w:rPr>
                <w:bCs/>
                <w:iCs/>
                <w:color w:val="000000"/>
                <w:sz w:val="24"/>
                <w:szCs w:val="24"/>
              </w:rPr>
              <w:t>人员姓名</w:t>
            </w:r>
          </w:p>
        </w:tc>
        <w:tc>
          <w:tcPr>
            <w:tcW w:w="6379" w:type="dxa"/>
            <w:tcBorders>
              <w:top w:val="single" w:color="auto" w:sz="4" w:space="0"/>
              <w:left w:val="single" w:color="auto" w:sz="4" w:space="0"/>
              <w:bottom w:val="single" w:color="auto" w:sz="4" w:space="0"/>
              <w:right w:val="single" w:color="auto" w:sz="4" w:space="0"/>
            </w:tcBorders>
            <w:shd w:val="clear" w:color="auto" w:fill="auto"/>
            <w:vAlign w:val="center"/>
          </w:tcPr>
          <w:p w14:paraId="148930D9">
            <w:pPr>
              <w:spacing w:line="360" w:lineRule="auto"/>
              <w:rPr>
                <w:rFonts w:hint="default" w:eastAsia="宋体"/>
                <w:bCs/>
                <w:iCs/>
                <w:color w:val="000000"/>
                <w:sz w:val="24"/>
                <w:szCs w:val="24"/>
                <w:lang w:val="en-US" w:eastAsia="zh-CN"/>
              </w:rPr>
            </w:pPr>
            <w:r>
              <w:rPr>
                <w:rFonts w:hint="eastAsia"/>
                <w:bCs/>
                <w:iCs/>
                <w:color w:val="000000"/>
                <w:sz w:val="24"/>
                <w:szCs w:val="24"/>
                <w:lang w:val="en-US" w:eastAsia="zh-CN"/>
              </w:rPr>
              <w:t>公司董事会秘书熊斌、证券事务代表黄伟斌</w:t>
            </w:r>
          </w:p>
        </w:tc>
      </w:tr>
      <w:tr w14:paraId="41EE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2" w:hRule="atLeast"/>
        </w:trPr>
        <w:tc>
          <w:tcPr>
            <w:tcW w:w="1980" w:type="dxa"/>
            <w:tcBorders>
              <w:top w:val="single" w:color="auto" w:sz="4" w:space="0"/>
              <w:left w:val="single" w:color="auto" w:sz="4" w:space="0"/>
              <w:bottom w:val="single" w:color="auto" w:sz="4" w:space="0"/>
              <w:right w:val="single" w:color="auto" w:sz="4" w:space="0"/>
            </w:tcBorders>
            <w:shd w:val="clear" w:color="auto" w:fill="auto"/>
            <w:vAlign w:val="center"/>
          </w:tcPr>
          <w:p w14:paraId="79A4392F">
            <w:pPr>
              <w:spacing w:line="360" w:lineRule="auto"/>
              <w:jc w:val="center"/>
              <w:rPr>
                <w:bCs/>
                <w:iCs/>
                <w:color w:val="000000"/>
                <w:sz w:val="24"/>
                <w:szCs w:val="24"/>
              </w:rPr>
            </w:pPr>
            <w:r>
              <w:rPr>
                <w:bCs/>
                <w:iCs/>
                <w:color w:val="000000"/>
                <w:sz w:val="24"/>
                <w:szCs w:val="24"/>
              </w:rPr>
              <w:t>投资者关系活动主要内容介绍</w:t>
            </w:r>
          </w:p>
        </w:tc>
        <w:tc>
          <w:tcPr>
            <w:tcW w:w="6379" w:type="dxa"/>
            <w:tcBorders>
              <w:top w:val="single" w:color="auto" w:sz="4" w:space="0"/>
              <w:left w:val="single" w:color="auto" w:sz="4" w:space="0"/>
              <w:bottom w:val="single" w:color="auto" w:sz="4" w:space="0"/>
              <w:right w:val="single" w:color="auto" w:sz="4" w:space="0"/>
            </w:tcBorders>
            <w:shd w:val="clear" w:color="auto" w:fill="auto"/>
            <w:vAlign w:val="center"/>
          </w:tcPr>
          <w:p w14:paraId="4E7CDB6F">
            <w:pPr>
              <w:keepNext w:val="0"/>
              <w:keepLines w:val="0"/>
              <w:pageBreakBefore w:val="0"/>
              <w:widowControl/>
              <w:kinsoku/>
              <w:wordWrap/>
              <w:overflowPunct/>
              <w:topLinePunct w:val="0"/>
              <w:autoSpaceDE/>
              <w:autoSpaceDN/>
              <w:bidi w:val="0"/>
              <w:spacing w:line="440" w:lineRule="exact"/>
              <w:ind w:firstLine="482" w:firstLineChars="200"/>
              <w:rPr>
                <w:b/>
                <w:bCs/>
                <w:sz w:val="24"/>
              </w:rPr>
            </w:pPr>
            <w:r>
              <w:rPr>
                <w:rFonts w:hint="eastAsia"/>
                <w:b/>
                <w:bCs/>
                <w:sz w:val="24"/>
              </w:rPr>
              <w:t>交流情况：</w:t>
            </w:r>
          </w:p>
          <w:p w14:paraId="29DA7240">
            <w:pPr>
              <w:keepNext w:val="0"/>
              <w:keepLines w:val="0"/>
              <w:pageBreakBefore w:val="0"/>
              <w:kinsoku/>
              <w:wordWrap/>
              <w:overflowPunct/>
              <w:topLinePunct w:val="0"/>
              <w:autoSpaceDE/>
              <w:autoSpaceDN/>
              <w:bidi w:val="0"/>
              <w:spacing w:line="440" w:lineRule="exact"/>
              <w:ind w:firstLine="482" w:firstLineChars="200"/>
              <w:textAlignment w:val="center"/>
              <w:rPr>
                <w:rFonts w:hint="eastAsia" w:eastAsia="宋体"/>
                <w:b/>
                <w:bCs/>
                <w:color w:val="000000"/>
                <w:sz w:val="24"/>
                <w:szCs w:val="24"/>
                <w:lang w:eastAsia="zh-CN"/>
              </w:rPr>
            </w:pPr>
            <w:r>
              <w:rPr>
                <w:rFonts w:hint="eastAsia"/>
                <w:b/>
                <w:bCs/>
                <w:color w:val="000000"/>
                <w:sz w:val="24"/>
                <w:szCs w:val="24"/>
              </w:rPr>
              <w:t>1</w:t>
            </w:r>
            <w:r>
              <w:rPr>
                <w:b/>
                <w:bCs/>
                <w:color w:val="000000"/>
                <w:sz w:val="24"/>
                <w:szCs w:val="24"/>
              </w:rPr>
              <w:t>、</w:t>
            </w:r>
            <w:r>
              <w:rPr>
                <w:rFonts w:hint="eastAsia"/>
                <w:b/>
                <w:bCs/>
                <w:color w:val="000000"/>
                <w:sz w:val="24"/>
                <w:szCs w:val="24"/>
              </w:rPr>
              <w:t>请介绍</w:t>
            </w:r>
            <w:r>
              <w:rPr>
                <w:b/>
                <w:bCs/>
                <w:color w:val="000000"/>
                <w:sz w:val="24"/>
                <w:szCs w:val="24"/>
              </w:rPr>
              <w:t>公司</w:t>
            </w:r>
            <w:r>
              <w:rPr>
                <w:rFonts w:hint="eastAsia"/>
                <w:b/>
                <w:bCs/>
                <w:color w:val="000000"/>
                <w:sz w:val="24"/>
                <w:szCs w:val="24"/>
                <w:lang w:val="en-US" w:eastAsia="zh-CN"/>
              </w:rPr>
              <w:t>基本情况</w:t>
            </w:r>
          </w:p>
          <w:p w14:paraId="720BE6F5">
            <w:pPr>
              <w:keepNext w:val="0"/>
              <w:keepLines w:val="0"/>
              <w:pageBreakBefore w:val="0"/>
              <w:widowControl/>
              <w:kinsoku/>
              <w:wordWrap/>
              <w:overflowPunct/>
              <w:topLinePunct w:val="0"/>
              <w:autoSpaceDE/>
              <w:autoSpaceDN/>
              <w:bidi w:val="0"/>
              <w:spacing w:line="440" w:lineRule="exact"/>
              <w:ind w:firstLine="480" w:firstLineChars="200"/>
              <w:rPr>
                <w:rFonts w:ascii="Times New Roman" w:hAnsi="Times New Roman" w:eastAsia="宋体" w:cs="Times New Roman"/>
                <w:sz w:val="24"/>
              </w:rPr>
            </w:pPr>
            <w:r>
              <w:rPr>
                <w:rFonts w:hint="eastAsia"/>
                <w:color w:val="000000"/>
                <w:sz w:val="24"/>
                <w:szCs w:val="24"/>
              </w:rPr>
              <w:t>回复：</w:t>
            </w:r>
            <w:r>
              <w:rPr>
                <w:rFonts w:hint="eastAsia" w:ascii="Times New Roman" w:hAnsi="Times New Roman" w:eastAsia="宋体" w:cs="Times New Roman"/>
                <w:sz w:val="24"/>
              </w:rPr>
              <w:t>龙高股份</w:t>
            </w:r>
            <w:r>
              <w:rPr>
                <w:rFonts w:ascii="Times New Roman" w:hAnsi="Times New Roman" w:eastAsia="宋体" w:cs="Times New Roman"/>
                <w:sz w:val="24"/>
              </w:rPr>
              <w:t>成立于2003年4月，2017年12月改制为股份公司，2021年4月16日在上海证券交易所主板挂牌上市。</w:t>
            </w:r>
          </w:p>
          <w:p w14:paraId="09A2FBD8">
            <w:pPr>
              <w:keepNext w:val="0"/>
              <w:keepLines w:val="0"/>
              <w:pageBreakBefore w:val="0"/>
              <w:kinsoku/>
              <w:wordWrap/>
              <w:overflowPunct/>
              <w:topLinePunct w:val="0"/>
              <w:autoSpaceDE/>
              <w:autoSpaceDN/>
              <w:bidi w:val="0"/>
              <w:spacing w:line="440" w:lineRule="exact"/>
              <w:ind w:firstLine="480" w:firstLineChars="200"/>
              <w:textAlignment w:val="center"/>
              <w:rPr>
                <w:rFonts w:hint="eastAsia" w:ascii="Times New Roman" w:hAnsi="Times New Roman" w:eastAsia="宋体" w:cs="Times New Roman"/>
                <w:sz w:val="24"/>
              </w:rPr>
            </w:pPr>
            <w:r>
              <w:rPr>
                <w:rFonts w:ascii="Times New Roman" w:hAnsi="Times New Roman" w:eastAsia="宋体" w:cs="Times New Roman"/>
                <w:sz w:val="24"/>
              </w:rPr>
              <w:t>公司系全国陶瓷原料用高岭土生产供应基地，集采矿、选矿、研发、销售于一体的科技创新型企业</w:t>
            </w:r>
            <w:r>
              <w:rPr>
                <w:rFonts w:hint="eastAsia" w:ascii="Times New Roman" w:hAnsi="Times New Roman" w:eastAsia="宋体" w:cs="Times New Roman"/>
                <w:sz w:val="24"/>
              </w:rPr>
              <w:t>，</w:t>
            </w:r>
            <w:r>
              <w:rPr>
                <w:rFonts w:ascii="Times New Roman" w:hAnsi="Times New Roman" w:eastAsia="宋体" w:cs="Times New Roman"/>
                <w:sz w:val="24"/>
              </w:rPr>
              <w:t>拥有总探明原矿储量4,976.03万吨的龙岩东宫下高岭土矿独家开采权，截至202</w:t>
            </w:r>
            <w:r>
              <w:rPr>
                <w:rFonts w:hint="eastAsia" w:ascii="Times New Roman" w:hAnsi="Times New Roman" w:eastAsia="宋体" w:cs="Times New Roman"/>
                <w:sz w:val="24"/>
                <w:lang w:val="en-US" w:eastAsia="zh-CN"/>
              </w:rPr>
              <w:t>5</w:t>
            </w:r>
            <w:r>
              <w:rPr>
                <w:rFonts w:ascii="Times New Roman" w:hAnsi="Times New Roman" w:eastAsia="宋体" w:cs="Times New Roman"/>
                <w:sz w:val="24"/>
              </w:rPr>
              <w:t>年12月31日，东宫下高岭土矿保有资源储量</w:t>
            </w:r>
            <w:r>
              <w:rPr>
                <w:rFonts w:hint="eastAsia" w:ascii="Times New Roman" w:hAnsi="Times New Roman" w:eastAsia="宋体" w:cs="Times New Roman"/>
                <w:sz w:val="24"/>
              </w:rPr>
              <w:t>2,935.33万吨</w:t>
            </w:r>
            <w:r>
              <w:rPr>
                <w:rFonts w:ascii="Times New Roman" w:hAnsi="Times New Roman" w:eastAsia="宋体" w:cs="Times New Roman"/>
                <w:sz w:val="24"/>
              </w:rPr>
              <w:t>，为国内特大型优质高岭土矿床，适宜露天开采</w:t>
            </w:r>
            <w:r>
              <w:rPr>
                <w:rFonts w:hint="eastAsia" w:ascii="Times New Roman" w:hAnsi="Times New Roman" w:eastAsia="宋体" w:cs="Times New Roman"/>
                <w:sz w:val="24"/>
              </w:rPr>
              <w:t>。</w:t>
            </w:r>
          </w:p>
          <w:p w14:paraId="5E08B11F">
            <w:pPr>
              <w:keepNext w:val="0"/>
              <w:keepLines w:val="0"/>
              <w:pageBreakBefore w:val="0"/>
              <w:widowControl/>
              <w:kinsoku/>
              <w:wordWrap/>
              <w:overflowPunct/>
              <w:topLinePunct w:val="0"/>
              <w:autoSpaceDE/>
              <w:autoSpaceDN/>
              <w:bidi w:val="0"/>
              <w:spacing w:line="440" w:lineRule="exact"/>
              <w:ind w:firstLine="482" w:firstLineChars="200"/>
              <w:textAlignment w:val="center"/>
              <w:rPr>
                <w:b/>
                <w:bCs/>
                <w:color w:val="000000"/>
                <w:sz w:val="24"/>
                <w:szCs w:val="24"/>
              </w:rPr>
            </w:pPr>
            <w:r>
              <w:rPr>
                <w:rFonts w:hint="eastAsia"/>
                <w:b/>
                <w:bCs/>
                <w:color w:val="000000"/>
                <w:sz w:val="24"/>
                <w:szCs w:val="24"/>
                <w:lang w:val="en-US" w:eastAsia="zh-CN"/>
              </w:rPr>
              <w:t>2</w:t>
            </w:r>
            <w:r>
              <w:rPr>
                <w:rFonts w:hint="eastAsia"/>
                <w:b/>
                <w:bCs/>
                <w:color w:val="000000"/>
                <w:sz w:val="24"/>
                <w:szCs w:val="24"/>
              </w:rPr>
              <w:t>、请问公司</w:t>
            </w:r>
            <w:r>
              <w:rPr>
                <w:rFonts w:hint="eastAsia"/>
                <w:b/>
                <w:bCs/>
                <w:color w:val="000000"/>
                <w:sz w:val="24"/>
                <w:szCs w:val="24"/>
                <w:lang w:val="en-US" w:eastAsia="zh-CN"/>
              </w:rPr>
              <w:t>矿山</w:t>
            </w:r>
            <w:r>
              <w:rPr>
                <w:rFonts w:hint="eastAsia"/>
                <w:b/>
                <w:bCs/>
                <w:color w:val="000000"/>
                <w:sz w:val="24"/>
                <w:szCs w:val="24"/>
              </w:rPr>
              <w:t>资源优势体现在哪些方面？</w:t>
            </w:r>
          </w:p>
          <w:p w14:paraId="36040D96">
            <w:pPr>
              <w:keepNext w:val="0"/>
              <w:keepLines w:val="0"/>
              <w:pageBreakBefore w:val="0"/>
              <w:widowControl/>
              <w:kinsoku/>
              <w:wordWrap/>
              <w:overflowPunct/>
              <w:topLinePunct w:val="0"/>
              <w:autoSpaceDE/>
              <w:autoSpaceDN/>
              <w:bidi w:val="0"/>
              <w:spacing w:line="440" w:lineRule="exact"/>
              <w:ind w:firstLine="480" w:firstLineChars="200"/>
              <w:textAlignment w:val="center"/>
              <w:rPr>
                <w:color w:val="000000"/>
                <w:sz w:val="24"/>
                <w:szCs w:val="24"/>
              </w:rPr>
            </w:pPr>
            <w:r>
              <w:rPr>
                <w:rFonts w:hint="eastAsia"/>
                <w:color w:val="000000"/>
                <w:sz w:val="24"/>
                <w:szCs w:val="24"/>
              </w:rPr>
              <w:t>回复：我国高岭土储量丰富，但优质矿偏少，公司下属的龙岩东宫下矿区已探明原矿总储量4,976.03万吨，</w:t>
            </w:r>
            <w:r>
              <w:rPr>
                <w:rFonts w:ascii="Times New Roman" w:hAnsi="Times New Roman" w:eastAsia="宋体" w:cs="Times New Roman"/>
                <w:sz w:val="24"/>
              </w:rPr>
              <w:t>截至202</w:t>
            </w:r>
            <w:r>
              <w:rPr>
                <w:rFonts w:hint="eastAsia" w:ascii="Times New Roman" w:hAnsi="Times New Roman" w:eastAsia="宋体" w:cs="Times New Roman"/>
                <w:sz w:val="24"/>
                <w:lang w:val="en-US" w:eastAsia="zh-CN"/>
              </w:rPr>
              <w:t>5</w:t>
            </w:r>
            <w:r>
              <w:rPr>
                <w:rFonts w:ascii="Times New Roman" w:hAnsi="Times New Roman" w:eastAsia="宋体" w:cs="Times New Roman"/>
                <w:sz w:val="24"/>
              </w:rPr>
              <w:t>年12月31日，东宫下高岭土矿保有资源储量</w:t>
            </w:r>
            <w:r>
              <w:rPr>
                <w:rFonts w:hint="eastAsia" w:ascii="Times New Roman" w:hAnsi="Times New Roman" w:eastAsia="宋体" w:cs="Times New Roman"/>
                <w:sz w:val="24"/>
              </w:rPr>
              <w:t>2,935.33万吨</w:t>
            </w:r>
            <w:r>
              <w:rPr>
                <w:rFonts w:hint="eastAsia"/>
                <w:color w:val="000000"/>
                <w:sz w:val="24"/>
                <w:szCs w:val="24"/>
              </w:rPr>
              <w:t>，为国内特大型优质高岭土矿床，适宜露天开采。</w:t>
            </w:r>
          </w:p>
          <w:p w14:paraId="66146565">
            <w:pPr>
              <w:keepNext w:val="0"/>
              <w:keepLines w:val="0"/>
              <w:pageBreakBefore w:val="0"/>
              <w:widowControl/>
              <w:kinsoku/>
              <w:wordWrap/>
              <w:overflowPunct/>
              <w:topLinePunct w:val="0"/>
              <w:autoSpaceDE/>
              <w:autoSpaceDN/>
              <w:bidi w:val="0"/>
              <w:spacing w:line="440" w:lineRule="exact"/>
              <w:ind w:firstLine="480" w:firstLineChars="200"/>
              <w:textAlignment w:val="center"/>
              <w:rPr>
                <w:rFonts w:hint="eastAsia"/>
                <w:color w:val="000000"/>
                <w:sz w:val="24"/>
                <w:szCs w:val="24"/>
              </w:rPr>
            </w:pPr>
            <w:r>
              <w:rPr>
                <w:rFonts w:hint="eastAsia"/>
                <w:color w:val="000000"/>
                <w:sz w:val="24"/>
                <w:szCs w:val="24"/>
              </w:rPr>
              <w:t>我国高岭土主要可分成煤系高岭土和非煤系高岭土，公司高岭土属于非煤系高岭土，公司高岭土产品具有自然白度高、杂质含量低、烧成白度和强度高、成瓷性能好等优点，是中、高档日用陶瓷、工艺美术瓷和高档建筑陶瓷的优质原材料。</w:t>
            </w:r>
          </w:p>
          <w:p w14:paraId="68CB316D">
            <w:pPr>
              <w:keepNext w:val="0"/>
              <w:keepLines w:val="0"/>
              <w:pageBreakBefore w:val="0"/>
              <w:widowControl/>
              <w:kinsoku/>
              <w:wordWrap/>
              <w:overflowPunct/>
              <w:topLinePunct w:val="0"/>
              <w:autoSpaceDE/>
              <w:autoSpaceDN/>
              <w:bidi w:val="0"/>
              <w:spacing w:line="440" w:lineRule="exact"/>
              <w:ind w:firstLine="482" w:firstLineChars="200"/>
              <w:textAlignment w:val="center"/>
              <w:rPr>
                <w:color w:val="000000"/>
                <w:sz w:val="24"/>
                <w:szCs w:val="24"/>
              </w:rPr>
            </w:pPr>
            <w:r>
              <w:rPr>
                <w:rFonts w:hint="eastAsia"/>
                <w:b/>
                <w:bCs/>
                <w:color w:val="000000"/>
                <w:sz w:val="24"/>
                <w:szCs w:val="24"/>
                <w:lang w:val="en-US" w:eastAsia="zh-CN"/>
              </w:rPr>
              <w:t>3</w:t>
            </w:r>
            <w:r>
              <w:rPr>
                <w:rFonts w:hint="eastAsia"/>
                <w:b/>
                <w:bCs/>
                <w:color w:val="000000"/>
                <w:sz w:val="24"/>
                <w:szCs w:val="24"/>
              </w:rPr>
              <w:t>、公司在高岭土行业的核心竞争力主要是哪些方面？</w:t>
            </w:r>
          </w:p>
          <w:p w14:paraId="4ED3D960">
            <w:pPr>
              <w:keepNext w:val="0"/>
              <w:keepLines w:val="0"/>
              <w:pageBreakBefore w:val="0"/>
              <w:widowControl/>
              <w:kinsoku/>
              <w:wordWrap/>
              <w:overflowPunct/>
              <w:topLinePunct w:val="0"/>
              <w:autoSpaceDE/>
              <w:autoSpaceDN/>
              <w:bidi w:val="0"/>
              <w:spacing w:line="440" w:lineRule="exact"/>
              <w:ind w:firstLine="480" w:firstLineChars="200"/>
              <w:textAlignment w:val="center"/>
              <w:rPr>
                <w:color w:val="000000"/>
                <w:sz w:val="24"/>
                <w:szCs w:val="24"/>
              </w:rPr>
            </w:pPr>
            <w:r>
              <w:rPr>
                <w:rFonts w:hint="eastAsia"/>
                <w:color w:val="000000"/>
                <w:sz w:val="24"/>
                <w:szCs w:val="24"/>
              </w:rPr>
              <w:t>回复：一是公司高岭土资源储量多和资源品位高，公司产品的理化指标优质和品质稳定是陶瓷用高岭土行业竞争的关键要素，也是公司最核心的竞争优势之一。</w:t>
            </w:r>
          </w:p>
          <w:p w14:paraId="4A4820C5">
            <w:pPr>
              <w:keepNext w:val="0"/>
              <w:keepLines w:val="0"/>
              <w:pageBreakBefore w:val="0"/>
              <w:kinsoku/>
              <w:wordWrap/>
              <w:overflowPunct/>
              <w:topLinePunct w:val="0"/>
              <w:autoSpaceDE/>
              <w:autoSpaceDN/>
              <w:bidi w:val="0"/>
              <w:adjustRightInd w:val="0"/>
              <w:snapToGrid w:val="0"/>
              <w:spacing w:line="440" w:lineRule="exact"/>
              <w:ind w:firstLine="480" w:firstLineChars="200"/>
              <w:textAlignment w:val="center"/>
              <w:rPr>
                <w:color w:val="000000"/>
                <w:sz w:val="24"/>
                <w:szCs w:val="24"/>
              </w:rPr>
            </w:pPr>
            <w:r>
              <w:rPr>
                <w:rFonts w:hint="eastAsia"/>
                <w:color w:val="000000"/>
                <w:sz w:val="24"/>
                <w:szCs w:val="24"/>
              </w:rPr>
              <w:t>二是公司不断优化生产布局和改进工艺流程，提高矿山资源的综合利用水平，对现有东宫下矿山资源“吃干榨净”，主要表现在劣矿资源的配矿利用、高白度高钾钠原矿开发以及瓷石、高硅石的综合利用等方面。</w:t>
            </w:r>
          </w:p>
          <w:p w14:paraId="51373C17">
            <w:pPr>
              <w:keepNext w:val="0"/>
              <w:keepLines w:val="0"/>
              <w:pageBreakBefore w:val="0"/>
              <w:kinsoku/>
              <w:wordWrap/>
              <w:overflowPunct/>
              <w:topLinePunct w:val="0"/>
              <w:autoSpaceDE/>
              <w:autoSpaceDN/>
              <w:bidi w:val="0"/>
              <w:adjustRightInd w:val="0"/>
              <w:snapToGrid w:val="0"/>
              <w:spacing w:line="440" w:lineRule="exact"/>
              <w:ind w:firstLine="480" w:firstLineChars="200"/>
              <w:textAlignment w:val="center"/>
              <w:rPr>
                <w:rFonts w:hint="eastAsia"/>
                <w:color w:val="000000"/>
                <w:sz w:val="24"/>
                <w:szCs w:val="24"/>
              </w:rPr>
            </w:pPr>
            <w:r>
              <w:rPr>
                <w:rFonts w:hint="eastAsia"/>
                <w:color w:val="000000"/>
                <w:sz w:val="24"/>
                <w:szCs w:val="24"/>
              </w:rPr>
              <w:t>三是公司拥有一支经验丰富的专业矿山建设开采团队，能够匹配公司外延式发展战略的实施。公司长期深耕于非金属矿山，通过多年来对高岭土矿山的采选、加工，团队已积累了丰富的非金属矿山及选矿加工开采经验，具备过硬的专业技能和管理能力，能够有效保障矿山及选矿加工开采的科学性、高效性，面对具体运营过程中可能发生的问题和风险，能够快速做出正确判断并提供良好的解决方案。</w:t>
            </w:r>
          </w:p>
          <w:p w14:paraId="0DF4CF64">
            <w:pPr>
              <w:keepNext w:val="0"/>
              <w:keepLines w:val="0"/>
              <w:pageBreakBefore w:val="0"/>
              <w:kinsoku/>
              <w:wordWrap/>
              <w:overflowPunct/>
              <w:topLinePunct w:val="0"/>
              <w:autoSpaceDE/>
              <w:autoSpaceDN/>
              <w:bidi w:val="0"/>
              <w:adjustRightInd w:val="0"/>
              <w:snapToGrid w:val="0"/>
              <w:spacing w:line="440" w:lineRule="exact"/>
              <w:ind w:firstLine="482" w:firstLineChars="200"/>
              <w:textAlignment w:val="center"/>
              <w:rPr>
                <w:b/>
                <w:bCs/>
                <w:color w:val="000000"/>
                <w:sz w:val="24"/>
                <w:szCs w:val="24"/>
              </w:rPr>
            </w:pPr>
            <w:r>
              <w:rPr>
                <w:rFonts w:hint="eastAsia" w:cs="Times New Roman" w:eastAsiaTheme="majorEastAsia"/>
                <w:b/>
                <w:bCs/>
                <w:sz w:val="24"/>
                <w:szCs w:val="24"/>
                <w:lang w:val="en-US" w:eastAsia="zh-CN"/>
              </w:rPr>
              <w:t>4、请介绍</w:t>
            </w:r>
            <w:r>
              <w:rPr>
                <w:rFonts w:hint="eastAsia"/>
                <w:b/>
                <w:bCs/>
                <w:color w:val="000000"/>
                <w:sz w:val="24"/>
                <w:szCs w:val="24"/>
              </w:rPr>
              <w:t>公司</w:t>
            </w:r>
            <w:r>
              <w:rPr>
                <w:rFonts w:hint="eastAsia"/>
                <w:b/>
                <w:bCs/>
                <w:color w:val="000000"/>
                <w:sz w:val="24"/>
                <w:szCs w:val="24"/>
                <w:lang w:eastAsia="zh-CN"/>
              </w:rPr>
              <w:t>的</w:t>
            </w:r>
            <w:r>
              <w:rPr>
                <w:rFonts w:hint="eastAsia"/>
                <w:b/>
                <w:bCs/>
                <w:color w:val="000000"/>
                <w:sz w:val="24"/>
                <w:szCs w:val="24"/>
                <w:lang w:val="en-US" w:eastAsia="zh-CN"/>
              </w:rPr>
              <w:t>发展战略</w:t>
            </w:r>
          </w:p>
          <w:p w14:paraId="65E99190">
            <w:pPr>
              <w:keepNext w:val="0"/>
              <w:keepLines w:val="0"/>
              <w:pageBreakBefore w:val="0"/>
              <w:kinsoku/>
              <w:wordWrap/>
              <w:overflowPunct/>
              <w:topLinePunct w:val="0"/>
              <w:autoSpaceDE/>
              <w:autoSpaceDN/>
              <w:bidi w:val="0"/>
              <w:spacing w:line="440" w:lineRule="exact"/>
              <w:ind w:firstLine="480" w:firstLineChars="200"/>
              <w:textAlignment w:val="center"/>
              <w:rPr>
                <w:rFonts w:hint="default" w:ascii="Times New Roman" w:hAnsi="Times New Roman" w:cs="Times New Roman"/>
                <w:sz w:val="24"/>
                <w:szCs w:val="24"/>
                <w:lang w:val="en-US" w:eastAsia="zh-CN"/>
              </w:rPr>
            </w:pPr>
            <w:r>
              <w:rPr>
                <w:rFonts w:hint="eastAsia" w:ascii="宋体" w:hAnsi="宋体" w:cs="宋体"/>
                <w:sz w:val="24"/>
                <w:szCs w:val="24"/>
              </w:rPr>
              <w:t>回复：</w:t>
            </w:r>
            <w:r>
              <w:rPr>
                <w:rFonts w:hint="eastAsia" w:ascii="宋体" w:hAnsi="宋体" w:cs="宋体"/>
                <w:sz w:val="24"/>
                <w:szCs w:val="24"/>
                <w:lang w:val="en-US" w:eastAsia="zh-CN"/>
              </w:rPr>
              <w:t>公司以打造全国高岭土行业领军企业和非金属矿行业龙头企业为战略目标，坚持“深度开发，综合利用，做大产业群，延伸非金属矿产业链”的发展方向，坚持“产业延伸走下去，资源布局走出去”并举、“实业经营+资本运营”并重的发展战略，坚持立足龙岩，面向全国，着眼全球，根植于非金属矿产资源行业，建立健全完整产业链生态，完成从单矿种到多矿种、单矿山到多矿山、单产业到多产业协同发展的转型，推动公司从传统资源依托型企业发展成为技术驱动、创新引领的现代化资源型矿业企业。</w:t>
            </w:r>
          </w:p>
        </w:tc>
      </w:tr>
    </w:tbl>
    <w:p w14:paraId="76CB2574">
      <w:pPr>
        <w:rPr>
          <w:rFonts w:ascii="仿宋" w:hAnsi="仿宋" w:eastAsia="仿宋"/>
          <w:sz w:val="28"/>
          <w:szCs w:val="28"/>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75851402"/>
    </w:sdtPr>
    <w:sdtContent>
      <w:p w14:paraId="6BC8FDB0">
        <w:pPr>
          <w:pStyle w:val="4"/>
          <w:jc w:val="center"/>
        </w:pPr>
        <w:r>
          <w:fldChar w:fldCharType="begin"/>
        </w:r>
        <w:r>
          <w:instrText xml:space="preserve">PAGE   \* MERGEFORMAT</w:instrText>
        </w:r>
        <w:r>
          <w:fldChar w:fldCharType="separate"/>
        </w:r>
        <w:r>
          <w:rPr>
            <w:lang w:val="zh-CN"/>
          </w:rPr>
          <w:t>3</w:t>
        </w:r>
        <w:r>
          <w:fldChar w:fldCharType="end"/>
        </w:r>
      </w:p>
    </w:sdtContent>
  </w:sdt>
  <w:p w14:paraId="18B93EBA">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EC7"/>
    <w:rsid w:val="00000760"/>
    <w:rsid w:val="00017330"/>
    <w:rsid w:val="00020FEE"/>
    <w:rsid w:val="00021249"/>
    <w:rsid w:val="000217CC"/>
    <w:rsid w:val="0002650B"/>
    <w:rsid w:val="00031BA3"/>
    <w:rsid w:val="000342E6"/>
    <w:rsid w:val="00036C31"/>
    <w:rsid w:val="00040B0B"/>
    <w:rsid w:val="00047460"/>
    <w:rsid w:val="000534FF"/>
    <w:rsid w:val="0005646B"/>
    <w:rsid w:val="0005684D"/>
    <w:rsid w:val="000570DC"/>
    <w:rsid w:val="00067C77"/>
    <w:rsid w:val="00071393"/>
    <w:rsid w:val="000850E0"/>
    <w:rsid w:val="00090D31"/>
    <w:rsid w:val="0009135D"/>
    <w:rsid w:val="00096403"/>
    <w:rsid w:val="000B1696"/>
    <w:rsid w:val="000B616A"/>
    <w:rsid w:val="000B6D71"/>
    <w:rsid w:val="000C0420"/>
    <w:rsid w:val="000C19BA"/>
    <w:rsid w:val="000C4C0C"/>
    <w:rsid w:val="000C52C5"/>
    <w:rsid w:val="000D4F18"/>
    <w:rsid w:val="000D6EEC"/>
    <w:rsid w:val="000E016E"/>
    <w:rsid w:val="000E03EE"/>
    <w:rsid w:val="000E1BDC"/>
    <w:rsid w:val="000E41FD"/>
    <w:rsid w:val="000E46D1"/>
    <w:rsid w:val="000F0620"/>
    <w:rsid w:val="000F2663"/>
    <w:rsid w:val="000F3C01"/>
    <w:rsid w:val="00101B6B"/>
    <w:rsid w:val="00101E58"/>
    <w:rsid w:val="001038FD"/>
    <w:rsid w:val="001049D8"/>
    <w:rsid w:val="00106D64"/>
    <w:rsid w:val="001224BC"/>
    <w:rsid w:val="00130FB3"/>
    <w:rsid w:val="00133DB5"/>
    <w:rsid w:val="00151D20"/>
    <w:rsid w:val="00157EA2"/>
    <w:rsid w:val="0016222E"/>
    <w:rsid w:val="001641E0"/>
    <w:rsid w:val="00172591"/>
    <w:rsid w:val="001877B1"/>
    <w:rsid w:val="001C19F3"/>
    <w:rsid w:val="001D0D0B"/>
    <w:rsid w:val="001E3FA8"/>
    <w:rsid w:val="001E4AF9"/>
    <w:rsid w:val="001F4C14"/>
    <w:rsid w:val="0020392E"/>
    <w:rsid w:val="00204EEF"/>
    <w:rsid w:val="00215B8A"/>
    <w:rsid w:val="002339BD"/>
    <w:rsid w:val="002350AC"/>
    <w:rsid w:val="00236C10"/>
    <w:rsid w:val="00253294"/>
    <w:rsid w:val="0026345A"/>
    <w:rsid w:val="00264E51"/>
    <w:rsid w:val="00267812"/>
    <w:rsid w:val="0029551D"/>
    <w:rsid w:val="00296064"/>
    <w:rsid w:val="00297CCB"/>
    <w:rsid w:val="002A6FA0"/>
    <w:rsid w:val="002B4E1F"/>
    <w:rsid w:val="002C1BE8"/>
    <w:rsid w:val="002C296A"/>
    <w:rsid w:val="002C5F88"/>
    <w:rsid w:val="002D0E08"/>
    <w:rsid w:val="002D4FC2"/>
    <w:rsid w:val="002F2C8D"/>
    <w:rsid w:val="002F2D8C"/>
    <w:rsid w:val="002F4F0B"/>
    <w:rsid w:val="0030167B"/>
    <w:rsid w:val="00310141"/>
    <w:rsid w:val="003129D3"/>
    <w:rsid w:val="00320369"/>
    <w:rsid w:val="00322DBA"/>
    <w:rsid w:val="00340453"/>
    <w:rsid w:val="003426EA"/>
    <w:rsid w:val="0034598B"/>
    <w:rsid w:val="003464F5"/>
    <w:rsid w:val="00347C77"/>
    <w:rsid w:val="00352BCB"/>
    <w:rsid w:val="00357937"/>
    <w:rsid w:val="00362520"/>
    <w:rsid w:val="00376505"/>
    <w:rsid w:val="00376B2F"/>
    <w:rsid w:val="00381E11"/>
    <w:rsid w:val="00385F13"/>
    <w:rsid w:val="00392FE0"/>
    <w:rsid w:val="003A53BB"/>
    <w:rsid w:val="003B0604"/>
    <w:rsid w:val="003B11B2"/>
    <w:rsid w:val="003B11C4"/>
    <w:rsid w:val="003B5EA6"/>
    <w:rsid w:val="003B6D9E"/>
    <w:rsid w:val="003B6F32"/>
    <w:rsid w:val="003C3E62"/>
    <w:rsid w:val="003C5681"/>
    <w:rsid w:val="003D0493"/>
    <w:rsid w:val="003D3AF0"/>
    <w:rsid w:val="003D6140"/>
    <w:rsid w:val="003D715F"/>
    <w:rsid w:val="003F0D3D"/>
    <w:rsid w:val="003F1393"/>
    <w:rsid w:val="003F5E71"/>
    <w:rsid w:val="003F7368"/>
    <w:rsid w:val="003F7511"/>
    <w:rsid w:val="0040048E"/>
    <w:rsid w:val="004026EF"/>
    <w:rsid w:val="00404B8E"/>
    <w:rsid w:val="00404D87"/>
    <w:rsid w:val="00406DCD"/>
    <w:rsid w:val="004146FA"/>
    <w:rsid w:val="0042526C"/>
    <w:rsid w:val="0042585F"/>
    <w:rsid w:val="00427880"/>
    <w:rsid w:val="0043137E"/>
    <w:rsid w:val="00431EDB"/>
    <w:rsid w:val="00436CAC"/>
    <w:rsid w:val="00436D53"/>
    <w:rsid w:val="00450949"/>
    <w:rsid w:val="00451231"/>
    <w:rsid w:val="00455715"/>
    <w:rsid w:val="004641D2"/>
    <w:rsid w:val="00465195"/>
    <w:rsid w:val="0046708E"/>
    <w:rsid w:val="00474BFE"/>
    <w:rsid w:val="004758C4"/>
    <w:rsid w:val="00476BD9"/>
    <w:rsid w:val="004820FB"/>
    <w:rsid w:val="004845FF"/>
    <w:rsid w:val="004951B3"/>
    <w:rsid w:val="004952AC"/>
    <w:rsid w:val="00496355"/>
    <w:rsid w:val="004B1627"/>
    <w:rsid w:val="004B1C85"/>
    <w:rsid w:val="004B3739"/>
    <w:rsid w:val="004C12E4"/>
    <w:rsid w:val="004C666E"/>
    <w:rsid w:val="004D5D8B"/>
    <w:rsid w:val="004F0042"/>
    <w:rsid w:val="004F7080"/>
    <w:rsid w:val="005006EF"/>
    <w:rsid w:val="0050072E"/>
    <w:rsid w:val="0050512C"/>
    <w:rsid w:val="0050536A"/>
    <w:rsid w:val="005107BE"/>
    <w:rsid w:val="005307C1"/>
    <w:rsid w:val="00532060"/>
    <w:rsid w:val="00534EC7"/>
    <w:rsid w:val="00556A58"/>
    <w:rsid w:val="00563A78"/>
    <w:rsid w:val="005652E9"/>
    <w:rsid w:val="005675B4"/>
    <w:rsid w:val="00570820"/>
    <w:rsid w:val="00585797"/>
    <w:rsid w:val="00590E90"/>
    <w:rsid w:val="00591585"/>
    <w:rsid w:val="00593BFF"/>
    <w:rsid w:val="00594F2B"/>
    <w:rsid w:val="00595098"/>
    <w:rsid w:val="005B5E8B"/>
    <w:rsid w:val="005B60A9"/>
    <w:rsid w:val="005B71F1"/>
    <w:rsid w:val="005C3518"/>
    <w:rsid w:val="005C7B9D"/>
    <w:rsid w:val="005D5F2D"/>
    <w:rsid w:val="005D6FA2"/>
    <w:rsid w:val="005E4E09"/>
    <w:rsid w:val="005F15A9"/>
    <w:rsid w:val="005F229B"/>
    <w:rsid w:val="0060389B"/>
    <w:rsid w:val="00612FEE"/>
    <w:rsid w:val="00614381"/>
    <w:rsid w:val="00626F4A"/>
    <w:rsid w:val="006317A3"/>
    <w:rsid w:val="00640553"/>
    <w:rsid w:val="00643070"/>
    <w:rsid w:val="0064406A"/>
    <w:rsid w:val="006444E7"/>
    <w:rsid w:val="00651303"/>
    <w:rsid w:val="006529B5"/>
    <w:rsid w:val="00653185"/>
    <w:rsid w:val="00655CFE"/>
    <w:rsid w:val="00664B9B"/>
    <w:rsid w:val="006701A6"/>
    <w:rsid w:val="00672FE9"/>
    <w:rsid w:val="00681B40"/>
    <w:rsid w:val="0068649B"/>
    <w:rsid w:val="00695107"/>
    <w:rsid w:val="00696AAE"/>
    <w:rsid w:val="00697323"/>
    <w:rsid w:val="0069776F"/>
    <w:rsid w:val="00697FFD"/>
    <w:rsid w:val="006B4337"/>
    <w:rsid w:val="006B78C9"/>
    <w:rsid w:val="006B7EA5"/>
    <w:rsid w:val="006C7D25"/>
    <w:rsid w:val="006D3B78"/>
    <w:rsid w:val="006D5C12"/>
    <w:rsid w:val="006E09CB"/>
    <w:rsid w:val="006E359C"/>
    <w:rsid w:val="006F6D59"/>
    <w:rsid w:val="00700F95"/>
    <w:rsid w:val="00701E0D"/>
    <w:rsid w:val="00714657"/>
    <w:rsid w:val="00717CD8"/>
    <w:rsid w:val="007229E7"/>
    <w:rsid w:val="007259C2"/>
    <w:rsid w:val="00734314"/>
    <w:rsid w:val="00736E19"/>
    <w:rsid w:val="0074205A"/>
    <w:rsid w:val="007423AC"/>
    <w:rsid w:val="007459B0"/>
    <w:rsid w:val="00745D47"/>
    <w:rsid w:val="00751CCA"/>
    <w:rsid w:val="00756FD4"/>
    <w:rsid w:val="00760F70"/>
    <w:rsid w:val="00760F78"/>
    <w:rsid w:val="00764C7B"/>
    <w:rsid w:val="00772232"/>
    <w:rsid w:val="007767AC"/>
    <w:rsid w:val="00782B9A"/>
    <w:rsid w:val="007870FF"/>
    <w:rsid w:val="00794F7B"/>
    <w:rsid w:val="007954EA"/>
    <w:rsid w:val="007A438D"/>
    <w:rsid w:val="007A51E5"/>
    <w:rsid w:val="007A56FB"/>
    <w:rsid w:val="007B1D0B"/>
    <w:rsid w:val="007B444F"/>
    <w:rsid w:val="007C4E45"/>
    <w:rsid w:val="007D134E"/>
    <w:rsid w:val="007D2DDF"/>
    <w:rsid w:val="007D7159"/>
    <w:rsid w:val="007E6063"/>
    <w:rsid w:val="007E7E36"/>
    <w:rsid w:val="00801341"/>
    <w:rsid w:val="00803137"/>
    <w:rsid w:val="008101D5"/>
    <w:rsid w:val="008144B3"/>
    <w:rsid w:val="00814D71"/>
    <w:rsid w:val="00814EE5"/>
    <w:rsid w:val="008322D0"/>
    <w:rsid w:val="00832EA1"/>
    <w:rsid w:val="00834BC5"/>
    <w:rsid w:val="00837906"/>
    <w:rsid w:val="008445DE"/>
    <w:rsid w:val="00855980"/>
    <w:rsid w:val="00856D91"/>
    <w:rsid w:val="00857664"/>
    <w:rsid w:val="008729B5"/>
    <w:rsid w:val="0087479E"/>
    <w:rsid w:val="00877228"/>
    <w:rsid w:val="008840A3"/>
    <w:rsid w:val="00884AD7"/>
    <w:rsid w:val="00886A5F"/>
    <w:rsid w:val="00886B43"/>
    <w:rsid w:val="00893217"/>
    <w:rsid w:val="008963C2"/>
    <w:rsid w:val="00897A6D"/>
    <w:rsid w:val="008A0338"/>
    <w:rsid w:val="008A635E"/>
    <w:rsid w:val="008A6560"/>
    <w:rsid w:val="008B10A2"/>
    <w:rsid w:val="008B5311"/>
    <w:rsid w:val="008C2201"/>
    <w:rsid w:val="008C2CD5"/>
    <w:rsid w:val="008D0241"/>
    <w:rsid w:val="008D2AF4"/>
    <w:rsid w:val="008D61B4"/>
    <w:rsid w:val="008E25B5"/>
    <w:rsid w:val="008F2FA9"/>
    <w:rsid w:val="008F5B4F"/>
    <w:rsid w:val="008F5B7A"/>
    <w:rsid w:val="00901730"/>
    <w:rsid w:val="00910595"/>
    <w:rsid w:val="009211B2"/>
    <w:rsid w:val="0092649C"/>
    <w:rsid w:val="00934F6B"/>
    <w:rsid w:val="009446A2"/>
    <w:rsid w:val="00961296"/>
    <w:rsid w:val="00967C4A"/>
    <w:rsid w:val="009721D7"/>
    <w:rsid w:val="009748A9"/>
    <w:rsid w:val="00975E41"/>
    <w:rsid w:val="00982812"/>
    <w:rsid w:val="00986B61"/>
    <w:rsid w:val="009875A5"/>
    <w:rsid w:val="009A1142"/>
    <w:rsid w:val="009A46B3"/>
    <w:rsid w:val="009A7A77"/>
    <w:rsid w:val="009B0CE4"/>
    <w:rsid w:val="009B2449"/>
    <w:rsid w:val="009B3750"/>
    <w:rsid w:val="009B5F9C"/>
    <w:rsid w:val="009C0979"/>
    <w:rsid w:val="009C76A0"/>
    <w:rsid w:val="009C7949"/>
    <w:rsid w:val="009D090F"/>
    <w:rsid w:val="009D4ABA"/>
    <w:rsid w:val="009D50AC"/>
    <w:rsid w:val="009D7FF0"/>
    <w:rsid w:val="009F3620"/>
    <w:rsid w:val="009F442A"/>
    <w:rsid w:val="00A02E45"/>
    <w:rsid w:val="00A10272"/>
    <w:rsid w:val="00A10B2E"/>
    <w:rsid w:val="00A20B7D"/>
    <w:rsid w:val="00A32446"/>
    <w:rsid w:val="00A3486A"/>
    <w:rsid w:val="00A40573"/>
    <w:rsid w:val="00A462D8"/>
    <w:rsid w:val="00A5453E"/>
    <w:rsid w:val="00A71A0C"/>
    <w:rsid w:val="00A80829"/>
    <w:rsid w:val="00A92284"/>
    <w:rsid w:val="00AB489B"/>
    <w:rsid w:val="00AB49E7"/>
    <w:rsid w:val="00AB4F12"/>
    <w:rsid w:val="00AB70B2"/>
    <w:rsid w:val="00AC1EFF"/>
    <w:rsid w:val="00AC5C1A"/>
    <w:rsid w:val="00AC6D19"/>
    <w:rsid w:val="00AD1147"/>
    <w:rsid w:val="00AD47A5"/>
    <w:rsid w:val="00AF4B2E"/>
    <w:rsid w:val="00AF6CF6"/>
    <w:rsid w:val="00AF7AEF"/>
    <w:rsid w:val="00B04AC2"/>
    <w:rsid w:val="00B167A3"/>
    <w:rsid w:val="00B23C25"/>
    <w:rsid w:val="00B273EB"/>
    <w:rsid w:val="00B27F9A"/>
    <w:rsid w:val="00B618D8"/>
    <w:rsid w:val="00B6326B"/>
    <w:rsid w:val="00B63438"/>
    <w:rsid w:val="00B66AE9"/>
    <w:rsid w:val="00B740F3"/>
    <w:rsid w:val="00B756AB"/>
    <w:rsid w:val="00B76EE9"/>
    <w:rsid w:val="00B7749C"/>
    <w:rsid w:val="00B80FCD"/>
    <w:rsid w:val="00B81737"/>
    <w:rsid w:val="00B9363C"/>
    <w:rsid w:val="00BB0971"/>
    <w:rsid w:val="00BB28BF"/>
    <w:rsid w:val="00BC2613"/>
    <w:rsid w:val="00BC276E"/>
    <w:rsid w:val="00BC46B8"/>
    <w:rsid w:val="00BD0D22"/>
    <w:rsid w:val="00BD429E"/>
    <w:rsid w:val="00BD5C43"/>
    <w:rsid w:val="00BE4DEC"/>
    <w:rsid w:val="00BE5C1B"/>
    <w:rsid w:val="00BE79CF"/>
    <w:rsid w:val="00BF25FB"/>
    <w:rsid w:val="00C0464A"/>
    <w:rsid w:val="00C312C2"/>
    <w:rsid w:val="00C369ED"/>
    <w:rsid w:val="00C44FE4"/>
    <w:rsid w:val="00C52216"/>
    <w:rsid w:val="00C536CA"/>
    <w:rsid w:val="00C5504D"/>
    <w:rsid w:val="00C57BD2"/>
    <w:rsid w:val="00C608F8"/>
    <w:rsid w:val="00C6201B"/>
    <w:rsid w:val="00C72FDC"/>
    <w:rsid w:val="00C826B3"/>
    <w:rsid w:val="00C84FE7"/>
    <w:rsid w:val="00C925D1"/>
    <w:rsid w:val="00C958AE"/>
    <w:rsid w:val="00CA2592"/>
    <w:rsid w:val="00CA4537"/>
    <w:rsid w:val="00CA7701"/>
    <w:rsid w:val="00CB0A79"/>
    <w:rsid w:val="00CB38AE"/>
    <w:rsid w:val="00CB54C8"/>
    <w:rsid w:val="00CB7E82"/>
    <w:rsid w:val="00CC15A6"/>
    <w:rsid w:val="00CC1F6B"/>
    <w:rsid w:val="00CD0875"/>
    <w:rsid w:val="00CD7725"/>
    <w:rsid w:val="00CE547C"/>
    <w:rsid w:val="00CE6C8E"/>
    <w:rsid w:val="00CF24AA"/>
    <w:rsid w:val="00D045BD"/>
    <w:rsid w:val="00D06009"/>
    <w:rsid w:val="00D104FA"/>
    <w:rsid w:val="00D15ABE"/>
    <w:rsid w:val="00D308CB"/>
    <w:rsid w:val="00D33C3B"/>
    <w:rsid w:val="00D342D7"/>
    <w:rsid w:val="00D42D1A"/>
    <w:rsid w:val="00D55C69"/>
    <w:rsid w:val="00D5720F"/>
    <w:rsid w:val="00D666E2"/>
    <w:rsid w:val="00D84A00"/>
    <w:rsid w:val="00D95328"/>
    <w:rsid w:val="00D95DD7"/>
    <w:rsid w:val="00DA3C38"/>
    <w:rsid w:val="00DC01D3"/>
    <w:rsid w:val="00DC0D0B"/>
    <w:rsid w:val="00DC16DA"/>
    <w:rsid w:val="00DC3FD9"/>
    <w:rsid w:val="00DC4EF4"/>
    <w:rsid w:val="00DC5F9E"/>
    <w:rsid w:val="00DD5EED"/>
    <w:rsid w:val="00DD5F05"/>
    <w:rsid w:val="00DE1C1C"/>
    <w:rsid w:val="00DE3C2E"/>
    <w:rsid w:val="00DE5254"/>
    <w:rsid w:val="00DF669F"/>
    <w:rsid w:val="00E008AE"/>
    <w:rsid w:val="00E00D04"/>
    <w:rsid w:val="00E16149"/>
    <w:rsid w:val="00E248ED"/>
    <w:rsid w:val="00E4008F"/>
    <w:rsid w:val="00E42879"/>
    <w:rsid w:val="00E50B1C"/>
    <w:rsid w:val="00E515B4"/>
    <w:rsid w:val="00E51622"/>
    <w:rsid w:val="00E6640E"/>
    <w:rsid w:val="00E67637"/>
    <w:rsid w:val="00E67E6E"/>
    <w:rsid w:val="00E72347"/>
    <w:rsid w:val="00E73609"/>
    <w:rsid w:val="00E80253"/>
    <w:rsid w:val="00E86811"/>
    <w:rsid w:val="00E920B5"/>
    <w:rsid w:val="00E93B15"/>
    <w:rsid w:val="00EA47AD"/>
    <w:rsid w:val="00EB0F3A"/>
    <w:rsid w:val="00EB2B16"/>
    <w:rsid w:val="00EB5CDF"/>
    <w:rsid w:val="00EB6DC9"/>
    <w:rsid w:val="00EC3950"/>
    <w:rsid w:val="00EE681B"/>
    <w:rsid w:val="00EF49F9"/>
    <w:rsid w:val="00EF62A3"/>
    <w:rsid w:val="00EF7485"/>
    <w:rsid w:val="00F0499A"/>
    <w:rsid w:val="00F17B51"/>
    <w:rsid w:val="00F207DB"/>
    <w:rsid w:val="00F225F9"/>
    <w:rsid w:val="00F22C14"/>
    <w:rsid w:val="00F257CF"/>
    <w:rsid w:val="00F4097F"/>
    <w:rsid w:val="00F40C20"/>
    <w:rsid w:val="00F42A7B"/>
    <w:rsid w:val="00F51431"/>
    <w:rsid w:val="00F57F21"/>
    <w:rsid w:val="00F60335"/>
    <w:rsid w:val="00F61C39"/>
    <w:rsid w:val="00F63D93"/>
    <w:rsid w:val="00F706BB"/>
    <w:rsid w:val="00F70E42"/>
    <w:rsid w:val="00F71CF3"/>
    <w:rsid w:val="00F7681B"/>
    <w:rsid w:val="00F85252"/>
    <w:rsid w:val="00F85C28"/>
    <w:rsid w:val="00F93A6F"/>
    <w:rsid w:val="00F970A4"/>
    <w:rsid w:val="00F97CC5"/>
    <w:rsid w:val="00FA063F"/>
    <w:rsid w:val="00FB0856"/>
    <w:rsid w:val="00FB4B4C"/>
    <w:rsid w:val="00FB50E6"/>
    <w:rsid w:val="00FD3711"/>
    <w:rsid w:val="00FE0070"/>
    <w:rsid w:val="00FE28FB"/>
    <w:rsid w:val="00FE66FE"/>
    <w:rsid w:val="00FF078A"/>
    <w:rsid w:val="00FF3743"/>
    <w:rsid w:val="00FF525C"/>
    <w:rsid w:val="13B00EEA"/>
    <w:rsid w:val="1B20479F"/>
    <w:rsid w:val="1EE935FD"/>
    <w:rsid w:val="20852E30"/>
    <w:rsid w:val="248442A2"/>
    <w:rsid w:val="27885B29"/>
    <w:rsid w:val="2A7E3233"/>
    <w:rsid w:val="46820E34"/>
    <w:rsid w:val="4BBD059B"/>
    <w:rsid w:val="4E5F5456"/>
    <w:rsid w:val="4F381B84"/>
    <w:rsid w:val="56B643B6"/>
    <w:rsid w:val="57BD5DC3"/>
    <w:rsid w:val="627977F7"/>
    <w:rsid w:val="632F4287"/>
    <w:rsid w:val="63901B74"/>
    <w:rsid w:val="69FF655F"/>
    <w:rsid w:val="729B44FA"/>
    <w:rsid w:val="77F42EED"/>
    <w:rsid w:val="7CF83C70"/>
    <w:rsid w:val="7DEE0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rPr>
      <w:szCs w:val="24"/>
    </w:rPr>
  </w:style>
  <w:style w:type="paragraph" w:styleId="3">
    <w:name w:val="Balloon Text"/>
    <w:basedOn w:val="1"/>
    <w:link w:val="17"/>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kern w:val="0"/>
      <w:sz w:val="24"/>
    </w:rPr>
  </w:style>
  <w:style w:type="paragraph" w:styleId="7">
    <w:name w:val="Title"/>
    <w:basedOn w:val="1"/>
    <w:next w:val="1"/>
    <w:qFormat/>
    <w:uiPriority w:val="10"/>
    <w:pPr>
      <w:spacing w:before="240" w:after="60"/>
      <w:jc w:val="center"/>
      <w:outlineLvl w:val="0"/>
    </w:pPr>
    <w:rPr>
      <w:rFonts w:asciiTheme="majorHAnsi" w:hAnsiTheme="majorHAnsi" w:eastAsiaTheme="majorEastAsia" w:cstheme="majorBidi"/>
      <w:b/>
      <w:bCs/>
      <w:sz w:val="32"/>
      <w:szCs w:val="32"/>
    </w:rPr>
  </w:style>
  <w:style w:type="paragraph" w:styleId="8">
    <w:name w:val="annotation subject"/>
    <w:basedOn w:val="2"/>
    <w:next w:val="2"/>
    <w:link w:val="18"/>
    <w:semiHidden/>
    <w:unhideWhenUsed/>
    <w:qFormat/>
    <w:uiPriority w:val="99"/>
    <w:rPr>
      <w:b/>
      <w:bCs/>
      <w:szCs w:val="20"/>
    </w:r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styleId="13">
    <w:name w:val="annotation reference"/>
    <w:basedOn w:val="10"/>
    <w:semiHidden/>
    <w:unhideWhenUsed/>
    <w:qFormat/>
    <w:uiPriority w:val="99"/>
    <w:rPr>
      <w:sz w:val="21"/>
      <w:szCs w:val="21"/>
    </w:rPr>
  </w:style>
  <w:style w:type="character" w:customStyle="1" w:styleId="14">
    <w:name w:val="页眉 字符"/>
    <w:basedOn w:val="10"/>
    <w:link w:val="5"/>
    <w:qFormat/>
    <w:uiPriority w:val="99"/>
    <w:rPr>
      <w:sz w:val="18"/>
      <w:szCs w:val="18"/>
    </w:rPr>
  </w:style>
  <w:style w:type="character" w:customStyle="1" w:styleId="15">
    <w:name w:val="页脚 字符"/>
    <w:basedOn w:val="10"/>
    <w:link w:val="4"/>
    <w:qFormat/>
    <w:uiPriority w:val="99"/>
    <w:rPr>
      <w:sz w:val="18"/>
      <w:szCs w:val="18"/>
    </w:rPr>
  </w:style>
  <w:style w:type="character" w:customStyle="1" w:styleId="16">
    <w:name w:val="批注文字 字符"/>
    <w:basedOn w:val="10"/>
    <w:link w:val="2"/>
    <w:semiHidden/>
    <w:qFormat/>
    <w:uiPriority w:val="99"/>
    <w:rPr>
      <w:rFonts w:ascii="Times New Roman" w:hAnsi="Times New Roman" w:eastAsia="宋体" w:cs="Times New Roman"/>
      <w:szCs w:val="24"/>
    </w:rPr>
  </w:style>
  <w:style w:type="character" w:customStyle="1" w:styleId="17">
    <w:name w:val="批注框文本 字符"/>
    <w:basedOn w:val="10"/>
    <w:link w:val="3"/>
    <w:semiHidden/>
    <w:qFormat/>
    <w:uiPriority w:val="99"/>
    <w:rPr>
      <w:rFonts w:ascii="Times New Roman" w:hAnsi="Times New Roman" w:eastAsia="宋体" w:cs="Times New Roman"/>
      <w:sz w:val="18"/>
      <w:szCs w:val="18"/>
    </w:rPr>
  </w:style>
  <w:style w:type="character" w:customStyle="1" w:styleId="18">
    <w:name w:val="批注主题 字符"/>
    <w:basedOn w:val="16"/>
    <w:link w:val="8"/>
    <w:semiHidden/>
    <w:qFormat/>
    <w:uiPriority w:val="99"/>
    <w:rPr>
      <w:rFonts w:ascii="Times New Roman" w:hAnsi="Times New Roman" w:eastAsia="宋体" w:cs="Times New Roman"/>
      <w:b/>
      <w:bCs/>
      <w:szCs w:val="20"/>
    </w:rPr>
  </w:style>
  <w:style w:type="character" w:customStyle="1" w:styleId="19">
    <w:name w:val="ng-binding"/>
    <w:basedOn w:val="10"/>
    <w:qFormat/>
    <w:uiPriority w:val="0"/>
  </w:style>
  <w:style w:type="paragraph" w:styleId="20">
    <w:name w:val="List Paragraph"/>
    <w:basedOn w:val="1"/>
    <w:qFormat/>
    <w:uiPriority w:val="34"/>
    <w:pPr>
      <w:ind w:firstLine="420" w:firstLineChars="200"/>
    </w:pPr>
  </w:style>
  <w:style w:type="paragraph" w:customStyle="1" w:styleId="21">
    <w:name w:val="修订1"/>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4.xml"/><Relationship Id="rId7" Type="http://schemas.openxmlformats.org/officeDocument/2006/relationships/customXml" Target="../customXml/item3.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8A1CD0ACEFB685468ADC9D3ECFE50AA2" ma:contentTypeVersion="0" ma:contentTypeDescription="新建文档。" ma:contentTypeScope="" ma:versionID="def0500d8bfa075d08ce612c1990ead7">
  <xsd:schema xmlns:xsd="http://www.w3.org/2001/XMLSchema" xmlns:xs="http://www.w3.org/2001/XMLSchema" xmlns:p="http://schemas.microsoft.com/office/2006/metadata/properties" targetNamespace="http://schemas.microsoft.com/office/2006/metadata/properties" ma:root="true" ma:fieldsID="9adfd09ad98667f9c194c646e975416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827DC-EA26-4EAA-8882-A01B9C6A816A}">
  <ds:schemaRefs/>
</ds:datastoreItem>
</file>

<file path=customXml/itemProps2.xml><?xml version="1.0" encoding="utf-8"?>
<ds:datastoreItem xmlns:ds="http://schemas.openxmlformats.org/officeDocument/2006/customXml" ds:itemID="{F6BFC278-BEBC-42A5-B820-CCD868AC3039}">
  <ds:schemaRefs/>
</ds:datastoreItem>
</file>

<file path=customXml/itemProps3.xml><?xml version="1.0" encoding="utf-8"?>
<ds:datastoreItem xmlns:ds="http://schemas.openxmlformats.org/officeDocument/2006/customXml" ds:itemID="{4898DF68-7BEF-4E9F-A3FC-08FE69096638}">
  <ds:schemaRefs/>
</ds:datastoreItem>
</file>

<file path=customXml/itemProps4.xml><?xml version="1.0" encoding="utf-8"?>
<ds:datastoreItem xmlns:ds="http://schemas.openxmlformats.org/officeDocument/2006/customXml" ds:itemID="{52174B81-72C2-4AC1-A680-DCC53D19F431}">
  <ds:schemaRefs/>
</ds:datastoreItem>
</file>

<file path=docProps/app.xml><?xml version="1.0" encoding="utf-8"?>
<Properties xmlns="http://schemas.openxmlformats.org/officeDocument/2006/extended-properties" xmlns:vt="http://schemas.openxmlformats.org/officeDocument/2006/docPropsVTypes">
  <Template>Normal</Template>
  <Pages>2</Pages>
  <Words>1452</Words>
  <Characters>1563</Characters>
  <Lines>13</Lines>
  <Paragraphs>3</Paragraphs>
  <TotalTime>7</TotalTime>
  <ScaleCrop>false</ScaleCrop>
  <LinksUpToDate>false</LinksUpToDate>
  <CharactersWithSpaces>1695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2021-06-01T10:38:00Z</dcterms:created>
  <dc:creator>Admin</dc:creator>
  <cp:lastModifiedBy>涂梦琦</cp:lastModifiedBy>
  <dcterms:modified xsi:type="dcterms:W3CDTF">2026-09-02T02:03:16Z</dcterms:modified>
  <cp:revision>87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0x0101008A1CD0ACEFB685468ADC9D3ECFE50AA2</vt:lpwstr>
  </property>
  <property fmtid="{D5CDD505-2E9C-101B-9397-08002B2CF9AE}" pid="3" name="KSOTemplateDocerSaveRecord">
    <vt:lpwstr>eyJoZGlkIjoiZDY3OGQxZTNjYzM1M2EwZDlhOGM2MzE5ZjI2MTZjYmEiLCJ1c2VySWQiOiIyMjEzMjQ3MDUifQ==</vt:lpwstr>
  </property>
  <property fmtid="{D5CDD505-2E9C-101B-9397-08002B2CF9AE}" pid="4" name="KSOProductBuildVer">
    <vt:lpwstr>2052-12.1.0.28043</vt:lpwstr>
  </property>
  <property fmtid="{D5CDD505-2E9C-101B-9397-08002B2CF9AE}" pid="5" name="ICV">
    <vt:lpwstr>F5A938D67F40491CB5721CEF11A03C7F_12</vt:lpwstr>
  </property>
</Properties>
</file>