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2A5217" w14:paraId="04BB9441" w14:textId="77777777">
        <w:trPr>
          <w:trHeight w:val="132"/>
        </w:trPr>
        <w:tc>
          <w:tcPr>
            <w:tcW w:w="4148" w:type="dxa"/>
          </w:tcPr>
          <w:p w14:paraId="75F58838" w14:textId="77777777" w:rsidR="002A5217" w:rsidRDefault="009C092B">
            <w:r>
              <w:rPr>
                <w:rFonts w:hint="eastAsia"/>
              </w:rPr>
              <w:t>证券代码：</w:t>
            </w:r>
            <w:r>
              <w:t>601607</w:t>
            </w:r>
          </w:p>
          <w:p w14:paraId="6777CCEB" w14:textId="77777777" w:rsidR="002A5217" w:rsidRDefault="002A5217"/>
        </w:tc>
        <w:tc>
          <w:tcPr>
            <w:tcW w:w="4148" w:type="dxa"/>
          </w:tcPr>
          <w:p w14:paraId="79FD47E2" w14:textId="77777777" w:rsidR="002A5217" w:rsidRDefault="009C092B">
            <w:pPr>
              <w:jc w:val="right"/>
            </w:pPr>
            <w:r>
              <w:rPr>
                <w:rFonts w:hint="eastAsia"/>
              </w:rPr>
              <w:t>证券简称：上海医药</w:t>
            </w:r>
          </w:p>
        </w:tc>
      </w:tr>
    </w:tbl>
    <w:p w14:paraId="2B332B80" w14:textId="77777777" w:rsidR="002A5217" w:rsidRDefault="009C092B">
      <w:pPr>
        <w:spacing w:line="440" w:lineRule="exact"/>
        <w:jc w:val="center"/>
        <w:rPr>
          <w:rStyle w:val="NormalCharacter"/>
          <w:rFonts w:ascii="宋体" w:hAnsi="宋体"/>
          <w:b/>
          <w:bCs/>
          <w:iCs/>
          <w:sz w:val="24"/>
        </w:rPr>
      </w:pPr>
      <w:r>
        <w:rPr>
          <w:rStyle w:val="NormalCharacter"/>
          <w:rFonts w:ascii="宋体" w:hAnsi="宋体"/>
          <w:b/>
          <w:bCs/>
          <w:iCs/>
          <w:sz w:val="24"/>
        </w:rPr>
        <w:t>上海医药</w:t>
      </w:r>
      <w:r>
        <w:rPr>
          <w:rStyle w:val="NormalCharacter"/>
          <w:rFonts w:ascii="宋体" w:hAnsi="宋体" w:hint="eastAsia"/>
          <w:b/>
          <w:bCs/>
          <w:iCs/>
          <w:sz w:val="24"/>
        </w:rPr>
        <w:t>集团</w:t>
      </w:r>
      <w:r>
        <w:rPr>
          <w:rStyle w:val="NormalCharacter"/>
          <w:rFonts w:ascii="宋体" w:hAnsi="宋体"/>
          <w:b/>
          <w:bCs/>
          <w:iCs/>
          <w:sz w:val="24"/>
        </w:rPr>
        <w:t>股份有限公司</w:t>
      </w:r>
    </w:p>
    <w:p w14:paraId="65189594" w14:textId="77777777" w:rsidR="002A5217" w:rsidRDefault="009C092B">
      <w:pPr>
        <w:spacing w:line="440" w:lineRule="exact"/>
        <w:jc w:val="center"/>
        <w:rPr>
          <w:rStyle w:val="NormalCharacter"/>
          <w:rFonts w:ascii="宋体" w:hAnsi="宋体"/>
          <w:b/>
          <w:bCs/>
          <w:iCs/>
          <w:sz w:val="24"/>
        </w:rPr>
      </w:pPr>
      <w:r>
        <w:rPr>
          <w:rStyle w:val="NormalCharacter"/>
          <w:rFonts w:ascii="宋体" w:hAnsi="宋体"/>
          <w:b/>
          <w:bCs/>
          <w:iCs/>
          <w:sz w:val="24"/>
        </w:rPr>
        <w:t>投资者关系活动记录表</w:t>
      </w:r>
    </w:p>
    <w:p w14:paraId="7B2F44ED" w14:textId="04F19CFC" w:rsidR="002A5217" w:rsidRDefault="009C092B">
      <w:pPr>
        <w:spacing w:line="440" w:lineRule="exact"/>
        <w:rPr>
          <w:rStyle w:val="NormalCharacter"/>
          <w:rFonts w:ascii="宋体" w:hAnsi="宋体"/>
          <w:bCs/>
          <w:iCs/>
          <w:sz w:val="24"/>
        </w:rPr>
      </w:pPr>
      <w:r>
        <w:rPr>
          <w:rStyle w:val="NormalCharacter"/>
          <w:rFonts w:ascii="宋体" w:hAnsi="宋体"/>
          <w:bCs/>
          <w:iCs/>
          <w:sz w:val="24"/>
        </w:rPr>
        <w:t xml:space="preserve">                                                       编号：2026-00</w:t>
      </w:r>
      <w:r w:rsidR="002269FA">
        <w:rPr>
          <w:rStyle w:val="NormalCharacter"/>
          <w:rFonts w:ascii="宋体" w:hAnsi="宋体"/>
          <w:bCs/>
          <w:iCs/>
          <w:sz w:val="24"/>
        </w:rPr>
        <w:t>8</w:t>
      </w:r>
    </w:p>
    <w:tbl>
      <w:tblPr>
        <w:tblW w:w="8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262"/>
        <w:gridCol w:w="7282"/>
      </w:tblGrid>
      <w:tr w:rsidR="002A5217" w14:paraId="77FBAC0D" w14:textId="77777777">
        <w:trPr>
          <w:trHeight w:val="1881"/>
          <w:jc w:val="center"/>
        </w:trPr>
        <w:tc>
          <w:tcPr>
            <w:tcW w:w="1262" w:type="dxa"/>
            <w:tcBorders>
              <w:top w:val="single" w:sz="4" w:space="0" w:color="000000"/>
              <w:left w:val="single" w:sz="4" w:space="0" w:color="000000"/>
              <w:bottom w:val="single" w:sz="4" w:space="0" w:color="000000"/>
              <w:right w:val="single" w:sz="4" w:space="0" w:color="000000"/>
            </w:tcBorders>
          </w:tcPr>
          <w:p w14:paraId="5F742318"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投资者关系活动类别</w:t>
            </w:r>
          </w:p>
          <w:p w14:paraId="0573383F" w14:textId="77777777" w:rsidR="002A5217" w:rsidRDefault="002A5217">
            <w:pPr>
              <w:spacing w:line="440" w:lineRule="exact"/>
              <w:rPr>
                <w:rStyle w:val="NormalCharacter"/>
                <w:rFonts w:ascii="宋体" w:hAnsi="宋体"/>
                <w:bCs/>
                <w:iCs/>
                <w:sz w:val="24"/>
              </w:rPr>
            </w:pPr>
          </w:p>
        </w:tc>
        <w:tc>
          <w:tcPr>
            <w:tcW w:w="7282" w:type="dxa"/>
            <w:tcBorders>
              <w:top w:val="single" w:sz="4" w:space="0" w:color="000000"/>
              <w:left w:val="single" w:sz="4" w:space="0" w:color="000000"/>
              <w:bottom w:val="single" w:sz="4" w:space="0" w:color="000000"/>
              <w:right w:val="single" w:sz="4" w:space="0" w:color="000000"/>
            </w:tcBorders>
          </w:tcPr>
          <w:p w14:paraId="30418B46" w14:textId="2569EF61" w:rsidR="002A5217" w:rsidRDefault="009C092B">
            <w:pPr>
              <w:spacing w:line="440" w:lineRule="exact"/>
              <w:rPr>
                <w:rStyle w:val="NormalCharacter"/>
                <w:rFonts w:ascii="宋体" w:hAnsi="宋体"/>
                <w:bCs/>
                <w:iCs/>
                <w:sz w:val="24"/>
              </w:rPr>
            </w:pPr>
            <w:r>
              <w:rPr>
                <w:rStyle w:val="NormalCharacter"/>
                <w:rFonts w:ascii="宋体" w:hAnsi="宋体" w:hint="eastAsia"/>
                <w:bCs/>
                <w:iCs/>
                <w:sz w:val="24"/>
              </w:rPr>
              <w:t>□</w:t>
            </w:r>
            <w:r>
              <w:rPr>
                <w:rStyle w:val="NormalCharacter"/>
                <w:rFonts w:ascii="宋体" w:hAnsi="宋体"/>
                <w:sz w:val="24"/>
              </w:rPr>
              <w:t xml:space="preserve">特定对象调研        </w:t>
            </w:r>
            <w:r w:rsidR="002269FA">
              <w:rPr>
                <w:rStyle w:val="NormalCharacter"/>
                <w:rFonts w:ascii="宋体" w:hAnsi="宋体" w:hint="eastAsia"/>
                <w:bCs/>
                <w:iCs/>
                <w:sz w:val="24"/>
              </w:rPr>
              <w:t>□</w:t>
            </w:r>
            <w:r>
              <w:rPr>
                <w:rStyle w:val="NormalCharacter"/>
                <w:rFonts w:ascii="宋体" w:hAnsi="宋体"/>
                <w:sz w:val="24"/>
              </w:rPr>
              <w:t>分析师会议</w:t>
            </w:r>
          </w:p>
          <w:p w14:paraId="5D88D3B8" w14:textId="77777777" w:rsidR="002A5217" w:rsidRDefault="009C092B">
            <w:pPr>
              <w:spacing w:line="440" w:lineRule="exact"/>
              <w:rPr>
                <w:rStyle w:val="NormalCharacter"/>
                <w:rFonts w:ascii="宋体" w:hAnsi="宋体"/>
                <w:bCs/>
                <w:iCs/>
                <w:sz w:val="24"/>
              </w:rPr>
            </w:pPr>
            <w:bookmarkStart w:id="0" w:name="OLE_LINK1"/>
            <w:r>
              <w:rPr>
                <w:rStyle w:val="NormalCharacter"/>
                <w:rFonts w:ascii="宋体" w:hAnsi="宋体" w:hint="eastAsia"/>
                <w:bCs/>
                <w:iCs/>
                <w:sz w:val="24"/>
              </w:rPr>
              <w:t>□</w:t>
            </w:r>
            <w:bookmarkEnd w:id="0"/>
            <w:r>
              <w:rPr>
                <w:rStyle w:val="NormalCharacter"/>
                <w:rFonts w:ascii="宋体" w:hAnsi="宋体"/>
                <w:sz w:val="24"/>
              </w:rPr>
              <w:t xml:space="preserve">媒体采访            </w:t>
            </w:r>
            <w:r>
              <w:rPr>
                <w:rStyle w:val="NormalCharacter"/>
                <w:rFonts w:ascii="宋体" w:hAnsi="宋体" w:hint="eastAsia"/>
                <w:bCs/>
                <w:iCs/>
                <w:sz w:val="24"/>
              </w:rPr>
              <w:t>□</w:t>
            </w:r>
            <w:r>
              <w:rPr>
                <w:rStyle w:val="NormalCharacter"/>
                <w:rFonts w:ascii="宋体" w:hAnsi="宋体"/>
                <w:sz w:val="24"/>
              </w:rPr>
              <w:t>业绩说明会</w:t>
            </w:r>
          </w:p>
          <w:p w14:paraId="652F2B22" w14:textId="77777777" w:rsidR="002A5217" w:rsidRDefault="009C092B">
            <w:pPr>
              <w:spacing w:line="440" w:lineRule="exact"/>
              <w:rPr>
                <w:rStyle w:val="NormalCharacter"/>
                <w:rFonts w:ascii="宋体" w:hAnsi="宋体"/>
                <w:bCs/>
                <w:iCs/>
                <w:sz w:val="24"/>
              </w:rPr>
            </w:pPr>
            <w:r>
              <w:rPr>
                <w:rStyle w:val="NormalCharacter"/>
                <w:rFonts w:ascii="宋体" w:hAnsi="宋体" w:hint="eastAsia"/>
                <w:bCs/>
                <w:iCs/>
                <w:sz w:val="24"/>
              </w:rPr>
              <w:t>□</w:t>
            </w:r>
            <w:r>
              <w:rPr>
                <w:rStyle w:val="NormalCharacter"/>
                <w:rFonts w:ascii="宋体" w:hAnsi="宋体"/>
                <w:sz w:val="24"/>
              </w:rPr>
              <w:t xml:space="preserve">新闻发布会          </w:t>
            </w:r>
            <w:r>
              <w:rPr>
                <w:rStyle w:val="NormalCharacter"/>
                <w:rFonts w:ascii="宋体" w:hAnsi="宋体"/>
                <w:bCs/>
                <w:iCs/>
                <w:sz w:val="24"/>
              </w:rPr>
              <w:sym w:font="Wingdings 2" w:char="F052"/>
            </w:r>
            <w:r>
              <w:rPr>
                <w:rStyle w:val="NormalCharacter"/>
                <w:rFonts w:ascii="宋体" w:hAnsi="宋体"/>
                <w:sz w:val="24"/>
              </w:rPr>
              <w:t>路演活动</w:t>
            </w:r>
          </w:p>
          <w:p w14:paraId="5D96A9C4" w14:textId="77777777" w:rsidR="002A5217" w:rsidRDefault="009C092B">
            <w:pPr>
              <w:tabs>
                <w:tab w:val="left" w:pos="3045"/>
                <w:tab w:val="center" w:pos="3199"/>
              </w:tabs>
              <w:spacing w:line="440" w:lineRule="exact"/>
              <w:ind w:left="1320" w:hangingChars="550" w:hanging="1320"/>
              <w:rPr>
                <w:rStyle w:val="NormalCharacter"/>
                <w:rFonts w:ascii="宋体" w:hAnsi="宋体"/>
                <w:bCs/>
                <w:iCs/>
                <w:sz w:val="24"/>
              </w:rPr>
            </w:pPr>
            <w:r>
              <w:rPr>
                <w:rStyle w:val="NormalCharacter"/>
                <w:rFonts w:ascii="宋体" w:hAnsi="宋体" w:hint="eastAsia"/>
                <w:bCs/>
                <w:iCs/>
                <w:sz w:val="24"/>
              </w:rPr>
              <w:t>□</w:t>
            </w:r>
            <w:r>
              <w:rPr>
                <w:rStyle w:val="NormalCharacter"/>
                <w:rFonts w:ascii="宋体" w:hAnsi="宋体"/>
                <w:sz w:val="24"/>
              </w:rPr>
              <w:t>现场参观</w:t>
            </w:r>
            <w:r>
              <w:rPr>
                <w:rStyle w:val="NormalCharacter"/>
                <w:rFonts w:ascii="宋体" w:hAnsi="宋体"/>
                <w:bCs/>
                <w:iCs/>
                <w:sz w:val="24"/>
              </w:rPr>
              <w:tab/>
              <w:t xml:space="preserve">           </w:t>
            </w:r>
            <w:bookmarkStart w:id="1" w:name="OLE_LINK2"/>
            <w:r>
              <w:rPr>
                <w:rStyle w:val="NormalCharacter"/>
                <w:rFonts w:ascii="宋体" w:hAnsi="宋体" w:hint="eastAsia"/>
                <w:bCs/>
                <w:iCs/>
                <w:sz w:val="24"/>
              </w:rPr>
              <w:t>□</w:t>
            </w:r>
            <w:bookmarkEnd w:id="1"/>
            <w:r>
              <w:rPr>
                <w:rStyle w:val="NormalCharacter"/>
                <w:rFonts w:ascii="宋体" w:hAnsi="宋体"/>
                <w:sz w:val="24"/>
              </w:rPr>
              <w:t>其他</w:t>
            </w:r>
            <w:r>
              <w:rPr>
                <w:rStyle w:val="NormalCharacter"/>
                <w:rFonts w:ascii="宋体" w:hAnsi="宋体" w:hint="eastAsia"/>
                <w:sz w:val="24"/>
                <w:u w:val="single"/>
              </w:rPr>
              <w:t xml:space="preserve"> </w:t>
            </w:r>
            <w:r>
              <w:rPr>
                <w:rStyle w:val="NormalCharacter"/>
                <w:rFonts w:ascii="宋体" w:hAnsi="宋体"/>
                <w:sz w:val="24"/>
                <w:u w:val="single"/>
              </w:rPr>
              <w:t xml:space="preserve">      </w:t>
            </w:r>
            <w:r>
              <w:rPr>
                <w:rStyle w:val="NormalCharacter"/>
                <w:rFonts w:ascii="宋体" w:hAnsi="宋体" w:hint="eastAsia"/>
                <w:sz w:val="24"/>
                <w:u w:val="single"/>
              </w:rPr>
              <w:t xml:space="preserve"> </w:t>
            </w:r>
            <w:r>
              <w:rPr>
                <w:rStyle w:val="NormalCharacter"/>
                <w:rFonts w:ascii="宋体" w:hAnsi="宋体"/>
                <w:sz w:val="24"/>
                <w:u w:val="single"/>
              </w:rPr>
              <w:t xml:space="preserve">       </w:t>
            </w:r>
            <w:r>
              <w:rPr>
                <w:rStyle w:val="NormalCharacter"/>
                <w:rFonts w:ascii="宋体" w:hAnsi="宋体" w:hint="eastAsia"/>
                <w:sz w:val="24"/>
                <w:u w:val="single"/>
              </w:rPr>
              <w:t xml:space="preserve"> </w:t>
            </w:r>
            <w:r>
              <w:rPr>
                <w:rStyle w:val="NormalCharacter"/>
                <w:rFonts w:ascii="宋体" w:hAnsi="宋体"/>
                <w:sz w:val="24"/>
                <w:u w:val="single"/>
              </w:rPr>
              <w:t xml:space="preserve">   </w:t>
            </w:r>
            <w:r>
              <w:rPr>
                <w:rStyle w:val="NormalCharacter"/>
                <w:rFonts w:ascii="宋体" w:hAnsi="宋体" w:hint="eastAsia"/>
                <w:sz w:val="24"/>
                <w:u w:val="single"/>
              </w:rPr>
              <w:t xml:space="preserve"> </w:t>
            </w:r>
            <w:r>
              <w:rPr>
                <w:rStyle w:val="NormalCharacter"/>
                <w:rFonts w:ascii="宋体" w:hAnsi="宋体"/>
                <w:sz w:val="24"/>
                <w:u w:val="single"/>
              </w:rPr>
              <w:t xml:space="preserve">     </w:t>
            </w:r>
          </w:p>
        </w:tc>
      </w:tr>
      <w:tr w:rsidR="002A5217" w14:paraId="71625F9A" w14:textId="77777777">
        <w:trPr>
          <w:trHeight w:val="1491"/>
          <w:jc w:val="center"/>
        </w:trPr>
        <w:tc>
          <w:tcPr>
            <w:tcW w:w="1262" w:type="dxa"/>
            <w:tcBorders>
              <w:top w:val="single" w:sz="4" w:space="0" w:color="000000"/>
              <w:left w:val="single" w:sz="4" w:space="0" w:color="000000"/>
              <w:bottom w:val="single" w:sz="4" w:space="0" w:color="000000"/>
              <w:right w:val="single" w:sz="4" w:space="0" w:color="000000"/>
            </w:tcBorders>
          </w:tcPr>
          <w:p w14:paraId="0D04657D"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参与单位名称</w:t>
            </w:r>
          </w:p>
        </w:tc>
        <w:tc>
          <w:tcPr>
            <w:tcW w:w="7282" w:type="dxa"/>
            <w:tcBorders>
              <w:top w:val="single" w:sz="4" w:space="0" w:color="000000"/>
              <w:left w:val="single" w:sz="4" w:space="0" w:color="000000"/>
              <w:bottom w:val="single" w:sz="4" w:space="0" w:color="000000"/>
              <w:right w:val="single" w:sz="4" w:space="0" w:color="000000"/>
            </w:tcBorders>
          </w:tcPr>
          <w:p w14:paraId="7CB61C23" w14:textId="3CB1D3B5" w:rsidR="002A5217" w:rsidRDefault="009C092B">
            <w:pPr>
              <w:spacing w:line="276" w:lineRule="auto"/>
              <w:jc w:val="left"/>
              <w:rPr>
                <w:rFonts w:ascii="宋体" w:hAnsi="宋体"/>
                <w:bCs/>
                <w:sz w:val="24"/>
                <w:szCs w:val="22"/>
              </w:rPr>
            </w:pPr>
            <w:r>
              <w:rPr>
                <w:rFonts w:ascii="宋体" w:hAnsi="宋体" w:hint="eastAsia"/>
                <w:bCs/>
                <w:sz w:val="24"/>
                <w:szCs w:val="22"/>
              </w:rPr>
              <w:t>参与机构与人数：</w:t>
            </w:r>
            <w:r w:rsidR="002269FA">
              <w:rPr>
                <w:rFonts w:ascii="宋体" w:hAnsi="宋体" w:hint="eastAsia"/>
                <w:bCs/>
                <w:sz w:val="24"/>
                <w:szCs w:val="22"/>
              </w:rPr>
              <w:t>东北证券、中信证券、中金公司、中信建投、兴业证券、西南证券、中邮证券、兴业证券、仁桥资产、中欧基金等6</w:t>
            </w:r>
            <w:r w:rsidR="002269FA">
              <w:rPr>
                <w:rFonts w:ascii="宋体" w:hAnsi="宋体"/>
                <w:bCs/>
                <w:sz w:val="24"/>
                <w:szCs w:val="22"/>
              </w:rPr>
              <w:t>4</w:t>
            </w:r>
            <w:r w:rsidR="002269FA">
              <w:rPr>
                <w:rFonts w:ascii="宋体" w:hAnsi="宋体" w:hint="eastAsia"/>
                <w:bCs/>
                <w:sz w:val="24"/>
                <w:szCs w:val="22"/>
              </w:rPr>
              <w:t>位投资者</w:t>
            </w:r>
            <w:r>
              <w:rPr>
                <w:rFonts w:ascii="宋体" w:hAnsi="宋体" w:hint="eastAsia"/>
                <w:bCs/>
                <w:sz w:val="24"/>
                <w:szCs w:val="22"/>
              </w:rPr>
              <w:t>。</w:t>
            </w:r>
          </w:p>
        </w:tc>
      </w:tr>
      <w:tr w:rsidR="002A5217" w14:paraId="22517B72" w14:textId="77777777">
        <w:trPr>
          <w:trHeight w:val="774"/>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65FA7E92" w14:textId="77777777" w:rsidR="002A5217" w:rsidRDefault="009C092B">
            <w:pPr>
              <w:spacing w:line="440" w:lineRule="exact"/>
              <w:jc w:val="center"/>
              <w:rPr>
                <w:rStyle w:val="NormalCharacter"/>
                <w:rFonts w:ascii="宋体" w:hAnsi="宋体"/>
                <w:bCs/>
                <w:iCs/>
                <w:sz w:val="24"/>
              </w:rPr>
            </w:pPr>
            <w:r>
              <w:rPr>
                <w:rStyle w:val="NormalCharacter"/>
                <w:rFonts w:ascii="宋体" w:hAnsi="宋体" w:hint="eastAsia"/>
                <w:bCs/>
                <w:iCs/>
                <w:sz w:val="24"/>
              </w:rPr>
              <w:t>时间</w:t>
            </w:r>
          </w:p>
        </w:tc>
        <w:tc>
          <w:tcPr>
            <w:tcW w:w="7282" w:type="dxa"/>
            <w:tcBorders>
              <w:top w:val="single" w:sz="4" w:space="0" w:color="000000"/>
              <w:left w:val="single" w:sz="4" w:space="0" w:color="000000"/>
              <w:bottom w:val="single" w:sz="4" w:space="0" w:color="000000"/>
              <w:right w:val="single" w:sz="4" w:space="0" w:color="000000"/>
            </w:tcBorders>
            <w:vAlign w:val="center"/>
          </w:tcPr>
          <w:p w14:paraId="55D688F8" w14:textId="7A680F02" w:rsidR="002A5217" w:rsidRDefault="009C092B">
            <w:pPr>
              <w:spacing w:line="276" w:lineRule="auto"/>
              <w:jc w:val="left"/>
              <w:rPr>
                <w:rStyle w:val="NormalCharacter"/>
                <w:rFonts w:ascii="宋体" w:hAnsi="宋体"/>
                <w:bCs/>
                <w:iCs/>
                <w:sz w:val="24"/>
              </w:rPr>
            </w:pPr>
            <w:r>
              <w:rPr>
                <w:rStyle w:val="NormalCharacter"/>
                <w:rFonts w:ascii="宋体" w:hAnsi="宋体" w:hint="eastAsia"/>
                <w:bCs/>
                <w:iCs/>
                <w:sz w:val="24"/>
              </w:rPr>
              <w:t>202</w:t>
            </w:r>
            <w:r>
              <w:rPr>
                <w:rStyle w:val="NormalCharacter"/>
                <w:rFonts w:ascii="宋体" w:hAnsi="宋体"/>
                <w:bCs/>
                <w:iCs/>
                <w:sz w:val="24"/>
              </w:rPr>
              <w:t>6</w:t>
            </w:r>
            <w:r>
              <w:rPr>
                <w:rStyle w:val="NormalCharacter"/>
                <w:rFonts w:ascii="宋体" w:hAnsi="宋体" w:hint="eastAsia"/>
                <w:bCs/>
                <w:iCs/>
                <w:sz w:val="24"/>
              </w:rPr>
              <w:t>年</w:t>
            </w:r>
            <w:r w:rsidR="0012046E">
              <w:rPr>
                <w:rStyle w:val="NormalCharacter"/>
                <w:rFonts w:ascii="宋体" w:hAnsi="宋体"/>
                <w:bCs/>
                <w:iCs/>
                <w:sz w:val="24"/>
              </w:rPr>
              <w:t>8</w:t>
            </w:r>
            <w:r>
              <w:rPr>
                <w:rStyle w:val="NormalCharacter"/>
                <w:rFonts w:ascii="宋体" w:hAnsi="宋体" w:hint="eastAsia"/>
                <w:bCs/>
                <w:iCs/>
                <w:sz w:val="24"/>
              </w:rPr>
              <w:t>月</w:t>
            </w:r>
            <w:r w:rsidR="0012046E">
              <w:rPr>
                <w:rStyle w:val="NormalCharacter"/>
                <w:rFonts w:ascii="宋体" w:hAnsi="宋体" w:hint="eastAsia"/>
                <w:bCs/>
                <w:iCs/>
                <w:sz w:val="24"/>
              </w:rPr>
              <w:t>2</w:t>
            </w:r>
            <w:r w:rsidR="0012046E">
              <w:rPr>
                <w:rStyle w:val="NormalCharacter"/>
                <w:rFonts w:ascii="宋体" w:hAnsi="宋体"/>
                <w:bCs/>
                <w:iCs/>
                <w:sz w:val="24"/>
              </w:rPr>
              <w:t>8</w:t>
            </w:r>
            <w:r w:rsidR="0012046E">
              <w:rPr>
                <w:rStyle w:val="NormalCharacter"/>
                <w:rFonts w:ascii="宋体" w:hAnsi="宋体" w:hint="eastAsia"/>
                <w:bCs/>
                <w:iCs/>
                <w:sz w:val="24"/>
              </w:rPr>
              <w:t>日</w:t>
            </w:r>
          </w:p>
        </w:tc>
      </w:tr>
      <w:tr w:rsidR="002A5217" w14:paraId="72C8E93D" w14:textId="77777777">
        <w:trPr>
          <w:trHeight w:val="670"/>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2AF986BA" w14:textId="77777777" w:rsidR="002A5217" w:rsidRDefault="009C092B">
            <w:pPr>
              <w:spacing w:line="440" w:lineRule="exact"/>
              <w:jc w:val="center"/>
              <w:rPr>
                <w:rStyle w:val="NormalCharacter"/>
                <w:rFonts w:ascii="宋体" w:hAnsi="宋体"/>
                <w:bCs/>
                <w:iCs/>
                <w:sz w:val="24"/>
              </w:rPr>
            </w:pPr>
            <w:r>
              <w:rPr>
                <w:rStyle w:val="NormalCharacter"/>
                <w:rFonts w:ascii="宋体" w:hAnsi="宋体"/>
                <w:bCs/>
                <w:iCs/>
                <w:sz w:val="24"/>
              </w:rPr>
              <w:t>地点</w:t>
            </w:r>
          </w:p>
        </w:tc>
        <w:tc>
          <w:tcPr>
            <w:tcW w:w="7282" w:type="dxa"/>
            <w:tcBorders>
              <w:top w:val="single" w:sz="4" w:space="0" w:color="000000"/>
              <w:left w:val="single" w:sz="4" w:space="0" w:color="000000"/>
              <w:bottom w:val="single" w:sz="4" w:space="0" w:color="000000"/>
              <w:right w:val="single" w:sz="4" w:space="0" w:color="000000"/>
            </w:tcBorders>
            <w:vAlign w:val="center"/>
          </w:tcPr>
          <w:p w14:paraId="41B25DE5" w14:textId="2660C557" w:rsidR="002A5217" w:rsidRDefault="009C092B">
            <w:pPr>
              <w:spacing w:line="276" w:lineRule="auto"/>
              <w:jc w:val="left"/>
              <w:rPr>
                <w:rStyle w:val="NormalCharacter"/>
                <w:rFonts w:ascii="宋体" w:hAnsi="宋体"/>
                <w:bCs/>
                <w:iCs/>
                <w:sz w:val="24"/>
              </w:rPr>
            </w:pPr>
            <w:r>
              <w:rPr>
                <w:rStyle w:val="NormalCharacter"/>
                <w:rFonts w:ascii="宋体" w:hAnsi="宋体" w:hint="eastAsia"/>
                <w:bCs/>
                <w:iCs/>
                <w:sz w:val="24"/>
              </w:rPr>
              <w:t>公司会议室</w:t>
            </w:r>
            <w:r w:rsidR="0012046E">
              <w:rPr>
                <w:rStyle w:val="NormalCharacter"/>
                <w:rFonts w:ascii="宋体" w:hAnsi="宋体" w:hint="eastAsia"/>
                <w:bCs/>
                <w:iCs/>
                <w:sz w:val="24"/>
              </w:rPr>
              <w:t>、线上会议</w:t>
            </w:r>
          </w:p>
        </w:tc>
      </w:tr>
      <w:tr w:rsidR="002A5217" w14:paraId="3D033AE1" w14:textId="77777777">
        <w:trPr>
          <w:trHeight w:val="1019"/>
          <w:jc w:val="center"/>
        </w:trPr>
        <w:tc>
          <w:tcPr>
            <w:tcW w:w="1262" w:type="dxa"/>
            <w:tcBorders>
              <w:top w:val="single" w:sz="4" w:space="0" w:color="000000"/>
              <w:left w:val="single" w:sz="4" w:space="0" w:color="000000"/>
              <w:bottom w:val="single" w:sz="4" w:space="0" w:color="000000"/>
              <w:right w:val="single" w:sz="4" w:space="0" w:color="000000"/>
            </w:tcBorders>
          </w:tcPr>
          <w:p w14:paraId="20A8BB34"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上市公司接待人员</w:t>
            </w:r>
          </w:p>
        </w:tc>
        <w:tc>
          <w:tcPr>
            <w:tcW w:w="7282" w:type="dxa"/>
            <w:tcBorders>
              <w:top w:val="single" w:sz="4" w:space="0" w:color="000000"/>
              <w:left w:val="single" w:sz="4" w:space="0" w:color="000000"/>
              <w:bottom w:val="single" w:sz="4" w:space="0" w:color="000000"/>
              <w:right w:val="single" w:sz="4" w:space="0" w:color="000000"/>
            </w:tcBorders>
            <w:vAlign w:val="center"/>
          </w:tcPr>
          <w:p w14:paraId="6BB5EAF2" w14:textId="3D3B2169" w:rsidR="002A5217" w:rsidRDefault="0012046E">
            <w:pPr>
              <w:spacing w:line="276" w:lineRule="auto"/>
              <w:rPr>
                <w:rStyle w:val="NormalCharacter"/>
                <w:rFonts w:ascii="宋体" w:hAnsi="宋体"/>
                <w:bCs/>
                <w:iCs/>
                <w:sz w:val="24"/>
              </w:rPr>
            </w:pPr>
            <w:r w:rsidRPr="0012046E">
              <w:rPr>
                <w:rStyle w:val="NormalCharacter"/>
                <w:rFonts w:ascii="宋体" w:hAnsi="宋体" w:hint="eastAsia"/>
                <w:bCs/>
                <w:iCs/>
                <w:sz w:val="24"/>
              </w:rPr>
              <w:t>公司管理层及经营团队</w:t>
            </w:r>
          </w:p>
        </w:tc>
      </w:tr>
      <w:tr w:rsidR="002A5217" w14:paraId="3C670D49" w14:textId="77777777">
        <w:trPr>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3FF6920B"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投资者关系活动主要内容介绍</w:t>
            </w:r>
          </w:p>
        </w:tc>
        <w:tc>
          <w:tcPr>
            <w:tcW w:w="7282" w:type="dxa"/>
            <w:tcBorders>
              <w:top w:val="single" w:sz="4" w:space="0" w:color="000000"/>
              <w:left w:val="single" w:sz="4" w:space="0" w:color="000000"/>
              <w:bottom w:val="single" w:sz="4" w:space="0" w:color="000000"/>
              <w:right w:val="single" w:sz="4" w:space="0" w:color="000000"/>
            </w:tcBorders>
            <w:vAlign w:val="center"/>
          </w:tcPr>
          <w:p w14:paraId="21FE6A0E" w14:textId="04175BD0" w:rsidR="002A5217" w:rsidRDefault="009C092B">
            <w:pPr>
              <w:spacing w:line="276" w:lineRule="auto"/>
              <w:jc w:val="left"/>
              <w:rPr>
                <w:rFonts w:ascii="宋体" w:hAnsi="宋体" w:cs="宋体"/>
                <w:b/>
                <w:bCs/>
                <w:kern w:val="0"/>
                <w:sz w:val="24"/>
              </w:rPr>
            </w:pPr>
            <w:r>
              <w:rPr>
                <w:rFonts w:ascii="宋体" w:hAnsi="宋体" w:cs="宋体" w:hint="eastAsia"/>
                <w:b/>
                <w:bCs/>
                <w:kern w:val="0"/>
                <w:sz w:val="24"/>
              </w:rPr>
              <w:t>Q：</w:t>
            </w:r>
            <w:r w:rsidR="005D0E7F" w:rsidRPr="005D0E7F">
              <w:rPr>
                <w:rFonts w:ascii="宋体" w:hAnsi="宋体" w:cs="宋体" w:hint="eastAsia"/>
                <w:b/>
                <w:bCs/>
                <w:kern w:val="0"/>
                <w:sz w:val="24"/>
              </w:rPr>
              <w:t>2026年上半年公司在进口</w:t>
            </w:r>
            <w:r w:rsidR="00F94783">
              <w:rPr>
                <w:rFonts w:ascii="宋体" w:hAnsi="宋体" w:cs="宋体" w:hint="eastAsia"/>
                <w:b/>
                <w:bCs/>
                <w:kern w:val="0"/>
                <w:sz w:val="24"/>
              </w:rPr>
              <w:t>代理</w:t>
            </w:r>
            <w:r w:rsidR="005D0E7F" w:rsidRPr="005D0E7F">
              <w:rPr>
                <w:rFonts w:ascii="宋体" w:hAnsi="宋体" w:cs="宋体" w:hint="eastAsia"/>
                <w:b/>
                <w:bCs/>
                <w:kern w:val="0"/>
                <w:sz w:val="24"/>
              </w:rPr>
              <w:t>和创新</w:t>
            </w:r>
            <w:proofErr w:type="gramStart"/>
            <w:r w:rsidR="005D0E7F" w:rsidRPr="005D0E7F">
              <w:rPr>
                <w:rFonts w:ascii="宋体" w:hAnsi="宋体" w:cs="宋体" w:hint="eastAsia"/>
                <w:b/>
                <w:bCs/>
                <w:kern w:val="0"/>
                <w:sz w:val="24"/>
              </w:rPr>
              <w:t>药业务</w:t>
            </w:r>
            <w:proofErr w:type="gramEnd"/>
            <w:r w:rsidR="005D0E7F" w:rsidRPr="005D0E7F">
              <w:rPr>
                <w:rFonts w:ascii="宋体" w:hAnsi="宋体" w:cs="宋体" w:hint="eastAsia"/>
                <w:b/>
                <w:bCs/>
                <w:kern w:val="0"/>
                <w:sz w:val="24"/>
              </w:rPr>
              <w:t>上的拓展情况如何？</w:t>
            </w:r>
          </w:p>
          <w:p w14:paraId="751482E5" w14:textId="0913B51E" w:rsidR="002A5217" w:rsidRDefault="009C092B" w:rsidP="00AF5CEF">
            <w:pPr>
              <w:spacing w:line="276" w:lineRule="auto"/>
              <w:rPr>
                <w:rFonts w:ascii="宋体" w:hAnsi="宋体" w:cs="宋体"/>
                <w:kern w:val="0"/>
                <w:sz w:val="24"/>
              </w:rPr>
            </w:pPr>
            <w:r>
              <w:rPr>
                <w:rFonts w:ascii="宋体" w:hAnsi="宋体" w:cs="宋体" w:hint="eastAsia"/>
                <w:kern w:val="0"/>
                <w:sz w:val="24"/>
              </w:rPr>
              <w:t>A：</w:t>
            </w:r>
            <w:r w:rsidR="004732AE" w:rsidRPr="004732AE">
              <w:rPr>
                <w:rFonts w:ascii="宋体" w:hAnsi="宋体" w:cs="宋体" w:hint="eastAsia"/>
                <w:kern w:val="0"/>
                <w:sz w:val="24"/>
              </w:rPr>
              <w:t>上海医药商业板块始终坚守创新为宗、服务为荣、奋斗为本的核心理念，紧扣营销、创新药、数字化三大主线，坚持创新驱动转型升级，加速</w:t>
            </w:r>
            <w:proofErr w:type="gramStart"/>
            <w:r w:rsidR="004732AE" w:rsidRPr="004732AE">
              <w:rPr>
                <w:rFonts w:ascii="宋体" w:hAnsi="宋体" w:cs="宋体" w:hint="eastAsia"/>
                <w:kern w:val="0"/>
                <w:sz w:val="24"/>
              </w:rPr>
              <w:t>商业数智化</w:t>
            </w:r>
            <w:proofErr w:type="gramEnd"/>
            <w:r w:rsidR="004732AE" w:rsidRPr="004732AE">
              <w:rPr>
                <w:rFonts w:ascii="宋体" w:hAnsi="宋体" w:cs="宋体" w:hint="eastAsia"/>
                <w:kern w:val="0"/>
                <w:sz w:val="24"/>
              </w:rPr>
              <w:t>转型，加快构建数字化医药综合服务体系，全力向国际化世界一流健康服务企业转型迈进。报告期内，各项创新业务保持良好增长。</w:t>
            </w:r>
            <w:r w:rsidR="004732AE">
              <w:rPr>
                <w:rFonts w:ascii="宋体" w:hAnsi="宋体" w:cs="宋体" w:hint="eastAsia"/>
                <w:kern w:val="0"/>
                <w:sz w:val="24"/>
              </w:rPr>
              <w:t>2</w:t>
            </w:r>
            <w:r w:rsidR="004732AE">
              <w:rPr>
                <w:rFonts w:ascii="宋体" w:hAnsi="宋体" w:cs="宋体"/>
                <w:kern w:val="0"/>
                <w:sz w:val="24"/>
              </w:rPr>
              <w:t>026</w:t>
            </w:r>
            <w:r w:rsidR="004732AE">
              <w:rPr>
                <w:rFonts w:ascii="宋体" w:hAnsi="宋体" w:cs="宋体" w:hint="eastAsia"/>
                <w:kern w:val="0"/>
                <w:sz w:val="24"/>
              </w:rPr>
              <w:t>年上半年，公司</w:t>
            </w:r>
            <w:r w:rsidR="004732AE" w:rsidRPr="004732AE">
              <w:rPr>
                <w:rFonts w:ascii="宋体" w:hAnsi="宋体" w:cs="宋体" w:hint="eastAsia"/>
                <w:kern w:val="0"/>
                <w:sz w:val="24"/>
              </w:rPr>
              <w:t>新增</w:t>
            </w:r>
            <w:proofErr w:type="gramStart"/>
            <w:r w:rsidR="004732AE" w:rsidRPr="004732AE">
              <w:rPr>
                <w:rFonts w:ascii="宋体" w:hAnsi="宋体" w:cs="宋体" w:hint="eastAsia"/>
                <w:kern w:val="0"/>
                <w:sz w:val="24"/>
              </w:rPr>
              <w:t>进口总代品规</w:t>
            </w:r>
            <w:proofErr w:type="gramEnd"/>
            <w:r w:rsidR="004732AE" w:rsidRPr="004732AE">
              <w:rPr>
                <w:rFonts w:ascii="宋体" w:hAnsi="宋体" w:cs="宋体" w:hint="eastAsia"/>
                <w:kern w:val="0"/>
                <w:sz w:val="24"/>
              </w:rPr>
              <w:t>16个，实现销售收入超过200亿元，同比增长超15%。</w:t>
            </w:r>
            <w:r w:rsidR="004732AE">
              <w:rPr>
                <w:rFonts w:ascii="宋体" w:hAnsi="宋体" w:cs="宋体" w:hint="eastAsia"/>
                <w:kern w:val="0"/>
                <w:sz w:val="24"/>
              </w:rPr>
              <w:t>创</w:t>
            </w:r>
            <w:r w:rsidR="004732AE" w:rsidRPr="004732AE">
              <w:rPr>
                <w:rFonts w:ascii="宋体" w:hAnsi="宋体" w:cs="宋体" w:hint="eastAsia"/>
                <w:kern w:val="0"/>
                <w:sz w:val="24"/>
              </w:rPr>
              <w:t>新</w:t>
            </w:r>
            <w:proofErr w:type="gramStart"/>
            <w:r w:rsidR="004732AE" w:rsidRPr="004732AE">
              <w:rPr>
                <w:rFonts w:ascii="宋体" w:hAnsi="宋体" w:cs="宋体" w:hint="eastAsia"/>
                <w:kern w:val="0"/>
                <w:sz w:val="24"/>
              </w:rPr>
              <w:t>药业务</w:t>
            </w:r>
            <w:proofErr w:type="gramEnd"/>
            <w:r w:rsidR="004732AE" w:rsidRPr="004732AE">
              <w:rPr>
                <w:rFonts w:ascii="宋体" w:hAnsi="宋体" w:cs="宋体" w:hint="eastAsia"/>
                <w:kern w:val="0"/>
                <w:sz w:val="24"/>
              </w:rPr>
              <w:t>实现销售收入超过330亿元，同比增长超29%。</w:t>
            </w:r>
          </w:p>
          <w:p w14:paraId="3DFF76B8" w14:textId="77777777" w:rsidR="002A5217" w:rsidRDefault="002A5217">
            <w:pPr>
              <w:spacing w:line="276" w:lineRule="auto"/>
              <w:jc w:val="left"/>
              <w:rPr>
                <w:rFonts w:ascii="宋体" w:hAnsi="宋体" w:cs="宋体"/>
                <w:kern w:val="0"/>
                <w:sz w:val="24"/>
              </w:rPr>
            </w:pPr>
          </w:p>
          <w:p w14:paraId="40CFB14B" w14:textId="129A5E71" w:rsidR="002A5217" w:rsidRDefault="009C092B">
            <w:pPr>
              <w:spacing w:line="276" w:lineRule="auto"/>
              <w:jc w:val="left"/>
              <w:rPr>
                <w:rFonts w:ascii="宋体" w:hAnsi="宋体" w:cs="宋体"/>
                <w:b/>
                <w:bCs/>
                <w:kern w:val="0"/>
                <w:sz w:val="24"/>
              </w:rPr>
            </w:pPr>
            <w:r>
              <w:rPr>
                <w:rFonts w:ascii="宋体" w:hAnsi="宋体" w:cs="宋体" w:hint="eastAsia"/>
                <w:b/>
                <w:bCs/>
                <w:kern w:val="0"/>
                <w:sz w:val="24"/>
              </w:rPr>
              <w:t>Q：</w:t>
            </w:r>
            <w:r w:rsidR="006A1ED5">
              <w:rPr>
                <w:rFonts w:ascii="宋体" w:hAnsi="宋体" w:cs="宋体" w:hint="eastAsia"/>
                <w:b/>
                <w:bCs/>
                <w:kern w:val="0"/>
                <w:sz w:val="24"/>
              </w:rPr>
              <w:t>公司商业板块C</w:t>
            </w:r>
            <w:r w:rsidR="006A1ED5">
              <w:rPr>
                <w:rFonts w:ascii="宋体" w:hAnsi="宋体" w:cs="宋体"/>
                <w:b/>
                <w:bCs/>
                <w:kern w:val="0"/>
                <w:sz w:val="24"/>
              </w:rPr>
              <w:t>SO</w:t>
            </w:r>
            <w:r w:rsidR="006A1ED5">
              <w:rPr>
                <w:rFonts w:ascii="宋体" w:hAnsi="宋体" w:cs="宋体" w:hint="eastAsia"/>
                <w:b/>
                <w:bCs/>
                <w:kern w:val="0"/>
                <w:sz w:val="24"/>
              </w:rPr>
              <w:t>业务</w:t>
            </w:r>
            <w:r w:rsidR="005D0E7F">
              <w:rPr>
                <w:rFonts w:ascii="宋体" w:hAnsi="宋体" w:cs="宋体" w:hint="eastAsia"/>
                <w:b/>
                <w:bCs/>
                <w:kern w:val="0"/>
                <w:sz w:val="24"/>
              </w:rPr>
              <w:t>拓展情况</w:t>
            </w:r>
            <w:r>
              <w:rPr>
                <w:rFonts w:ascii="宋体" w:hAnsi="宋体" w:cs="宋体" w:hint="eastAsia"/>
                <w:b/>
                <w:bCs/>
                <w:kern w:val="0"/>
                <w:sz w:val="24"/>
              </w:rPr>
              <w:t>？</w:t>
            </w:r>
          </w:p>
          <w:p w14:paraId="0152FD59" w14:textId="663F691F" w:rsidR="002A5217" w:rsidRDefault="009C092B" w:rsidP="00D400E9">
            <w:pPr>
              <w:spacing w:line="276" w:lineRule="auto"/>
              <w:rPr>
                <w:rFonts w:ascii="宋体" w:hAnsi="宋体" w:cs="宋体"/>
                <w:kern w:val="0"/>
                <w:sz w:val="24"/>
              </w:rPr>
            </w:pPr>
            <w:r>
              <w:rPr>
                <w:rFonts w:ascii="宋体" w:hAnsi="宋体" w:cs="宋体" w:hint="eastAsia"/>
                <w:kern w:val="0"/>
                <w:sz w:val="24"/>
              </w:rPr>
              <w:t>A：</w:t>
            </w:r>
            <w:r w:rsidR="004732AE" w:rsidRPr="004732AE">
              <w:rPr>
                <w:rFonts w:ascii="宋体" w:hAnsi="宋体" w:cs="宋体" w:hint="eastAsia"/>
                <w:kern w:val="0"/>
                <w:sz w:val="24"/>
              </w:rPr>
              <w:t>公司为合作伙伴提供优质可靠的商业化解决方案，推动药品、疫苗、</w:t>
            </w:r>
            <w:proofErr w:type="gramStart"/>
            <w:r w:rsidR="004732AE" w:rsidRPr="004732AE">
              <w:rPr>
                <w:rFonts w:ascii="宋体" w:hAnsi="宋体" w:cs="宋体" w:hint="eastAsia"/>
                <w:kern w:val="0"/>
                <w:sz w:val="24"/>
              </w:rPr>
              <w:t>医</w:t>
            </w:r>
            <w:proofErr w:type="gramEnd"/>
            <w:r w:rsidR="004732AE" w:rsidRPr="004732AE">
              <w:rPr>
                <w:rFonts w:ascii="宋体" w:hAnsi="宋体" w:cs="宋体" w:hint="eastAsia"/>
                <w:kern w:val="0"/>
                <w:sz w:val="24"/>
              </w:rPr>
              <w:t>美等CSO业务一体化协同发展。</w:t>
            </w:r>
            <w:r w:rsidR="004732AE">
              <w:rPr>
                <w:rFonts w:ascii="宋体" w:hAnsi="宋体" w:cs="宋体" w:hint="eastAsia"/>
                <w:kern w:val="0"/>
                <w:sz w:val="24"/>
              </w:rPr>
              <w:t>2</w:t>
            </w:r>
            <w:r w:rsidR="004732AE">
              <w:rPr>
                <w:rFonts w:ascii="宋体" w:hAnsi="宋体" w:cs="宋体"/>
                <w:kern w:val="0"/>
                <w:sz w:val="24"/>
              </w:rPr>
              <w:t>026</w:t>
            </w:r>
            <w:r w:rsidR="004732AE">
              <w:rPr>
                <w:rFonts w:ascii="宋体" w:hAnsi="宋体" w:cs="宋体" w:hint="eastAsia"/>
                <w:kern w:val="0"/>
                <w:sz w:val="24"/>
              </w:rPr>
              <w:t>年上半年</w:t>
            </w:r>
            <w:r w:rsidR="004732AE" w:rsidRPr="004732AE">
              <w:rPr>
                <w:rFonts w:ascii="宋体" w:hAnsi="宋体" w:cs="宋体" w:hint="eastAsia"/>
                <w:kern w:val="0"/>
                <w:sz w:val="24"/>
              </w:rPr>
              <w:t>，公司合约销售（CSO）业务合作产品数量持续增加，服务体系建设不断提升。</w:t>
            </w:r>
          </w:p>
          <w:p w14:paraId="64055411" w14:textId="77777777" w:rsidR="002A5217" w:rsidRDefault="002A5217">
            <w:pPr>
              <w:spacing w:line="276" w:lineRule="auto"/>
              <w:jc w:val="left"/>
              <w:rPr>
                <w:rFonts w:ascii="宋体" w:hAnsi="宋体" w:cs="宋体"/>
                <w:kern w:val="0"/>
                <w:sz w:val="24"/>
                <w:highlight w:val="yellow"/>
              </w:rPr>
            </w:pPr>
          </w:p>
          <w:p w14:paraId="452F9167" w14:textId="5CC28B0F" w:rsidR="002A5217" w:rsidRDefault="009C092B">
            <w:pPr>
              <w:spacing w:line="276" w:lineRule="auto"/>
              <w:jc w:val="left"/>
              <w:rPr>
                <w:rFonts w:ascii="宋体" w:hAnsi="宋体" w:cs="宋体"/>
                <w:b/>
                <w:bCs/>
                <w:kern w:val="0"/>
                <w:sz w:val="24"/>
              </w:rPr>
            </w:pPr>
            <w:r>
              <w:rPr>
                <w:rFonts w:ascii="宋体" w:hAnsi="宋体" w:cs="宋体" w:hint="eastAsia"/>
                <w:b/>
                <w:bCs/>
                <w:kern w:val="0"/>
                <w:sz w:val="24"/>
              </w:rPr>
              <w:t>Q：</w:t>
            </w:r>
            <w:r w:rsidR="005D0E7F" w:rsidRPr="005D0E7F">
              <w:rPr>
                <w:rFonts w:ascii="宋体" w:hAnsi="宋体" w:cs="宋体" w:hint="eastAsia"/>
                <w:b/>
                <w:bCs/>
                <w:kern w:val="0"/>
                <w:sz w:val="24"/>
              </w:rPr>
              <w:t>公司现阶段具备差异化优势的重点研发管线有哪些？进展情况如何？</w:t>
            </w:r>
          </w:p>
          <w:p w14:paraId="329443A7" w14:textId="2B041619" w:rsidR="002A5217" w:rsidRDefault="009C092B" w:rsidP="00F84368">
            <w:pPr>
              <w:spacing w:line="276" w:lineRule="auto"/>
              <w:rPr>
                <w:rFonts w:ascii="宋体" w:hAnsi="宋体" w:cs="宋体"/>
                <w:kern w:val="0"/>
                <w:sz w:val="24"/>
              </w:rPr>
            </w:pPr>
            <w:r>
              <w:rPr>
                <w:rFonts w:ascii="宋体" w:hAnsi="宋体" w:cs="宋体" w:hint="eastAsia"/>
                <w:kern w:val="0"/>
                <w:sz w:val="24"/>
              </w:rPr>
              <w:lastRenderedPageBreak/>
              <w:t>A：</w:t>
            </w:r>
            <w:r w:rsidR="00F8425D" w:rsidRPr="00F8425D">
              <w:rPr>
                <w:rFonts w:ascii="宋体" w:hAnsi="宋体" w:cs="宋体" w:hint="eastAsia"/>
                <w:kern w:val="0"/>
                <w:sz w:val="24"/>
              </w:rPr>
              <w:t>截至</w:t>
            </w:r>
            <w:r w:rsidR="00F8425D">
              <w:rPr>
                <w:rFonts w:ascii="宋体" w:hAnsi="宋体" w:cs="宋体" w:hint="eastAsia"/>
                <w:kern w:val="0"/>
                <w:sz w:val="24"/>
              </w:rPr>
              <w:t>2</w:t>
            </w:r>
            <w:r w:rsidR="00F8425D">
              <w:rPr>
                <w:rFonts w:ascii="宋体" w:hAnsi="宋体" w:cs="宋体"/>
                <w:kern w:val="0"/>
                <w:sz w:val="24"/>
              </w:rPr>
              <w:t>026</w:t>
            </w:r>
            <w:r w:rsidR="00F8425D">
              <w:rPr>
                <w:rFonts w:ascii="宋体" w:hAnsi="宋体" w:cs="宋体" w:hint="eastAsia"/>
                <w:kern w:val="0"/>
                <w:sz w:val="24"/>
              </w:rPr>
              <w:t>年上半年</w:t>
            </w:r>
            <w:r w:rsidR="00F8425D" w:rsidRPr="00F8425D">
              <w:rPr>
                <w:rFonts w:ascii="宋体" w:hAnsi="宋体" w:cs="宋体" w:hint="eastAsia"/>
                <w:kern w:val="0"/>
                <w:sz w:val="24"/>
              </w:rPr>
              <w:t>，公司提交临床试验申请获得受理及进入后续临床试验阶段的新药管线共计61项，包括创新药管线49项。</w:t>
            </w:r>
            <w:r w:rsidR="00F8425D">
              <w:rPr>
                <w:rFonts w:ascii="宋体" w:hAnsi="宋体" w:cs="宋体" w:hint="eastAsia"/>
                <w:kern w:val="0"/>
                <w:sz w:val="24"/>
              </w:rPr>
              <w:t>其中，</w:t>
            </w:r>
            <w:r w:rsidR="00F8425D" w:rsidRPr="00F8425D">
              <w:rPr>
                <w:rFonts w:ascii="宋体" w:hAnsi="宋体" w:cs="宋体" w:hint="eastAsia"/>
                <w:kern w:val="0"/>
                <w:sz w:val="24"/>
              </w:rPr>
              <w:t>BCD-085</w:t>
            </w:r>
            <w:r w:rsidR="00F8425D">
              <w:rPr>
                <w:rFonts w:ascii="宋体" w:hAnsi="宋体" w:cs="宋体" w:hint="eastAsia"/>
                <w:kern w:val="0"/>
                <w:sz w:val="24"/>
              </w:rPr>
              <w:t>项目</w:t>
            </w:r>
            <w:r w:rsidR="00F8425D" w:rsidRPr="00F8425D">
              <w:rPr>
                <w:rFonts w:ascii="宋体" w:hAnsi="宋体" w:cs="宋体" w:hint="eastAsia"/>
                <w:kern w:val="0"/>
                <w:sz w:val="24"/>
              </w:rPr>
              <w:t>是创新型重组</w:t>
            </w:r>
            <w:proofErr w:type="gramStart"/>
            <w:r w:rsidR="00F8425D" w:rsidRPr="00F8425D">
              <w:rPr>
                <w:rFonts w:ascii="宋体" w:hAnsi="宋体" w:cs="宋体" w:hint="eastAsia"/>
                <w:kern w:val="0"/>
                <w:sz w:val="24"/>
              </w:rPr>
              <w:t>人源抗白介素</w:t>
            </w:r>
            <w:proofErr w:type="gramEnd"/>
            <w:r w:rsidR="00F8425D" w:rsidRPr="00F8425D">
              <w:rPr>
                <w:rFonts w:ascii="宋体" w:hAnsi="宋体" w:cs="宋体" w:hint="eastAsia"/>
                <w:kern w:val="0"/>
                <w:sz w:val="24"/>
              </w:rPr>
              <w:t>-17（IL-17）单克隆抗体</w:t>
            </w:r>
            <w:r w:rsidR="00F8425D">
              <w:rPr>
                <w:rFonts w:ascii="宋体" w:hAnsi="宋体" w:cs="宋体" w:hint="eastAsia"/>
                <w:kern w:val="0"/>
                <w:sz w:val="24"/>
              </w:rPr>
              <w:t>，其</w:t>
            </w:r>
            <w:r w:rsidR="00F8425D" w:rsidRPr="00F8425D">
              <w:rPr>
                <w:rFonts w:ascii="宋体" w:hAnsi="宋体" w:cs="宋体" w:hint="eastAsia"/>
                <w:kern w:val="0"/>
                <w:sz w:val="24"/>
              </w:rPr>
              <w:t>强直性脊柱炎适应症</w:t>
            </w:r>
            <w:r w:rsidR="00F8425D">
              <w:rPr>
                <w:rFonts w:ascii="宋体" w:hAnsi="宋体" w:cs="宋体" w:hint="eastAsia"/>
                <w:kern w:val="0"/>
                <w:sz w:val="24"/>
              </w:rPr>
              <w:t>已</w:t>
            </w:r>
            <w:r w:rsidR="00F8425D" w:rsidRPr="00F8425D">
              <w:rPr>
                <w:rFonts w:ascii="宋体" w:hAnsi="宋体" w:cs="宋体" w:hint="eastAsia"/>
                <w:kern w:val="0"/>
                <w:sz w:val="24"/>
              </w:rPr>
              <w:t>提交新药上市申请</w:t>
            </w:r>
            <w:r w:rsidR="00F8425D">
              <w:rPr>
                <w:rFonts w:ascii="宋体" w:hAnsi="宋体" w:cs="宋体" w:hint="eastAsia"/>
                <w:kern w:val="0"/>
                <w:sz w:val="24"/>
              </w:rPr>
              <w:t>，</w:t>
            </w:r>
            <w:r w:rsidR="00F8425D" w:rsidRPr="00F8425D">
              <w:rPr>
                <w:rFonts w:ascii="宋体" w:hAnsi="宋体" w:cs="宋体" w:hint="eastAsia"/>
                <w:kern w:val="0"/>
                <w:sz w:val="24"/>
              </w:rPr>
              <w:t>III期临床试验研究核心成果入选APLAR2026年会壁报展示</w:t>
            </w:r>
            <w:r w:rsidR="00F8425D">
              <w:rPr>
                <w:rFonts w:ascii="宋体" w:hAnsi="宋体" w:cs="宋体" w:hint="eastAsia"/>
                <w:kern w:val="0"/>
                <w:sz w:val="24"/>
              </w:rPr>
              <w:t>；</w:t>
            </w:r>
            <w:r w:rsidR="00F8425D" w:rsidRPr="00F8425D">
              <w:rPr>
                <w:rFonts w:ascii="宋体" w:hAnsi="宋体" w:cs="宋体" w:hint="eastAsia"/>
                <w:kern w:val="0"/>
                <w:sz w:val="24"/>
              </w:rPr>
              <w:t>斑块状银屑病适应症则于报告期内完成III期临床试验</w:t>
            </w:r>
            <w:proofErr w:type="gramStart"/>
            <w:r w:rsidR="00F8425D" w:rsidRPr="00F8425D">
              <w:rPr>
                <w:rFonts w:ascii="宋体" w:hAnsi="宋体" w:cs="宋体" w:hint="eastAsia"/>
                <w:kern w:val="0"/>
                <w:sz w:val="24"/>
              </w:rPr>
              <w:t>数据锁库和</w:t>
            </w:r>
            <w:proofErr w:type="gramEnd"/>
            <w:r w:rsidR="00F8425D" w:rsidRPr="00F8425D">
              <w:rPr>
                <w:rFonts w:ascii="宋体" w:hAnsi="宋体" w:cs="宋体" w:hint="eastAsia"/>
                <w:kern w:val="0"/>
                <w:sz w:val="24"/>
              </w:rPr>
              <w:t>临床总结报告定稿。</w:t>
            </w:r>
            <w:r w:rsidR="00F8425D">
              <w:rPr>
                <w:rFonts w:ascii="宋体" w:hAnsi="宋体" w:cs="宋体" w:hint="eastAsia"/>
                <w:kern w:val="0"/>
                <w:sz w:val="24"/>
              </w:rPr>
              <w:t>中药1</w:t>
            </w:r>
            <w:r w:rsidR="00F8425D">
              <w:rPr>
                <w:rFonts w:ascii="宋体" w:hAnsi="宋体" w:cs="宋体"/>
                <w:kern w:val="0"/>
                <w:sz w:val="24"/>
              </w:rPr>
              <w:t>.1</w:t>
            </w:r>
            <w:r w:rsidR="00F8425D">
              <w:rPr>
                <w:rFonts w:ascii="宋体" w:hAnsi="宋体" w:cs="宋体" w:hint="eastAsia"/>
                <w:kern w:val="0"/>
                <w:sz w:val="24"/>
              </w:rPr>
              <w:t>类新药</w:t>
            </w:r>
            <w:r w:rsidR="00F8425D" w:rsidRPr="00F8425D">
              <w:rPr>
                <w:rFonts w:ascii="宋体" w:hAnsi="宋体" w:cs="宋体" w:hint="eastAsia"/>
                <w:kern w:val="0"/>
                <w:sz w:val="24"/>
              </w:rPr>
              <w:t>参</w:t>
            </w:r>
            <w:proofErr w:type="gramStart"/>
            <w:r w:rsidR="00F8425D" w:rsidRPr="00F8425D">
              <w:rPr>
                <w:rFonts w:ascii="宋体" w:hAnsi="宋体" w:cs="宋体" w:hint="eastAsia"/>
                <w:kern w:val="0"/>
                <w:sz w:val="24"/>
              </w:rPr>
              <w:t>芪麝</w:t>
            </w:r>
            <w:proofErr w:type="gramEnd"/>
            <w:r w:rsidR="00F8425D" w:rsidRPr="00F8425D">
              <w:rPr>
                <w:rFonts w:ascii="宋体" w:hAnsi="宋体" w:cs="宋体" w:hint="eastAsia"/>
                <w:kern w:val="0"/>
                <w:sz w:val="24"/>
              </w:rPr>
              <w:t>蓉丸临床拟用于治疗轻、中度脊髓型颈椎病（气虚血</w:t>
            </w:r>
            <w:proofErr w:type="gramStart"/>
            <w:r w:rsidR="00F8425D" w:rsidRPr="00F8425D">
              <w:rPr>
                <w:rFonts w:ascii="宋体" w:hAnsi="宋体" w:cs="宋体" w:hint="eastAsia"/>
                <w:kern w:val="0"/>
                <w:sz w:val="24"/>
              </w:rPr>
              <w:t>瘀</w:t>
            </w:r>
            <w:proofErr w:type="gramEnd"/>
            <w:r w:rsidR="00F8425D" w:rsidRPr="00F8425D">
              <w:rPr>
                <w:rFonts w:ascii="宋体" w:hAnsi="宋体" w:cs="宋体" w:hint="eastAsia"/>
                <w:kern w:val="0"/>
                <w:sz w:val="24"/>
              </w:rPr>
              <w:t>肾亏证）</w:t>
            </w:r>
            <w:r w:rsidR="00F8425D">
              <w:rPr>
                <w:rFonts w:ascii="宋体" w:hAnsi="宋体" w:cs="宋体" w:hint="eastAsia"/>
                <w:kern w:val="0"/>
                <w:sz w:val="24"/>
              </w:rPr>
              <w:t>，</w:t>
            </w:r>
            <w:r w:rsidR="00F8425D" w:rsidRPr="00F8425D">
              <w:rPr>
                <w:rFonts w:ascii="宋体" w:hAnsi="宋体" w:cs="宋体" w:hint="eastAsia"/>
                <w:kern w:val="0"/>
                <w:sz w:val="24"/>
              </w:rPr>
              <w:t>项目致力于降低局部炎症、改善脊髓缺血或瘀血，缓解脊髓继续受损等问题，有助于填补治疗脊髓型颈椎病的中成药空白</w:t>
            </w:r>
            <w:r w:rsidR="00BD11B6">
              <w:rPr>
                <w:rFonts w:ascii="宋体" w:hAnsi="宋体" w:cs="宋体" w:hint="eastAsia"/>
                <w:kern w:val="0"/>
                <w:sz w:val="24"/>
              </w:rPr>
              <w:t>，截至6月底</w:t>
            </w:r>
            <w:r w:rsidR="00BD11B6" w:rsidRPr="00BD11B6">
              <w:rPr>
                <w:rFonts w:ascii="宋体" w:hAnsi="宋体" w:cs="宋体" w:hint="eastAsia"/>
                <w:kern w:val="0"/>
                <w:sz w:val="24"/>
              </w:rPr>
              <w:t>已完成III期临床试验数据统计分析，并在此基础上启动临床总结报告撰写工作。B001（静脉注射液）和B007（皮下注射液）</w:t>
            </w:r>
            <w:r w:rsidR="00BD11B6">
              <w:rPr>
                <w:rFonts w:ascii="宋体" w:hAnsi="宋体" w:cs="宋体" w:hint="eastAsia"/>
                <w:kern w:val="0"/>
                <w:sz w:val="24"/>
              </w:rPr>
              <w:t>项目</w:t>
            </w:r>
            <w:r w:rsidR="00BD11B6" w:rsidRPr="00BD11B6">
              <w:rPr>
                <w:rFonts w:ascii="宋体" w:hAnsi="宋体" w:cs="宋体" w:hint="eastAsia"/>
                <w:kern w:val="0"/>
                <w:sz w:val="24"/>
              </w:rPr>
              <w:t>是由公司自主研发，属于高度人源化的全球创新型抗CD20抗体药物，其中B007注射液有望解决传统静脉型CD20单抗给药时间长、患者满意度低、护理难度大等临床痛点。截至</w:t>
            </w:r>
            <w:r w:rsidR="00BD11B6">
              <w:rPr>
                <w:rFonts w:ascii="宋体" w:hAnsi="宋体" w:cs="宋体" w:hint="eastAsia"/>
                <w:kern w:val="0"/>
                <w:sz w:val="24"/>
              </w:rPr>
              <w:t>6月底</w:t>
            </w:r>
            <w:r w:rsidR="00BD11B6" w:rsidRPr="00BD11B6">
              <w:rPr>
                <w:rFonts w:ascii="宋体" w:hAnsi="宋体" w:cs="宋体" w:hint="eastAsia"/>
                <w:kern w:val="0"/>
                <w:sz w:val="24"/>
              </w:rPr>
              <w:t>，B007重症肌无力适应症II期临床试验已完成全部受试者出组和临床总结报告定稿。</w:t>
            </w:r>
            <w:r w:rsidR="00BD11B6">
              <w:rPr>
                <w:rFonts w:ascii="宋体" w:hAnsi="宋体" w:cs="宋体" w:hint="eastAsia"/>
                <w:kern w:val="0"/>
                <w:sz w:val="24"/>
              </w:rPr>
              <w:t>此外，</w:t>
            </w:r>
            <w:r w:rsidR="00BD11B6" w:rsidRPr="00BD11B6">
              <w:rPr>
                <w:rFonts w:ascii="宋体" w:hAnsi="宋体" w:cs="宋体" w:hint="eastAsia"/>
                <w:kern w:val="0"/>
                <w:sz w:val="24"/>
              </w:rPr>
              <w:t>中药1.1类新药SRD4610（</w:t>
            </w:r>
            <w:proofErr w:type="gramStart"/>
            <w:r w:rsidR="00BD11B6" w:rsidRPr="00BD11B6">
              <w:rPr>
                <w:rFonts w:ascii="宋体" w:hAnsi="宋体" w:cs="宋体" w:hint="eastAsia"/>
                <w:kern w:val="0"/>
                <w:sz w:val="24"/>
              </w:rPr>
              <w:t>藿苓</w:t>
            </w:r>
            <w:proofErr w:type="gramEnd"/>
            <w:r w:rsidR="00BD11B6" w:rsidRPr="00BD11B6">
              <w:rPr>
                <w:rFonts w:ascii="宋体" w:hAnsi="宋体" w:cs="宋体" w:hint="eastAsia"/>
                <w:kern w:val="0"/>
                <w:sz w:val="24"/>
              </w:rPr>
              <w:t>生肌颗粒，用于治疗肌萎缩侧索硬化症，ALS）和化药1类新药SHPL-49注射液（临床拟用于治疗急性缺血性脑卒中，AIS）均于报告期内有序推进III期临床试验，相关入组进度均达到预期。</w:t>
            </w:r>
          </w:p>
          <w:p w14:paraId="56D07E91" w14:textId="17947771" w:rsidR="00F94783" w:rsidRDefault="00F94783" w:rsidP="00F84368">
            <w:pPr>
              <w:spacing w:line="276" w:lineRule="auto"/>
              <w:rPr>
                <w:rFonts w:ascii="宋体" w:hAnsi="宋体" w:cs="宋体"/>
                <w:kern w:val="0"/>
                <w:sz w:val="24"/>
              </w:rPr>
            </w:pPr>
          </w:p>
          <w:p w14:paraId="5815932B" w14:textId="0091D8B6" w:rsidR="00F94783" w:rsidRDefault="00F94783" w:rsidP="00F94783">
            <w:pPr>
              <w:spacing w:line="276" w:lineRule="auto"/>
              <w:jc w:val="left"/>
              <w:rPr>
                <w:rFonts w:ascii="宋体" w:hAnsi="宋体" w:cs="宋体"/>
                <w:b/>
                <w:bCs/>
                <w:kern w:val="0"/>
                <w:sz w:val="24"/>
              </w:rPr>
            </w:pPr>
            <w:r>
              <w:rPr>
                <w:rFonts w:ascii="宋体" w:hAnsi="宋体" w:cs="宋体" w:hint="eastAsia"/>
                <w:b/>
                <w:bCs/>
                <w:kern w:val="0"/>
                <w:sz w:val="24"/>
              </w:rPr>
              <w:t>Q：公司在研发</w:t>
            </w:r>
            <w:r w:rsidR="00125BDA">
              <w:rPr>
                <w:rFonts w:ascii="宋体" w:hAnsi="宋体" w:cs="宋体" w:hint="eastAsia"/>
                <w:b/>
                <w:bCs/>
                <w:kern w:val="0"/>
                <w:sz w:val="24"/>
              </w:rPr>
              <w:t>体系与研发</w:t>
            </w:r>
            <w:r>
              <w:rPr>
                <w:rFonts w:ascii="宋体" w:hAnsi="宋体" w:cs="宋体" w:hint="eastAsia"/>
                <w:b/>
                <w:bCs/>
                <w:kern w:val="0"/>
                <w:sz w:val="24"/>
              </w:rPr>
              <w:t>平台</w:t>
            </w:r>
            <w:r w:rsidR="00125BDA">
              <w:rPr>
                <w:rFonts w:ascii="宋体" w:hAnsi="宋体" w:cs="宋体" w:hint="eastAsia"/>
                <w:b/>
                <w:bCs/>
                <w:kern w:val="0"/>
                <w:sz w:val="24"/>
              </w:rPr>
              <w:t>建设的</w:t>
            </w:r>
            <w:r>
              <w:rPr>
                <w:rFonts w:ascii="宋体" w:hAnsi="宋体" w:cs="宋体" w:hint="eastAsia"/>
                <w:b/>
                <w:bCs/>
                <w:kern w:val="0"/>
                <w:sz w:val="24"/>
              </w:rPr>
              <w:t>情况如何？</w:t>
            </w:r>
          </w:p>
          <w:p w14:paraId="50459104" w14:textId="5ABF1F84" w:rsidR="005D0E7F" w:rsidRDefault="00F94783" w:rsidP="005D0E7F">
            <w:pPr>
              <w:spacing w:line="276" w:lineRule="auto"/>
              <w:rPr>
                <w:rFonts w:ascii="宋体" w:hAnsi="宋体" w:cs="宋体" w:hint="eastAsia"/>
                <w:kern w:val="0"/>
                <w:sz w:val="24"/>
              </w:rPr>
            </w:pPr>
            <w:r>
              <w:rPr>
                <w:rFonts w:ascii="宋体" w:hAnsi="宋体" w:cs="宋体" w:hint="eastAsia"/>
                <w:kern w:val="0"/>
                <w:sz w:val="24"/>
              </w:rPr>
              <w:t>A：</w:t>
            </w:r>
            <w:r w:rsidR="00125BDA">
              <w:rPr>
                <w:rFonts w:ascii="宋体" w:hAnsi="宋体" w:cs="宋体" w:hint="eastAsia"/>
                <w:kern w:val="0"/>
                <w:sz w:val="24"/>
              </w:rPr>
              <w:t>2</w:t>
            </w:r>
            <w:r w:rsidR="00125BDA">
              <w:rPr>
                <w:rFonts w:ascii="宋体" w:hAnsi="宋体" w:cs="宋体"/>
                <w:kern w:val="0"/>
                <w:sz w:val="24"/>
              </w:rPr>
              <w:t>026</w:t>
            </w:r>
            <w:r w:rsidR="00125BDA">
              <w:rPr>
                <w:rFonts w:ascii="宋体" w:hAnsi="宋体" w:cs="宋体" w:hint="eastAsia"/>
                <w:kern w:val="0"/>
                <w:sz w:val="24"/>
              </w:rPr>
              <w:t>年，公司</w:t>
            </w:r>
            <w:r w:rsidR="00125BDA" w:rsidRPr="00125BDA">
              <w:rPr>
                <w:rFonts w:ascii="宋体" w:hAnsi="宋体" w:cs="宋体" w:hint="eastAsia"/>
                <w:kern w:val="0"/>
                <w:sz w:val="24"/>
              </w:rPr>
              <w:t>编制完成创新改革深化工作方案，配套制定研发创新体系改革方案和创新药发展规划，明确中长期创新药发展路径与产品矩阵，确定“四层创新体系”（决策、策源、执行和转化）的优化方向，厘清各创新主体的定位与协同机制，制定创新PMO工作流程，加快推进创新转型发展，夯实高质量发展基础。</w:t>
            </w:r>
            <w:r w:rsidR="00125BDA">
              <w:rPr>
                <w:rFonts w:ascii="宋体" w:hAnsi="宋体" w:cs="宋体" w:hint="eastAsia"/>
                <w:kern w:val="0"/>
                <w:sz w:val="24"/>
              </w:rPr>
              <w:t>在研发平台方面，公司</w:t>
            </w:r>
            <w:r w:rsidR="00125BDA" w:rsidRPr="00125BDA">
              <w:rPr>
                <w:rFonts w:ascii="宋体" w:hAnsi="宋体" w:cs="宋体" w:hint="eastAsia"/>
                <w:kern w:val="0"/>
                <w:sz w:val="24"/>
              </w:rPr>
              <w:t>加快技术平台的建设，包括大分子早期研究平台、小分子多肽平台及转化评价等技术平台都已取得阶段性进展。</w:t>
            </w:r>
          </w:p>
          <w:p w14:paraId="2DBD01B3" w14:textId="46F6E96C" w:rsidR="0078788F" w:rsidRDefault="0078788F" w:rsidP="005D0E7F">
            <w:pPr>
              <w:spacing w:line="276" w:lineRule="auto"/>
              <w:rPr>
                <w:rFonts w:ascii="宋体" w:hAnsi="宋体" w:cs="宋体"/>
                <w:kern w:val="0"/>
                <w:sz w:val="24"/>
              </w:rPr>
            </w:pPr>
          </w:p>
          <w:p w14:paraId="39AF682A" w14:textId="17B2F5E5" w:rsidR="0078788F" w:rsidRDefault="0078788F" w:rsidP="0078788F">
            <w:pPr>
              <w:spacing w:line="276" w:lineRule="auto"/>
              <w:jc w:val="left"/>
              <w:rPr>
                <w:rFonts w:ascii="宋体" w:hAnsi="宋体" w:cs="宋体"/>
                <w:b/>
                <w:bCs/>
                <w:kern w:val="0"/>
                <w:sz w:val="24"/>
              </w:rPr>
            </w:pPr>
            <w:r>
              <w:rPr>
                <w:rFonts w:ascii="宋体" w:hAnsi="宋体" w:cs="宋体"/>
                <w:b/>
                <w:bCs/>
                <w:kern w:val="0"/>
                <w:sz w:val="24"/>
              </w:rPr>
              <w:t>Q</w:t>
            </w:r>
            <w:r>
              <w:rPr>
                <w:rFonts w:ascii="宋体" w:hAnsi="宋体" w:cs="宋体" w:hint="eastAsia"/>
                <w:b/>
                <w:bCs/>
                <w:kern w:val="0"/>
                <w:sz w:val="24"/>
              </w:rPr>
              <w:t>：</w:t>
            </w:r>
            <w:r w:rsidRPr="005D0E7F">
              <w:rPr>
                <w:rFonts w:ascii="宋体" w:hAnsi="宋体" w:cs="宋体" w:hint="eastAsia"/>
                <w:b/>
                <w:bCs/>
                <w:kern w:val="0"/>
                <w:sz w:val="24"/>
              </w:rPr>
              <w:t xml:space="preserve"> </w:t>
            </w:r>
            <w:r w:rsidR="005D758C">
              <w:rPr>
                <w:rFonts w:ascii="宋体" w:hAnsi="宋体" w:cs="宋体" w:hint="eastAsia"/>
                <w:b/>
                <w:bCs/>
                <w:kern w:val="0"/>
                <w:sz w:val="24"/>
              </w:rPr>
              <w:t>公司工业板块</w:t>
            </w:r>
            <w:r>
              <w:rPr>
                <w:rFonts w:ascii="宋体" w:hAnsi="宋体" w:cs="宋体" w:hint="eastAsia"/>
                <w:b/>
                <w:bCs/>
                <w:kern w:val="0"/>
                <w:sz w:val="24"/>
              </w:rPr>
              <w:t>院外市场</w:t>
            </w:r>
            <w:r w:rsidR="005D758C">
              <w:rPr>
                <w:rFonts w:ascii="宋体" w:hAnsi="宋体" w:cs="宋体" w:hint="eastAsia"/>
                <w:b/>
                <w:bCs/>
                <w:kern w:val="0"/>
                <w:sz w:val="24"/>
              </w:rPr>
              <w:t>拓展规划及现状如何？</w:t>
            </w:r>
          </w:p>
          <w:p w14:paraId="0965B352" w14:textId="49754B3B" w:rsidR="0078788F" w:rsidRPr="0078788F" w:rsidRDefault="0078788F" w:rsidP="005D0E7F">
            <w:pPr>
              <w:spacing w:line="276" w:lineRule="auto"/>
              <w:rPr>
                <w:rFonts w:ascii="宋体" w:hAnsi="宋体" w:cs="宋体"/>
                <w:kern w:val="0"/>
                <w:sz w:val="24"/>
              </w:rPr>
            </w:pPr>
            <w:r>
              <w:rPr>
                <w:rFonts w:ascii="宋体" w:hAnsi="宋体" w:cs="宋体" w:hint="eastAsia"/>
                <w:kern w:val="0"/>
                <w:sz w:val="24"/>
              </w:rPr>
              <w:t>A：</w:t>
            </w:r>
            <w:r w:rsidRPr="0078788F">
              <w:rPr>
                <w:rFonts w:ascii="宋体" w:hAnsi="宋体" w:cs="宋体" w:hint="eastAsia"/>
                <w:kern w:val="0"/>
                <w:sz w:val="24"/>
              </w:rPr>
              <w:t>公司坚持“药品为基、大健康为翼”，聚焦健康消费和专业眼科，持续拓展“第二增长曲线”</w:t>
            </w:r>
            <w:r>
              <w:rPr>
                <w:rFonts w:ascii="宋体" w:hAnsi="宋体" w:cs="宋体" w:hint="eastAsia"/>
                <w:kern w:val="0"/>
                <w:sz w:val="24"/>
              </w:rPr>
              <w:t>。</w:t>
            </w:r>
            <w:r w:rsidR="005D758C">
              <w:rPr>
                <w:rFonts w:ascii="宋体" w:hAnsi="宋体" w:cs="宋体" w:hint="eastAsia"/>
                <w:kern w:val="0"/>
                <w:sz w:val="24"/>
              </w:rPr>
              <w:t>其中，</w:t>
            </w:r>
            <w:r>
              <w:rPr>
                <w:rFonts w:ascii="宋体" w:hAnsi="宋体" w:cs="宋体" w:hint="eastAsia"/>
                <w:kern w:val="0"/>
                <w:sz w:val="24"/>
              </w:rPr>
              <w:t>上药优品</w:t>
            </w:r>
            <w:r w:rsidRPr="0078788F">
              <w:rPr>
                <w:rFonts w:ascii="宋体" w:hAnsi="宋体" w:cs="宋体" w:hint="eastAsia"/>
                <w:kern w:val="0"/>
                <w:sz w:val="24"/>
              </w:rPr>
              <w:t>依托培菲康非药产品和OTC药品的</w:t>
            </w:r>
            <w:proofErr w:type="gramStart"/>
            <w:r w:rsidRPr="0078788F">
              <w:rPr>
                <w:rFonts w:ascii="宋体" w:hAnsi="宋体" w:cs="宋体" w:hint="eastAsia"/>
                <w:kern w:val="0"/>
                <w:sz w:val="24"/>
              </w:rPr>
              <w:t>双核心</w:t>
            </w:r>
            <w:proofErr w:type="gramEnd"/>
            <w:r w:rsidRPr="0078788F">
              <w:rPr>
                <w:rFonts w:ascii="宋体" w:hAnsi="宋体" w:cs="宋体" w:hint="eastAsia"/>
                <w:kern w:val="0"/>
                <w:sz w:val="24"/>
              </w:rPr>
              <w:t>赛道</w:t>
            </w:r>
            <w:r>
              <w:rPr>
                <w:rFonts w:ascii="宋体" w:hAnsi="宋体" w:cs="宋体" w:hint="eastAsia"/>
                <w:kern w:val="0"/>
                <w:sz w:val="24"/>
              </w:rPr>
              <w:t>，</w:t>
            </w:r>
            <w:r w:rsidRPr="0078788F">
              <w:rPr>
                <w:rFonts w:ascii="宋体" w:hAnsi="宋体" w:cs="宋体" w:hint="eastAsia"/>
                <w:kern w:val="0"/>
                <w:sz w:val="24"/>
              </w:rPr>
              <w:t>聚焦产品迭代，</w:t>
            </w:r>
            <w:proofErr w:type="gramStart"/>
            <w:r w:rsidRPr="0078788F">
              <w:rPr>
                <w:rFonts w:ascii="宋体" w:hAnsi="宋体" w:cs="宋体" w:hint="eastAsia"/>
                <w:kern w:val="0"/>
                <w:sz w:val="24"/>
              </w:rPr>
              <w:t>构建线</w:t>
            </w:r>
            <w:proofErr w:type="gramEnd"/>
            <w:r w:rsidRPr="0078788F">
              <w:rPr>
                <w:rFonts w:ascii="宋体" w:hAnsi="宋体" w:cs="宋体" w:hint="eastAsia"/>
                <w:kern w:val="0"/>
                <w:sz w:val="24"/>
              </w:rPr>
              <w:t>上线下融合运营载体</w:t>
            </w:r>
            <w:r>
              <w:rPr>
                <w:rFonts w:ascii="宋体" w:hAnsi="宋体" w:cs="宋体" w:hint="eastAsia"/>
                <w:kern w:val="0"/>
                <w:sz w:val="24"/>
              </w:rPr>
              <w:t>。</w:t>
            </w:r>
            <w:r w:rsidRPr="0078788F">
              <w:rPr>
                <w:rFonts w:ascii="宋体" w:hAnsi="宋体" w:cs="宋体" w:hint="eastAsia"/>
                <w:kern w:val="0"/>
                <w:sz w:val="24"/>
              </w:rPr>
              <w:t>上药微生态围绕婴童益生菌、基础营养素、女性抗衰三大高增长赛道，持续领跑细分市场。上药龙虎聚焦药品、日化、海外三条产品线，着力产品迭代，打通线上线下全域增长路径</w:t>
            </w:r>
            <w:r>
              <w:rPr>
                <w:rFonts w:ascii="宋体" w:hAnsi="宋体" w:cs="宋体" w:hint="eastAsia"/>
                <w:kern w:val="0"/>
                <w:sz w:val="24"/>
              </w:rPr>
              <w:t>。同时，</w:t>
            </w:r>
            <w:r w:rsidRPr="0078788F">
              <w:rPr>
                <w:rFonts w:ascii="宋体" w:hAnsi="宋体" w:cs="宋体" w:hint="eastAsia"/>
                <w:kern w:val="0"/>
                <w:sz w:val="24"/>
              </w:rPr>
              <w:t>龙虎清凉油经典款、龙虎清凉油强效款、龙虎滚珠风油精，于近期正式获得加拿大卫生部天然与非处方健康产品管理局颁发的天然健</w:t>
            </w:r>
            <w:r w:rsidRPr="0078788F">
              <w:rPr>
                <w:rFonts w:ascii="宋体" w:hAnsi="宋体" w:cs="宋体" w:hint="eastAsia"/>
                <w:kern w:val="0"/>
                <w:sz w:val="24"/>
              </w:rPr>
              <w:lastRenderedPageBreak/>
              <w:t>康产品许可证，实现在北美市场准入的关键性突破</w:t>
            </w:r>
            <w:r>
              <w:rPr>
                <w:rFonts w:ascii="宋体" w:hAnsi="宋体" w:cs="宋体" w:hint="eastAsia"/>
                <w:kern w:val="0"/>
                <w:sz w:val="24"/>
              </w:rPr>
              <w:t>。此外，</w:t>
            </w:r>
            <w:r w:rsidRPr="0078788F">
              <w:rPr>
                <w:rFonts w:ascii="宋体" w:hAnsi="宋体" w:cs="宋体" w:hint="eastAsia"/>
                <w:kern w:val="0"/>
                <w:sz w:val="24"/>
              </w:rPr>
              <w:t>眼科板块以玻璃酸</w:t>
            </w:r>
            <w:proofErr w:type="gramStart"/>
            <w:r w:rsidRPr="0078788F">
              <w:rPr>
                <w:rFonts w:ascii="宋体" w:hAnsi="宋体" w:cs="宋体" w:hint="eastAsia"/>
                <w:kern w:val="0"/>
                <w:sz w:val="24"/>
              </w:rPr>
              <w:t>钠开拓干眼症基层</w:t>
            </w:r>
            <w:proofErr w:type="gramEnd"/>
            <w:r w:rsidRPr="0078788F">
              <w:rPr>
                <w:rFonts w:ascii="宋体" w:hAnsi="宋体" w:cs="宋体" w:hint="eastAsia"/>
                <w:kern w:val="0"/>
                <w:sz w:val="24"/>
              </w:rPr>
              <w:t>市场，并以“唯一含有玻璃酸钠”的</w:t>
            </w:r>
            <w:proofErr w:type="gramStart"/>
            <w:r w:rsidRPr="0078788F">
              <w:rPr>
                <w:rFonts w:ascii="宋体" w:hAnsi="宋体" w:cs="宋体" w:hint="eastAsia"/>
                <w:kern w:val="0"/>
                <w:sz w:val="24"/>
              </w:rPr>
              <w:t>消旋山莨菪碱滴</w:t>
            </w:r>
            <w:proofErr w:type="gramEnd"/>
            <w:r w:rsidRPr="0078788F">
              <w:rPr>
                <w:rFonts w:ascii="宋体" w:hAnsi="宋体" w:cs="宋体" w:hint="eastAsia"/>
                <w:kern w:val="0"/>
                <w:sz w:val="24"/>
              </w:rPr>
              <w:t>眼液（</w:t>
            </w:r>
            <w:proofErr w:type="gramStart"/>
            <w:r w:rsidRPr="0078788F">
              <w:rPr>
                <w:rFonts w:ascii="宋体" w:hAnsi="宋体" w:cs="宋体" w:hint="eastAsia"/>
                <w:kern w:val="0"/>
                <w:sz w:val="24"/>
              </w:rPr>
              <w:t>信流丁</w:t>
            </w:r>
            <w:proofErr w:type="gramEnd"/>
            <w:r w:rsidRPr="0078788F">
              <w:rPr>
                <w:rFonts w:ascii="宋体" w:hAnsi="宋体" w:cs="宋体" w:hint="eastAsia"/>
                <w:kern w:val="0"/>
                <w:sz w:val="24"/>
              </w:rPr>
              <w:t>®）重返近视防控领域，充分发挥差异化竞争优势</w:t>
            </w:r>
            <w:r>
              <w:rPr>
                <w:rFonts w:ascii="宋体" w:hAnsi="宋体" w:cs="宋体" w:hint="eastAsia"/>
                <w:kern w:val="0"/>
                <w:sz w:val="24"/>
              </w:rPr>
              <w:t>。</w:t>
            </w:r>
          </w:p>
          <w:p w14:paraId="3F500FEB" w14:textId="17D916C8" w:rsidR="000D45F8" w:rsidRDefault="000D45F8" w:rsidP="000D45F8">
            <w:pPr>
              <w:spacing w:line="276" w:lineRule="auto"/>
              <w:rPr>
                <w:rFonts w:ascii="宋体" w:hAnsi="宋体" w:cs="宋体"/>
                <w:kern w:val="0"/>
                <w:sz w:val="24"/>
              </w:rPr>
            </w:pPr>
          </w:p>
          <w:p w14:paraId="7E4BB658" w14:textId="1AD0DC49" w:rsidR="005D0E7F" w:rsidRDefault="005D0E7F" w:rsidP="005D0E7F">
            <w:pPr>
              <w:spacing w:line="276" w:lineRule="auto"/>
              <w:jc w:val="left"/>
              <w:rPr>
                <w:rFonts w:ascii="宋体" w:hAnsi="宋体" w:cs="宋体"/>
                <w:b/>
                <w:bCs/>
                <w:kern w:val="0"/>
                <w:sz w:val="24"/>
              </w:rPr>
            </w:pPr>
            <w:r>
              <w:rPr>
                <w:rFonts w:ascii="宋体" w:hAnsi="宋体" w:cs="宋体"/>
                <w:b/>
                <w:bCs/>
                <w:kern w:val="0"/>
                <w:sz w:val="24"/>
              </w:rPr>
              <w:t>Q</w:t>
            </w:r>
            <w:r>
              <w:rPr>
                <w:rFonts w:ascii="宋体" w:hAnsi="宋体" w:cs="宋体" w:hint="eastAsia"/>
                <w:b/>
                <w:bCs/>
                <w:kern w:val="0"/>
                <w:sz w:val="24"/>
              </w:rPr>
              <w:t>：</w:t>
            </w:r>
            <w:r w:rsidRPr="005D0E7F">
              <w:rPr>
                <w:rFonts w:ascii="宋体" w:hAnsi="宋体" w:cs="宋体" w:hint="eastAsia"/>
                <w:b/>
                <w:bCs/>
                <w:kern w:val="0"/>
                <w:sz w:val="24"/>
              </w:rPr>
              <w:t>公司在业绩报告中的</w:t>
            </w:r>
            <w:proofErr w:type="gramStart"/>
            <w:r w:rsidRPr="005D0E7F">
              <w:rPr>
                <w:rFonts w:ascii="宋体" w:hAnsi="宋体" w:cs="宋体" w:hint="eastAsia"/>
                <w:b/>
                <w:bCs/>
                <w:kern w:val="0"/>
                <w:sz w:val="24"/>
              </w:rPr>
              <w:t>研发板块</w:t>
            </w:r>
            <w:proofErr w:type="gramEnd"/>
            <w:r w:rsidRPr="005D0E7F">
              <w:rPr>
                <w:rFonts w:ascii="宋体" w:hAnsi="宋体" w:cs="宋体" w:hint="eastAsia"/>
                <w:b/>
                <w:bCs/>
                <w:kern w:val="0"/>
                <w:sz w:val="24"/>
              </w:rPr>
              <w:t>提及</w:t>
            </w:r>
            <w:r w:rsidR="004732AE">
              <w:rPr>
                <w:rFonts w:ascii="宋体" w:hAnsi="宋体" w:cs="宋体" w:hint="eastAsia"/>
                <w:b/>
                <w:bCs/>
                <w:kern w:val="0"/>
                <w:sz w:val="24"/>
              </w:rPr>
              <w:t>的</w:t>
            </w:r>
            <w:r w:rsidRPr="005D0E7F">
              <w:rPr>
                <w:rFonts w:ascii="宋体" w:hAnsi="宋体" w:cs="宋体" w:hint="eastAsia"/>
                <w:b/>
                <w:bCs/>
                <w:kern w:val="0"/>
                <w:sz w:val="24"/>
              </w:rPr>
              <w:t>“敏捷创投”模式，</w:t>
            </w:r>
            <w:r w:rsidR="004732AE">
              <w:rPr>
                <w:rFonts w:ascii="宋体" w:hAnsi="宋体" w:cs="宋体" w:hint="eastAsia"/>
                <w:b/>
                <w:bCs/>
                <w:kern w:val="0"/>
                <w:sz w:val="24"/>
              </w:rPr>
              <w:t>现阶段进展如何</w:t>
            </w:r>
            <w:r w:rsidRPr="005D0E7F">
              <w:rPr>
                <w:rFonts w:ascii="宋体" w:hAnsi="宋体" w:cs="宋体" w:hint="eastAsia"/>
                <w:b/>
                <w:bCs/>
                <w:kern w:val="0"/>
                <w:sz w:val="24"/>
              </w:rPr>
              <w:t>？</w:t>
            </w:r>
          </w:p>
          <w:p w14:paraId="399F36F2" w14:textId="61EC54A0" w:rsidR="005D0E7F" w:rsidRPr="002F1713" w:rsidRDefault="005D0E7F" w:rsidP="005D0E7F">
            <w:pPr>
              <w:spacing w:line="276" w:lineRule="auto"/>
              <w:rPr>
                <w:rFonts w:ascii="宋体" w:hAnsi="宋体" w:cs="宋体"/>
                <w:kern w:val="0"/>
                <w:sz w:val="24"/>
              </w:rPr>
            </w:pPr>
            <w:r>
              <w:rPr>
                <w:rFonts w:ascii="宋体" w:hAnsi="宋体" w:cs="宋体" w:hint="eastAsia"/>
                <w:kern w:val="0"/>
                <w:sz w:val="24"/>
              </w:rPr>
              <w:t>A：</w:t>
            </w:r>
            <w:r w:rsidR="004732AE" w:rsidRPr="004732AE">
              <w:rPr>
                <w:rFonts w:ascii="宋体" w:hAnsi="宋体" w:cs="宋体" w:hint="eastAsia"/>
                <w:kern w:val="0"/>
                <w:sz w:val="24"/>
              </w:rPr>
              <w:t>上海前沿围绕打造“没有围墙”的研发创新与孵化转化平台，正式推出“INNO Agile”敏捷创投模式，构建“科学家PI+孵化主理人+前沿团队”三方协同、权责清晰、轻资产前置验证平台，打通从学术概念到工业级数据的转化通道</w:t>
            </w:r>
            <w:r w:rsidR="004732AE">
              <w:rPr>
                <w:rFonts w:ascii="宋体" w:hAnsi="宋体" w:cs="宋体" w:hint="eastAsia"/>
                <w:kern w:val="0"/>
                <w:sz w:val="24"/>
              </w:rPr>
              <w:t>。目前，</w:t>
            </w:r>
            <w:r w:rsidR="004732AE" w:rsidRPr="004732AE">
              <w:rPr>
                <w:rFonts w:ascii="宋体" w:hAnsi="宋体" w:cs="宋体" w:hint="eastAsia"/>
                <w:kern w:val="0"/>
                <w:sz w:val="24"/>
              </w:rPr>
              <w:t>与交大医学院、复旦大学等高校院所合作</w:t>
            </w:r>
            <w:r w:rsidR="004732AE">
              <w:rPr>
                <w:rFonts w:ascii="宋体" w:hAnsi="宋体" w:cs="宋体" w:hint="eastAsia"/>
                <w:kern w:val="0"/>
                <w:sz w:val="24"/>
              </w:rPr>
              <w:t>持续深化</w:t>
            </w:r>
            <w:r w:rsidR="004732AE" w:rsidRPr="004732AE">
              <w:rPr>
                <w:rFonts w:ascii="宋体" w:hAnsi="宋体" w:cs="宋体" w:hint="eastAsia"/>
                <w:kern w:val="0"/>
                <w:sz w:val="24"/>
              </w:rPr>
              <w:t>，推进第三批18个项目征集遴选，签署重点概念验证项目合作验证协议并启动研究</w:t>
            </w:r>
            <w:r w:rsidR="004732AE">
              <w:rPr>
                <w:rFonts w:ascii="宋体" w:hAnsi="宋体" w:cs="宋体" w:hint="eastAsia"/>
                <w:kern w:val="0"/>
                <w:sz w:val="24"/>
              </w:rPr>
              <w:t>。同时，</w:t>
            </w:r>
            <w:r w:rsidR="004732AE" w:rsidRPr="004732AE">
              <w:rPr>
                <w:rFonts w:ascii="宋体" w:hAnsi="宋体" w:cs="宋体" w:hint="eastAsia"/>
                <w:kern w:val="0"/>
                <w:sz w:val="24"/>
              </w:rPr>
              <w:t>稳步推进礼来、拜耳两大跨国</w:t>
            </w:r>
            <w:proofErr w:type="gramStart"/>
            <w:r w:rsidR="004732AE" w:rsidRPr="004732AE">
              <w:rPr>
                <w:rFonts w:ascii="宋体" w:hAnsi="宋体" w:cs="宋体" w:hint="eastAsia"/>
                <w:kern w:val="0"/>
                <w:sz w:val="24"/>
              </w:rPr>
              <w:t>药企专</w:t>
            </w:r>
            <w:proofErr w:type="gramEnd"/>
            <w:r w:rsidR="004732AE" w:rsidRPr="004732AE">
              <w:rPr>
                <w:rFonts w:ascii="宋体" w:hAnsi="宋体" w:cs="宋体" w:hint="eastAsia"/>
                <w:kern w:val="0"/>
                <w:sz w:val="24"/>
              </w:rPr>
              <w:t>属实验室项目落地运营，</w:t>
            </w:r>
            <w:proofErr w:type="gramStart"/>
            <w:r w:rsidR="004732AE" w:rsidRPr="004732AE">
              <w:rPr>
                <w:rFonts w:ascii="宋体" w:hAnsi="宋体" w:cs="宋体" w:hint="eastAsia"/>
                <w:kern w:val="0"/>
                <w:sz w:val="24"/>
              </w:rPr>
              <w:t>跨国药企合作</w:t>
            </w:r>
            <w:proofErr w:type="gramEnd"/>
            <w:r w:rsidR="004732AE" w:rsidRPr="004732AE">
              <w:rPr>
                <w:rFonts w:ascii="宋体" w:hAnsi="宋体" w:cs="宋体" w:hint="eastAsia"/>
                <w:kern w:val="0"/>
                <w:sz w:val="24"/>
              </w:rPr>
              <w:t>标杆模式逐步成型。</w:t>
            </w:r>
          </w:p>
          <w:p w14:paraId="56320F2F" w14:textId="77777777" w:rsidR="000D45F8" w:rsidRDefault="000D45F8" w:rsidP="00F84368">
            <w:pPr>
              <w:spacing w:line="276" w:lineRule="auto"/>
              <w:rPr>
                <w:rFonts w:ascii="宋体" w:hAnsi="宋体" w:cs="宋体"/>
                <w:kern w:val="0"/>
                <w:sz w:val="24"/>
              </w:rPr>
            </w:pPr>
          </w:p>
          <w:p w14:paraId="597D6D7E" w14:textId="07806F6A" w:rsidR="005D0E7F" w:rsidRDefault="005D0E7F" w:rsidP="005D0E7F">
            <w:pPr>
              <w:spacing w:line="276" w:lineRule="auto"/>
              <w:jc w:val="left"/>
              <w:rPr>
                <w:rFonts w:ascii="宋体" w:hAnsi="宋体" w:cs="宋体"/>
                <w:b/>
                <w:bCs/>
                <w:kern w:val="0"/>
                <w:sz w:val="24"/>
              </w:rPr>
            </w:pPr>
            <w:r>
              <w:rPr>
                <w:rFonts w:ascii="宋体" w:hAnsi="宋体" w:cs="宋体"/>
                <w:b/>
                <w:bCs/>
                <w:kern w:val="0"/>
                <w:sz w:val="24"/>
              </w:rPr>
              <w:t>Q</w:t>
            </w:r>
            <w:r>
              <w:rPr>
                <w:rFonts w:ascii="宋体" w:hAnsi="宋体" w:cs="宋体" w:hint="eastAsia"/>
                <w:b/>
                <w:bCs/>
                <w:kern w:val="0"/>
                <w:sz w:val="24"/>
              </w:rPr>
              <w:t>：</w:t>
            </w:r>
            <w:r w:rsidRPr="005D0E7F">
              <w:rPr>
                <w:rFonts w:ascii="宋体" w:hAnsi="宋体" w:cs="宋体" w:hint="eastAsia"/>
                <w:b/>
                <w:bCs/>
                <w:kern w:val="0"/>
                <w:sz w:val="24"/>
              </w:rPr>
              <w:t>公司医药工业板块降本增效的举措与成效？</w:t>
            </w:r>
          </w:p>
          <w:p w14:paraId="3BDE586F" w14:textId="37D56D7F" w:rsidR="005D0E7F" w:rsidRDefault="005D0E7F" w:rsidP="005D0E7F">
            <w:pPr>
              <w:spacing w:line="276" w:lineRule="auto"/>
              <w:rPr>
                <w:rFonts w:ascii="宋体" w:hAnsi="宋体" w:cs="宋体"/>
                <w:kern w:val="0"/>
                <w:sz w:val="24"/>
              </w:rPr>
            </w:pPr>
            <w:r>
              <w:rPr>
                <w:rFonts w:ascii="宋体" w:hAnsi="宋体" w:cs="宋体" w:hint="eastAsia"/>
                <w:kern w:val="0"/>
                <w:sz w:val="24"/>
              </w:rPr>
              <w:t>A：</w:t>
            </w:r>
            <w:r w:rsidR="004732AE" w:rsidRPr="004732AE">
              <w:rPr>
                <w:rFonts w:ascii="宋体" w:hAnsi="宋体" w:cs="宋体" w:hint="eastAsia"/>
                <w:kern w:val="0"/>
                <w:sz w:val="24"/>
              </w:rPr>
              <w:t>公司坚持常态化精益管理，通过VSM价值流等方式，对产品全生产流程开展系统性梳理、分析与动态监管，深度挖掘生产全链条的降本、提质、增效潜力，聚焦生产业务痛点及核心绩效指标，牵头开展各类精益项目攻关。</w:t>
            </w:r>
            <w:r w:rsidR="00F94783">
              <w:rPr>
                <w:rFonts w:ascii="宋体" w:hAnsi="宋体" w:cs="宋体" w:hint="eastAsia"/>
                <w:kern w:val="0"/>
                <w:sz w:val="24"/>
              </w:rPr>
              <w:t>2</w:t>
            </w:r>
            <w:r w:rsidR="00F94783">
              <w:rPr>
                <w:rFonts w:ascii="宋体" w:hAnsi="宋体" w:cs="宋体"/>
                <w:kern w:val="0"/>
                <w:sz w:val="24"/>
              </w:rPr>
              <w:t>026</w:t>
            </w:r>
            <w:r w:rsidR="00F94783">
              <w:rPr>
                <w:rFonts w:ascii="宋体" w:hAnsi="宋体" w:cs="宋体" w:hint="eastAsia"/>
                <w:kern w:val="0"/>
                <w:sz w:val="24"/>
              </w:rPr>
              <w:t>年上半年</w:t>
            </w:r>
            <w:r w:rsidR="004732AE" w:rsidRPr="004732AE">
              <w:rPr>
                <w:rFonts w:ascii="宋体" w:hAnsi="宋体" w:cs="宋体" w:hint="eastAsia"/>
                <w:kern w:val="0"/>
                <w:sz w:val="24"/>
              </w:rPr>
              <w:t>，公司继续聚焦能源能耗降本、技</w:t>
            </w:r>
            <w:proofErr w:type="gramStart"/>
            <w:r w:rsidR="004732AE" w:rsidRPr="004732AE">
              <w:rPr>
                <w:rFonts w:ascii="宋体" w:hAnsi="宋体" w:cs="宋体" w:hint="eastAsia"/>
                <w:kern w:val="0"/>
                <w:sz w:val="24"/>
              </w:rPr>
              <w:t>经指标</w:t>
            </w:r>
            <w:proofErr w:type="gramEnd"/>
            <w:r w:rsidR="004732AE" w:rsidRPr="004732AE">
              <w:rPr>
                <w:rFonts w:ascii="宋体" w:hAnsi="宋体" w:cs="宋体" w:hint="eastAsia"/>
                <w:kern w:val="0"/>
                <w:sz w:val="24"/>
              </w:rPr>
              <w:t>提升、生产工艺优化等多个方面，建立精益黑带项目和重点改善项目20项、绿带项目111项。</w:t>
            </w:r>
          </w:p>
          <w:p w14:paraId="2606FD92" w14:textId="77777777" w:rsidR="005D0E7F" w:rsidRDefault="005D0E7F" w:rsidP="00F84368">
            <w:pPr>
              <w:spacing w:line="276" w:lineRule="auto"/>
              <w:rPr>
                <w:rFonts w:ascii="宋体" w:hAnsi="宋体" w:cs="宋体"/>
                <w:kern w:val="0"/>
                <w:sz w:val="24"/>
              </w:rPr>
            </w:pPr>
          </w:p>
          <w:p w14:paraId="753A8501" w14:textId="11D67CC7" w:rsidR="005D0E7F" w:rsidRDefault="005D0E7F" w:rsidP="005D0E7F">
            <w:pPr>
              <w:spacing w:line="276" w:lineRule="auto"/>
              <w:jc w:val="left"/>
              <w:rPr>
                <w:rFonts w:ascii="宋体" w:hAnsi="宋体" w:cs="宋体"/>
                <w:b/>
                <w:bCs/>
                <w:kern w:val="0"/>
                <w:sz w:val="24"/>
              </w:rPr>
            </w:pPr>
            <w:r>
              <w:rPr>
                <w:rFonts w:ascii="宋体" w:hAnsi="宋体" w:cs="宋体"/>
                <w:b/>
                <w:bCs/>
                <w:kern w:val="0"/>
                <w:sz w:val="24"/>
              </w:rPr>
              <w:t>Q</w:t>
            </w:r>
            <w:r>
              <w:rPr>
                <w:rFonts w:ascii="宋体" w:hAnsi="宋体" w:cs="宋体" w:hint="eastAsia"/>
                <w:b/>
                <w:bCs/>
                <w:kern w:val="0"/>
                <w:sz w:val="24"/>
              </w:rPr>
              <w:t>：</w:t>
            </w:r>
            <w:r w:rsidRPr="005D0E7F">
              <w:rPr>
                <w:rFonts w:ascii="宋体" w:hAnsi="宋体" w:cs="宋体" w:hint="eastAsia"/>
                <w:b/>
                <w:bCs/>
                <w:kern w:val="0"/>
                <w:sz w:val="24"/>
              </w:rPr>
              <w:t>公司上半年在应收账款</w:t>
            </w:r>
            <w:proofErr w:type="gramStart"/>
            <w:r w:rsidRPr="005D0E7F">
              <w:rPr>
                <w:rFonts w:ascii="宋体" w:hAnsi="宋体" w:cs="宋体" w:hint="eastAsia"/>
                <w:b/>
                <w:bCs/>
                <w:kern w:val="0"/>
                <w:sz w:val="24"/>
              </w:rPr>
              <w:t>账龄管控</w:t>
            </w:r>
            <w:proofErr w:type="gramEnd"/>
            <w:r>
              <w:rPr>
                <w:rFonts w:ascii="宋体" w:hAnsi="宋体" w:cs="宋体" w:hint="eastAsia"/>
                <w:b/>
                <w:bCs/>
                <w:kern w:val="0"/>
                <w:sz w:val="24"/>
              </w:rPr>
              <w:t>的举措有哪些？</w:t>
            </w:r>
          </w:p>
          <w:p w14:paraId="1CDF1C60" w14:textId="77777777" w:rsidR="005D0E7F" w:rsidRDefault="005D0E7F" w:rsidP="002F1713">
            <w:pPr>
              <w:spacing w:line="276" w:lineRule="auto"/>
              <w:rPr>
                <w:rFonts w:ascii="宋体" w:hAnsi="宋体" w:cs="宋体"/>
                <w:kern w:val="0"/>
                <w:sz w:val="24"/>
              </w:rPr>
            </w:pPr>
            <w:r>
              <w:rPr>
                <w:rFonts w:ascii="宋体" w:hAnsi="宋体" w:cs="宋体" w:hint="eastAsia"/>
                <w:kern w:val="0"/>
                <w:sz w:val="24"/>
              </w:rPr>
              <w:t>A：</w:t>
            </w:r>
            <w:r w:rsidR="002F1713" w:rsidRPr="002F1713">
              <w:rPr>
                <w:rFonts w:ascii="宋体" w:hAnsi="宋体" w:cs="宋体" w:hint="eastAsia"/>
                <w:kern w:val="0"/>
                <w:sz w:val="24"/>
              </w:rPr>
              <w:t>公司始终高度重视现金流安全、应收账款管理与资产负债结构优化，坚持审慎稳健的财务管控原则，保障公司持续健康运营。 在应收账款管理方面，自2025年起，公司已启动应收</w:t>
            </w:r>
            <w:proofErr w:type="gramStart"/>
            <w:r w:rsidR="002F1713" w:rsidRPr="002F1713">
              <w:rPr>
                <w:rFonts w:ascii="宋体" w:hAnsi="宋体" w:cs="宋体" w:hint="eastAsia"/>
                <w:kern w:val="0"/>
                <w:sz w:val="24"/>
              </w:rPr>
              <w:t>账款专项</w:t>
            </w:r>
            <w:proofErr w:type="gramEnd"/>
            <w:r w:rsidR="002F1713" w:rsidRPr="002F1713">
              <w:rPr>
                <w:rFonts w:ascii="宋体" w:hAnsi="宋体" w:cs="宋体" w:hint="eastAsia"/>
                <w:kern w:val="0"/>
                <w:sz w:val="24"/>
              </w:rPr>
              <w:t>管理工作，在工业端实行“</w:t>
            </w:r>
            <w:proofErr w:type="gramStart"/>
            <w:r w:rsidR="002F1713" w:rsidRPr="002F1713">
              <w:rPr>
                <w:rFonts w:ascii="宋体" w:hAnsi="宋体" w:cs="宋体" w:hint="eastAsia"/>
                <w:kern w:val="0"/>
                <w:sz w:val="24"/>
              </w:rPr>
              <w:t>一</w:t>
            </w:r>
            <w:proofErr w:type="gramEnd"/>
            <w:r w:rsidR="002F1713" w:rsidRPr="002F1713">
              <w:rPr>
                <w:rFonts w:ascii="宋体" w:hAnsi="宋体" w:cs="宋体" w:hint="eastAsia"/>
                <w:kern w:val="0"/>
                <w:sz w:val="24"/>
              </w:rPr>
              <w:t>司</w:t>
            </w:r>
            <w:proofErr w:type="gramStart"/>
            <w:r w:rsidR="002F1713" w:rsidRPr="002F1713">
              <w:rPr>
                <w:rFonts w:ascii="宋体" w:hAnsi="宋体" w:cs="宋体" w:hint="eastAsia"/>
                <w:kern w:val="0"/>
                <w:sz w:val="24"/>
              </w:rPr>
              <w:t>一</w:t>
            </w:r>
            <w:proofErr w:type="gramEnd"/>
            <w:r w:rsidR="002F1713" w:rsidRPr="002F1713">
              <w:rPr>
                <w:rFonts w:ascii="宋体" w:hAnsi="宋体" w:cs="宋体" w:hint="eastAsia"/>
                <w:kern w:val="0"/>
                <w:sz w:val="24"/>
              </w:rPr>
              <w:t>策”、在商业端实行“一院</w:t>
            </w:r>
            <w:proofErr w:type="gramStart"/>
            <w:r w:rsidR="002F1713" w:rsidRPr="002F1713">
              <w:rPr>
                <w:rFonts w:ascii="宋体" w:hAnsi="宋体" w:cs="宋体" w:hint="eastAsia"/>
                <w:kern w:val="0"/>
                <w:sz w:val="24"/>
              </w:rPr>
              <w:t>一</w:t>
            </w:r>
            <w:proofErr w:type="gramEnd"/>
            <w:r w:rsidR="002F1713" w:rsidRPr="002F1713">
              <w:rPr>
                <w:rFonts w:ascii="宋体" w:hAnsi="宋体" w:cs="宋体" w:hint="eastAsia"/>
                <w:kern w:val="0"/>
                <w:sz w:val="24"/>
              </w:rPr>
              <w:t>策”，结合不同区域制定差异化管控策略。同时，我们也进一步强化财务与业务部门协同，实现应收</w:t>
            </w:r>
            <w:proofErr w:type="gramStart"/>
            <w:r w:rsidR="002F1713" w:rsidRPr="002F1713">
              <w:rPr>
                <w:rFonts w:ascii="宋体" w:hAnsi="宋体" w:cs="宋体" w:hint="eastAsia"/>
                <w:kern w:val="0"/>
                <w:sz w:val="24"/>
              </w:rPr>
              <w:t>账款全</w:t>
            </w:r>
            <w:proofErr w:type="gramEnd"/>
            <w:r w:rsidR="002F1713" w:rsidRPr="002F1713">
              <w:rPr>
                <w:rFonts w:ascii="宋体" w:hAnsi="宋体" w:cs="宋体" w:hint="eastAsia"/>
                <w:kern w:val="0"/>
                <w:sz w:val="24"/>
              </w:rPr>
              <w:t>流程闭环管理。</w:t>
            </w:r>
          </w:p>
          <w:p w14:paraId="7E258582" w14:textId="77777777" w:rsidR="0078788F" w:rsidRDefault="0078788F" w:rsidP="002F1713">
            <w:pPr>
              <w:spacing w:line="276" w:lineRule="auto"/>
              <w:rPr>
                <w:rFonts w:ascii="宋体" w:hAnsi="宋体" w:cs="宋体"/>
                <w:kern w:val="0"/>
                <w:sz w:val="24"/>
              </w:rPr>
            </w:pPr>
          </w:p>
          <w:p w14:paraId="464F4AFD" w14:textId="3AE9F2C2" w:rsidR="0078788F" w:rsidRDefault="0078788F" w:rsidP="0078788F">
            <w:pPr>
              <w:spacing w:line="276" w:lineRule="auto"/>
              <w:jc w:val="left"/>
              <w:rPr>
                <w:rFonts w:ascii="宋体" w:hAnsi="宋体" w:cs="宋体"/>
                <w:b/>
                <w:bCs/>
                <w:kern w:val="0"/>
                <w:sz w:val="24"/>
              </w:rPr>
            </w:pPr>
            <w:r>
              <w:rPr>
                <w:rFonts w:ascii="宋体" w:hAnsi="宋体" w:cs="宋体"/>
                <w:b/>
                <w:bCs/>
                <w:kern w:val="0"/>
                <w:sz w:val="24"/>
              </w:rPr>
              <w:t>Q</w:t>
            </w:r>
            <w:r>
              <w:rPr>
                <w:rFonts w:ascii="宋体" w:hAnsi="宋体" w:cs="宋体" w:hint="eastAsia"/>
                <w:b/>
                <w:bCs/>
                <w:kern w:val="0"/>
                <w:sz w:val="24"/>
              </w:rPr>
              <w:t>：</w:t>
            </w:r>
            <w:r w:rsidRPr="005D0E7F">
              <w:rPr>
                <w:rFonts w:ascii="宋体" w:hAnsi="宋体" w:cs="宋体" w:hint="eastAsia"/>
                <w:b/>
                <w:bCs/>
                <w:kern w:val="0"/>
                <w:sz w:val="24"/>
              </w:rPr>
              <w:t xml:space="preserve"> </w:t>
            </w:r>
            <w:r w:rsidR="00BD11B6">
              <w:rPr>
                <w:rFonts w:ascii="宋体" w:hAnsi="宋体" w:cs="宋体" w:hint="eastAsia"/>
                <w:b/>
                <w:bCs/>
                <w:kern w:val="0"/>
                <w:sz w:val="24"/>
              </w:rPr>
              <w:t>公司在国际业务上的拓展情况如何？</w:t>
            </w:r>
          </w:p>
          <w:p w14:paraId="2B176AC0" w14:textId="1469B08A" w:rsidR="0078788F" w:rsidRPr="000D45F8" w:rsidRDefault="0078788F" w:rsidP="00BD11B6">
            <w:pPr>
              <w:spacing w:line="276" w:lineRule="auto"/>
              <w:rPr>
                <w:rFonts w:ascii="宋体" w:hAnsi="宋体" w:cs="宋体"/>
                <w:kern w:val="0"/>
                <w:sz w:val="24"/>
              </w:rPr>
            </w:pPr>
            <w:r>
              <w:rPr>
                <w:rFonts w:ascii="宋体" w:hAnsi="宋体" w:cs="宋体" w:hint="eastAsia"/>
                <w:kern w:val="0"/>
                <w:sz w:val="24"/>
              </w:rPr>
              <w:t>A：</w:t>
            </w:r>
            <w:r w:rsidR="00BD11B6" w:rsidRPr="00BD11B6">
              <w:rPr>
                <w:rFonts w:ascii="宋体" w:hAnsi="宋体" w:cs="宋体" w:hint="eastAsia"/>
                <w:kern w:val="0"/>
                <w:sz w:val="24"/>
              </w:rPr>
              <w:t>公司全力推进产品的海外拓展工作，以达成国际化的发展目标，目前海外业务主要布局在东南亚</w:t>
            </w:r>
            <w:r w:rsidR="00236E34">
              <w:rPr>
                <w:rFonts w:ascii="宋体" w:hAnsi="宋体" w:cs="宋体" w:hint="eastAsia"/>
                <w:kern w:val="0"/>
                <w:sz w:val="24"/>
              </w:rPr>
              <w:t>及中东</w:t>
            </w:r>
            <w:r w:rsidR="00BD11B6" w:rsidRPr="00BD11B6">
              <w:rPr>
                <w:rFonts w:ascii="宋体" w:hAnsi="宋体" w:cs="宋体" w:hint="eastAsia"/>
                <w:kern w:val="0"/>
                <w:sz w:val="24"/>
              </w:rPr>
              <w:t>地区，包括菲律宾、泰国、新加坡、马来西亚、越南等国</w:t>
            </w:r>
            <w:r w:rsidR="00BD11B6">
              <w:rPr>
                <w:rFonts w:ascii="宋体" w:hAnsi="宋体" w:cs="宋体" w:hint="eastAsia"/>
                <w:kern w:val="0"/>
                <w:sz w:val="24"/>
              </w:rPr>
              <w:t>，今年多个产品在东南亚</w:t>
            </w:r>
            <w:proofErr w:type="gramStart"/>
            <w:r w:rsidR="00BD11B6">
              <w:rPr>
                <w:rFonts w:ascii="宋体" w:hAnsi="宋体" w:cs="宋体" w:hint="eastAsia"/>
                <w:kern w:val="0"/>
                <w:sz w:val="24"/>
              </w:rPr>
              <w:t>获批并已</w:t>
            </w:r>
            <w:proofErr w:type="gramEnd"/>
            <w:r w:rsidR="00BD11B6">
              <w:rPr>
                <w:rFonts w:ascii="宋体" w:hAnsi="宋体" w:cs="宋体" w:hint="eastAsia"/>
                <w:kern w:val="0"/>
                <w:sz w:val="24"/>
              </w:rPr>
              <w:t>发布公告</w:t>
            </w:r>
            <w:r w:rsidR="00BD11B6" w:rsidRPr="00BD11B6">
              <w:rPr>
                <w:rFonts w:ascii="宋体" w:hAnsi="宋体" w:cs="宋体" w:hint="eastAsia"/>
                <w:kern w:val="0"/>
                <w:sz w:val="24"/>
              </w:rPr>
              <w:t>。</w:t>
            </w:r>
            <w:r w:rsidR="00BD11B6">
              <w:rPr>
                <w:rFonts w:ascii="宋体" w:hAnsi="宋体" w:cs="宋体" w:hint="eastAsia"/>
                <w:kern w:val="0"/>
                <w:sz w:val="24"/>
              </w:rPr>
              <w:t>此外</w:t>
            </w:r>
            <w:r w:rsidR="00BD11B6" w:rsidRPr="00BD11B6">
              <w:rPr>
                <w:rFonts w:ascii="宋体" w:hAnsi="宋体" w:cs="宋体" w:hint="eastAsia"/>
                <w:kern w:val="0"/>
                <w:sz w:val="24"/>
              </w:rPr>
              <w:t>，公司旗下和黄药业的正气片和胆宁片均已成功出口至加拿大，</w:t>
            </w:r>
            <w:r w:rsidR="00BD11B6">
              <w:rPr>
                <w:rFonts w:ascii="宋体" w:hAnsi="宋体" w:cs="宋体" w:hint="eastAsia"/>
                <w:kern w:val="0"/>
                <w:sz w:val="24"/>
              </w:rPr>
              <w:t>上药龙虎的</w:t>
            </w:r>
            <w:r w:rsidR="00BD11B6" w:rsidRPr="00BD11B6">
              <w:rPr>
                <w:rFonts w:ascii="宋体" w:hAnsi="宋体" w:cs="宋体" w:hint="eastAsia"/>
                <w:kern w:val="0"/>
                <w:sz w:val="24"/>
              </w:rPr>
              <w:t>龙虎清凉油经典款、龙虎清凉油强效款、龙</w:t>
            </w:r>
            <w:r w:rsidR="00BD11B6" w:rsidRPr="00BD11B6">
              <w:rPr>
                <w:rFonts w:ascii="宋体" w:hAnsi="宋体" w:cs="宋体" w:hint="eastAsia"/>
                <w:kern w:val="0"/>
                <w:sz w:val="24"/>
              </w:rPr>
              <w:lastRenderedPageBreak/>
              <w:t>虎滚珠风油精，于近期正式获得加拿大卫生部天然与非处方健康产品管理局颁发的天然健康产品许可证，实现在北美市场准入的关键性突破</w:t>
            </w:r>
            <w:r w:rsidR="00BD11B6">
              <w:rPr>
                <w:rFonts w:ascii="宋体" w:hAnsi="宋体" w:cs="宋体" w:hint="eastAsia"/>
                <w:kern w:val="0"/>
                <w:sz w:val="24"/>
              </w:rPr>
              <w:t>。</w:t>
            </w:r>
          </w:p>
        </w:tc>
      </w:tr>
      <w:tr w:rsidR="002A5217" w14:paraId="5C1AF499" w14:textId="77777777">
        <w:trPr>
          <w:trHeight w:val="1024"/>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58757293" w14:textId="77777777" w:rsidR="002A5217" w:rsidRDefault="009C092B">
            <w:pPr>
              <w:spacing w:line="440" w:lineRule="exact"/>
              <w:ind w:firstLineChars="50" w:firstLine="120"/>
              <w:rPr>
                <w:rStyle w:val="NormalCharacter"/>
                <w:rFonts w:ascii="宋体" w:hAnsi="宋体"/>
                <w:bCs/>
                <w:iCs/>
                <w:sz w:val="24"/>
              </w:rPr>
            </w:pPr>
            <w:r>
              <w:rPr>
                <w:rStyle w:val="NormalCharacter"/>
                <w:rFonts w:ascii="宋体" w:hAnsi="宋体"/>
                <w:bCs/>
                <w:iCs/>
                <w:sz w:val="24"/>
              </w:rPr>
              <w:lastRenderedPageBreak/>
              <w:t>附件清单（如有）</w:t>
            </w:r>
          </w:p>
        </w:tc>
        <w:tc>
          <w:tcPr>
            <w:tcW w:w="7282" w:type="dxa"/>
            <w:tcBorders>
              <w:top w:val="single" w:sz="4" w:space="0" w:color="000000"/>
              <w:left w:val="single" w:sz="4" w:space="0" w:color="000000"/>
              <w:bottom w:val="single" w:sz="4" w:space="0" w:color="000000"/>
              <w:right w:val="single" w:sz="4" w:space="0" w:color="000000"/>
            </w:tcBorders>
          </w:tcPr>
          <w:p w14:paraId="2CB94F10" w14:textId="77777777" w:rsidR="002A5217" w:rsidRDefault="009C092B">
            <w:pPr>
              <w:spacing w:line="440" w:lineRule="exact"/>
              <w:rPr>
                <w:rStyle w:val="NormalCharacter"/>
                <w:rFonts w:ascii="宋体" w:hAnsi="宋体"/>
                <w:bCs/>
                <w:iCs/>
                <w:sz w:val="24"/>
              </w:rPr>
            </w:pPr>
            <w:r>
              <w:rPr>
                <w:rStyle w:val="NormalCharacter"/>
                <w:rFonts w:ascii="宋体" w:hAnsi="宋体"/>
                <w:bCs/>
                <w:iCs/>
                <w:sz w:val="24"/>
              </w:rPr>
              <w:t>无</w:t>
            </w:r>
          </w:p>
        </w:tc>
      </w:tr>
      <w:tr w:rsidR="002A5217" w14:paraId="59AB9622" w14:textId="77777777">
        <w:trPr>
          <w:jc w:val="center"/>
        </w:trPr>
        <w:tc>
          <w:tcPr>
            <w:tcW w:w="1262" w:type="dxa"/>
            <w:tcBorders>
              <w:top w:val="single" w:sz="4" w:space="0" w:color="000000"/>
              <w:left w:val="single" w:sz="4" w:space="0" w:color="000000"/>
              <w:bottom w:val="single" w:sz="4" w:space="0" w:color="000000"/>
              <w:right w:val="single" w:sz="4" w:space="0" w:color="000000"/>
            </w:tcBorders>
            <w:vAlign w:val="center"/>
          </w:tcPr>
          <w:p w14:paraId="11267EFB" w14:textId="77777777" w:rsidR="002A5217" w:rsidRDefault="009C092B">
            <w:pPr>
              <w:spacing w:line="440" w:lineRule="exact"/>
              <w:rPr>
                <w:rStyle w:val="NormalCharacter"/>
                <w:rFonts w:ascii="宋体" w:hAnsi="宋体"/>
                <w:bCs/>
                <w:iCs/>
                <w:sz w:val="24"/>
              </w:rPr>
            </w:pPr>
            <w:r>
              <w:rPr>
                <w:rStyle w:val="NormalCharacter"/>
                <w:rFonts w:ascii="宋体" w:hAnsi="宋体" w:hint="eastAsia"/>
                <w:bCs/>
                <w:iCs/>
                <w:sz w:val="24"/>
              </w:rPr>
              <w:t>注意事项</w:t>
            </w:r>
          </w:p>
        </w:tc>
        <w:tc>
          <w:tcPr>
            <w:tcW w:w="7282" w:type="dxa"/>
            <w:tcBorders>
              <w:top w:val="single" w:sz="4" w:space="0" w:color="000000"/>
              <w:left w:val="single" w:sz="4" w:space="0" w:color="000000"/>
              <w:bottom w:val="single" w:sz="4" w:space="0" w:color="000000"/>
              <w:right w:val="single" w:sz="4" w:space="0" w:color="000000"/>
            </w:tcBorders>
          </w:tcPr>
          <w:p w14:paraId="0CE21E28" w14:textId="77777777" w:rsidR="002A5217" w:rsidRDefault="009C092B">
            <w:pPr>
              <w:spacing w:line="276" w:lineRule="auto"/>
              <w:rPr>
                <w:rStyle w:val="NormalCharacter"/>
                <w:rFonts w:ascii="宋体" w:hAnsi="宋体"/>
                <w:bCs/>
                <w:iCs/>
                <w:sz w:val="24"/>
              </w:rPr>
            </w:pPr>
            <w:r>
              <w:rPr>
                <w:rFonts w:hint="eastAsia"/>
                <w:sz w:val="24"/>
              </w:rPr>
              <w:t>公司严格</w:t>
            </w:r>
            <w:proofErr w:type="gramStart"/>
            <w:r>
              <w:rPr>
                <w:rFonts w:hint="eastAsia"/>
                <w:sz w:val="24"/>
              </w:rPr>
              <w:t>遵守信披</w:t>
            </w:r>
            <w:proofErr w:type="gramEnd"/>
            <w:r>
              <w:rPr>
                <w:rFonts w:hint="eastAsia"/>
                <w:sz w:val="24"/>
              </w:rPr>
              <w:t>规则进行投资者交流，如涉及公司未来计划、发展战略等前瞻性描述，不构成公司对投资者的实质性承诺。</w:t>
            </w:r>
          </w:p>
        </w:tc>
      </w:tr>
    </w:tbl>
    <w:p w14:paraId="26AB79A2" w14:textId="77777777" w:rsidR="002A5217" w:rsidRDefault="002A5217">
      <w:pPr>
        <w:spacing w:line="440" w:lineRule="exact"/>
        <w:rPr>
          <w:rStyle w:val="NormalCharacter"/>
          <w:rFonts w:ascii="宋体" w:hAnsi="宋体"/>
          <w:sz w:val="24"/>
        </w:rPr>
      </w:pPr>
    </w:p>
    <w:sectPr w:rsidR="002A5217">
      <w:headerReference w:type="default" r:id="rId7"/>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3ABBF" w14:textId="77777777" w:rsidR="004167A3" w:rsidRDefault="004167A3">
      <w:r>
        <w:separator/>
      </w:r>
    </w:p>
  </w:endnote>
  <w:endnote w:type="continuationSeparator" w:id="0">
    <w:p w14:paraId="3B50C508" w14:textId="77777777" w:rsidR="004167A3" w:rsidRDefault="0041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E390" w14:textId="77777777" w:rsidR="002A5217" w:rsidRDefault="002A5217">
    <w:pPr>
      <w:pStyle w:val="a9"/>
      <w:framePr w:wrap="around" w:hAnchor="text" w:xAlign="center" w:y="1"/>
      <w:rPr>
        <w:rStyle w:val="PageNumber"/>
      </w:rPr>
    </w:pPr>
  </w:p>
  <w:p w14:paraId="7914E9DE" w14:textId="77777777" w:rsidR="002A5217" w:rsidRDefault="002A5217">
    <w:pPr>
      <w:pStyle w:val="a9"/>
      <w:rPr>
        <w:rStyle w:val="NormalCharac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52AF" w14:textId="77777777" w:rsidR="002A5217" w:rsidRDefault="009C092B">
    <w:pPr>
      <w:pStyle w:val="a9"/>
      <w:jc w:val="center"/>
    </w:pPr>
    <w:r>
      <w:fldChar w:fldCharType="begin"/>
    </w:r>
    <w:r>
      <w:instrText xml:space="preserve"> PAGE   \* MERGEFORMAT </w:instrText>
    </w:r>
    <w:r>
      <w:fldChar w:fldCharType="separate"/>
    </w:r>
    <w:r>
      <w:rPr>
        <w:lang w:val="zh-CN"/>
      </w:rPr>
      <w:t>3</w:t>
    </w:r>
    <w:r>
      <w:rPr>
        <w:lang w:val="zh-CN"/>
      </w:rPr>
      <w:fldChar w:fldCharType="end"/>
    </w:r>
  </w:p>
  <w:p w14:paraId="098BCA03" w14:textId="77777777" w:rsidR="002A5217" w:rsidRDefault="002A5217">
    <w:pPr>
      <w:pStyle w:val="a9"/>
      <w:rPr>
        <w:rStyle w:val="NormalCharac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DAFC8" w14:textId="77777777" w:rsidR="004167A3" w:rsidRDefault="004167A3">
      <w:r>
        <w:separator/>
      </w:r>
    </w:p>
  </w:footnote>
  <w:footnote w:type="continuationSeparator" w:id="0">
    <w:p w14:paraId="2E3E1FF7" w14:textId="77777777" w:rsidR="004167A3" w:rsidRDefault="00416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AFDF" w14:textId="77777777" w:rsidR="002A5217" w:rsidRDefault="002A5217">
    <w:pPr>
      <w:pStyle w:val="ab"/>
      <w:pBdr>
        <w:bottom w:val="none" w:sz="0" w:space="0" w:color="auto"/>
      </w:pBdr>
      <w:rPr>
        <w:rStyle w:val="NormalCharact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1D"/>
    <w:rsid w:val="00002C55"/>
    <w:rsid w:val="000106BF"/>
    <w:rsid w:val="00016EAE"/>
    <w:rsid w:val="000176D7"/>
    <w:rsid w:val="00031563"/>
    <w:rsid w:val="00033A55"/>
    <w:rsid w:val="00040C5D"/>
    <w:rsid w:val="00043366"/>
    <w:rsid w:val="00052197"/>
    <w:rsid w:val="000564B0"/>
    <w:rsid w:val="000767B8"/>
    <w:rsid w:val="000867C7"/>
    <w:rsid w:val="00095809"/>
    <w:rsid w:val="000A0CB1"/>
    <w:rsid w:val="000C227F"/>
    <w:rsid w:val="000C281C"/>
    <w:rsid w:val="000C74D8"/>
    <w:rsid w:val="000D45F8"/>
    <w:rsid w:val="000D4D91"/>
    <w:rsid w:val="000E1D70"/>
    <w:rsid w:val="000E5E07"/>
    <w:rsid w:val="0012046E"/>
    <w:rsid w:val="001209B2"/>
    <w:rsid w:val="001221D9"/>
    <w:rsid w:val="00125BDA"/>
    <w:rsid w:val="001273E4"/>
    <w:rsid w:val="0015162D"/>
    <w:rsid w:val="00162E1B"/>
    <w:rsid w:val="00173E79"/>
    <w:rsid w:val="001801D1"/>
    <w:rsid w:val="00191176"/>
    <w:rsid w:val="001B7189"/>
    <w:rsid w:val="001C5440"/>
    <w:rsid w:val="001F77A7"/>
    <w:rsid w:val="002165E9"/>
    <w:rsid w:val="00223643"/>
    <w:rsid w:val="00223D7B"/>
    <w:rsid w:val="002269FA"/>
    <w:rsid w:val="00233822"/>
    <w:rsid w:val="002343C0"/>
    <w:rsid w:val="00236E34"/>
    <w:rsid w:val="0024381D"/>
    <w:rsid w:val="00263447"/>
    <w:rsid w:val="00292E82"/>
    <w:rsid w:val="002A5217"/>
    <w:rsid w:val="002A5E05"/>
    <w:rsid w:val="002B2DFE"/>
    <w:rsid w:val="002B58AA"/>
    <w:rsid w:val="002B65B4"/>
    <w:rsid w:val="002C42AB"/>
    <w:rsid w:val="002C6B79"/>
    <w:rsid w:val="002F1713"/>
    <w:rsid w:val="002F7159"/>
    <w:rsid w:val="00307DBE"/>
    <w:rsid w:val="00321F3A"/>
    <w:rsid w:val="00327A2B"/>
    <w:rsid w:val="003452E5"/>
    <w:rsid w:val="00346511"/>
    <w:rsid w:val="003574FC"/>
    <w:rsid w:val="00371FFD"/>
    <w:rsid w:val="0038018B"/>
    <w:rsid w:val="00380974"/>
    <w:rsid w:val="00390461"/>
    <w:rsid w:val="003A2CB1"/>
    <w:rsid w:val="003C3AAB"/>
    <w:rsid w:val="003C4F10"/>
    <w:rsid w:val="003C5D1E"/>
    <w:rsid w:val="003C767A"/>
    <w:rsid w:val="003D4770"/>
    <w:rsid w:val="003E6A30"/>
    <w:rsid w:val="003F54AA"/>
    <w:rsid w:val="004117E0"/>
    <w:rsid w:val="004167A3"/>
    <w:rsid w:val="0042255F"/>
    <w:rsid w:val="0044657F"/>
    <w:rsid w:val="004611B6"/>
    <w:rsid w:val="004642AD"/>
    <w:rsid w:val="004732AE"/>
    <w:rsid w:val="0048115A"/>
    <w:rsid w:val="00485133"/>
    <w:rsid w:val="00490438"/>
    <w:rsid w:val="0049785A"/>
    <w:rsid w:val="004B3699"/>
    <w:rsid w:val="004C324D"/>
    <w:rsid w:val="004C3851"/>
    <w:rsid w:val="004C7F2D"/>
    <w:rsid w:val="004D1335"/>
    <w:rsid w:val="004E2C16"/>
    <w:rsid w:val="004E500B"/>
    <w:rsid w:val="005009F0"/>
    <w:rsid w:val="00506348"/>
    <w:rsid w:val="005064E8"/>
    <w:rsid w:val="0051714D"/>
    <w:rsid w:val="00517951"/>
    <w:rsid w:val="0054105C"/>
    <w:rsid w:val="00541826"/>
    <w:rsid w:val="00545187"/>
    <w:rsid w:val="00547FC7"/>
    <w:rsid w:val="005831D8"/>
    <w:rsid w:val="005B0843"/>
    <w:rsid w:val="005B2473"/>
    <w:rsid w:val="005C51BA"/>
    <w:rsid w:val="005D0E7F"/>
    <w:rsid w:val="005D37C3"/>
    <w:rsid w:val="005D758C"/>
    <w:rsid w:val="005E5816"/>
    <w:rsid w:val="005E779E"/>
    <w:rsid w:val="005F66A3"/>
    <w:rsid w:val="00604096"/>
    <w:rsid w:val="0060732D"/>
    <w:rsid w:val="00654E82"/>
    <w:rsid w:val="00667C5C"/>
    <w:rsid w:val="00670FF2"/>
    <w:rsid w:val="0068469E"/>
    <w:rsid w:val="006A1ED5"/>
    <w:rsid w:val="006B0979"/>
    <w:rsid w:val="006C7D17"/>
    <w:rsid w:val="006D32C2"/>
    <w:rsid w:val="00701239"/>
    <w:rsid w:val="00707663"/>
    <w:rsid w:val="007139E4"/>
    <w:rsid w:val="00720FD7"/>
    <w:rsid w:val="007220FC"/>
    <w:rsid w:val="00722D51"/>
    <w:rsid w:val="0072437E"/>
    <w:rsid w:val="0073265E"/>
    <w:rsid w:val="00733A5A"/>
    <w:rsid w:val="00735B26"/>
    <w:rsid w:val="0074282E"/>
    <w:rsid w:val="00744D17"/>
    <w:rsid w:val="00745663"/>
    <w:rsid w:val="007554F2"/>
    <w:rsid w:val="00756FF9"/>
    <w:rsid w:val="007611E2"/>
    <w:rsid w:val="00770160"/>
    <w:rsid w:val="0078788F"/>
    <w:rsid w:val="00881D7A"/>
    <w:rsid w:val="00885FE2"/>
    <w:rsid w:val="008C0901"/>
    <w:rsid w:val="008C5203"/>
    <w:rsid w:val="008F7B79"/>
    <w:rsid w:val="0093246F"/>
    <w:rsid w:val="00952A31"/>
    <w:rsid w:val="00962079"/>
    <w:rsid w:val="009652FF"/>
    <w:rsid w:val="0097541E"/>
    <w:rsid w:val="009762B3"/>
    <w:rsid w:val="009B014C"/>
    <w:rsid w:val="009C092B"/>
    <w:rsid w:val="00A20F79"/>
    <w:rsid w:val="00A2283F"/>
    <w:rsid w:val="00A31E51"/>
    <w:rsid w:val="00A40C32"/>
    <w:rsid w:val="00A53B84"/>
    <w:rsid w:val="00A8351D"/>
    <w:rsid w:val="00A86522"/>
    <w:rsid w:val="00A934AA"/>
    <w:rsid w:val="00AA0D98"/>
    <w:rsid w:val="00AB4FB7"/>
    <w:rsid w:val="00AC2889"/>
    <w:rsid w:val="00AC3736"/>
    <w:rsid w:val="00AD36AC"/>
    <w:rsid w:val="00AE5D7E"/>
    <w:rsid w:val="00AF09C3"/>
    <w:rsid w:val="00AF0F25"/>
    <w:rsid w:val="00AF5CEF"/>
    <w:rsid w:val="00B03EF8"/>
    <w:rsid w:val="00B13F37"/>
    <w:rsid w:val="00B14369"/>
    <w:rsid w:val="00B3209A"/>
    <w:rsid w:val="00B454CB"/>
    <w:rsid w:val="00B52F84"/>
    <w:rsid w:val="00B60FF5"/>
    <w:rsid w:val="00B722EB"/>
    <w:rsid w:val="00B83D45"/>
    <w:rsid w:val="00BA0014"/>
    <w:rsid w:val="00BA1E4C"/>
    <w:rsid w:val="00BA48DD"/>
    <w:rsid w:val="00BA6BBB"/>
    <w:rsid w:val="00BB2E68"/>
    <w:rsid w:val="00BD11B6"/>
    <w:rsid w:val="00BD4000"/>
    <w:rsid w:val="00BE31D8"/>
    <w:rsid w:val="00C14789"/>
    <w:rsid w:val="00C242EB"/>
    <w:rsid w:val="00C36353"/>
    <w:rsid w:val="00C4177A"/>
    <w:rsid w:val="00C4569F"/>
    <w:rsid w:val="00C6565B"/>
    <w:rsid w:val="00CA1744"/>
    <w:rsid w:val="00CA3A36"/>
    <w:rsid w:val="00CB5C96"/>
    <w:rsid w:val="00CB7D45"/>
    <w:rsid w:val="00CE08CC"/>
    <w:rsid w:val="00D2297A"/>
    <w:rsid w:val="00D33D69"/>
    <w:rsid w:val="00D400E9"/>
    <w:rsid w:val="00D56194"/>
    <w:rsid w:val="00D61FE4"/>
    <w:rsid w:val="00D642F8"/>
    <w:rsid w:val="00D64C28"/>
    <w:rsid w:val="00D73FC5"/>
    <w:rsid w:val="00D819BC"/>
    <w:rsid w:val="00D868F4"/>
    <w:rsid w:val="00D92A51"/>
    <w:rsid w:val="00DA6E11"/>
    <w:rsid w:val="00DB4A2B"/>
    <w:rsid w:val="00E02835"/>
    <w:rsid w:val="00E1629C"/>
    <w:rsid w:val="00E32873"/>
    <w:rsid w:val="00E44277"/>
    <w:rsid w:val="00E47BCF"/>
    <w:rsid w:val="00E57BD0"/>
    <w:rsid w:val="00E62AFA"/>
    <w:rsid w:val="00E76B31"/>
    <w:rsid w:val="00E81462"/>
    <w:rsid w:val="00E905C1"/>
    <w:rsid w:val="00EC3152"/>
    <w:rsid w:val="00EC3263"/>
    <w:rsid w:val="00EE016C"/>
    <w:rsid w:val="00EE63EC"/>
    <w:rsid w:val="00F01F02"/>
    <w:rsid w:val="00F02F49"/>
    <w:rsid w:val="00F04AE7"/>
    <w:rsid w:val="00F12697"/>
    <w:rsid w:val="00F23045"/>
    <w:rsid w:val="00F246BA"/>
    <w:rsid w:val="00F24DF8"/>
    <w:rsid w:val="00F61DCD"/>
    <w:rsid w:val="00F80429"/>
    <w:rsid w:val="00F8425D"/>
    <w:rsid w:val="00F84368"/>
    <w:rsid w:val="00F871BE"/>
    <w:rsid w:val="00F93F41"/>
    <w:rsid w:val="00F94783"/>
    <w:rsid w:val="00F97CF0"/>
    <w:rsid w:val="00FA2046"/>
    <w:rsid w:val="00FB1E69"/>
    <w:rsid w:val="00FB6A09"/>
    <w:rsid w:val="00FC1FA4"/>
    <w:rsid w:val="00FC4A73"/>
    <w:rsid w:val="00FD4BD0"/>
    <w:rsid w:val="00FE16D0"/>
    <w:rsid w:val="00FF19BD"/>
    <w:rsid w:val="2B746E5B"/>
    <w:rsid w:val="5D8E5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B7688"/>
  <w15:docId w15:val="{42B799FB-7024-4E36-95FA-FB1C3536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textAlignment w:val="baseline"/>
    </w:pPr>
    <w:rPr>
      <w:kern w:val="2"/>
      <w:sz w:val="21"/>
      <w:szCs w:val="24"/>
    </w:rPr>
  </w:style>
  <w:style w:type="paragraph" w:styleId="4">
    <w:name w:val="heading 4"/>
    <w:basedOn w:val="a"/>
    <w:next w:val="a"/>
    <w:uiPriority w:val="9"/>
    <w:semiHidden/>
    <w:unhideWhenUsed/>
    <w:qFormat/>
    <w:pPr>
      <w:spacing w:beforeAutospacing="1" w:afterAutospacing="1"/>
      <w:jc w:val="left"/>
      <w:outlineLvl w:val="3"/>
    </w:pPr>
    <w:rPr>
      <w:rFonts w:ascii="宋体" w:hAnsi="宋体"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Date"/>
    <w:basedOn w:val="a"/>
    <w:next w:val="a"/>
    <w:link w:val="a6"/>
    <w:uiPriority w:val="99"/>
    <w:qFormat/>
    <w:pPr>
      <w:widowControl w:val="0"/>
      <w:ind w:leftChars="2500" w:left="100"/>
      <w:textAlignment w:val="auto"/>
    </w:pPr>
    <w:rPr>
      <w:rFonts w:ascii="等线" w:eastAsia="等线" w:hAnsi="等线" w:cs="宋体"/>
      <w:szCs w:val="22"/>
    </w:rPr>
  </w:style>
  <w:style w:type="paragraph" w:styleId="a7">
    <w:name w:val="Balloon Text"/>
    <w:basedOn w:val="a"/>
    <w:link w:val="a8"/>
    <w:uiPriority w:val="99"/>
    <w:qFormat/>
    <w:pPr>
      <w:widowControl w:val="0"/>
      <w:textAlignment w:val="auto"/>
    </w:pPr>
    <w:rPr>
      <w:rFonts w:ascii="等线" w:eastAsia="等线" w:hAnsi="等线" w:cs="宋体"/>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000000"/>
      </w:pBdr>
      <w:tabs>
        <w:tab w:val="center" w:pos="4153"/>
        <w:tab w:val="right" w:pos="8306"/>
      </w:tabs>
      <w:snapToGrid w:val="0"/>
      <w:jc w:val="center"/>
    </w:pPr>
    <w:rPr>
      <w:sz w:val="18"/>
      <w:szCs w:val="18"/>
    </w:rPr>
  </w:style>
  <w:style w:type="paragraph" w:styleId="ad">
    <w:name w:val="annotation subject"/>
    <w:basedOn w:val="a3"/>
    <w:next w:val="a3"/>
    <w:link w:val="ae"/>
    <w:uiPriority w:val="99"/>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uiPriority w:val="20"/>
    <w:qFormat/>
    <w:rPr>
      <w:color w:val="CC0000"/>
    </w:rPr>
  </w:style>
  <w:style w:type="character" w:styleId="af1">
    <w:name w:val="Hyperlink"/>
    <w:basedOn w:val="a0"/>
    <w:uiPriority w:val="99"/>
    <w:qFormat/>
    <w:rPr>
      <w:color w:val="0000FF"/>
      <w:u w:val="single"/>
    </w:rPr>
  </w:style>
  <w:style w:type="character" w:styleId="af2">
    <w:name w:val="annotation reference"/>
    <w:basedOn w:val="a0"/>
    <w:uiPriority w:val="99"/>
    <w:qFormat/>
    <w:rPr>
      <w:sz w:val="21"/>
      <w:szCs w:val="21"/>
    </w:rPr>
  </w:style>
  <w:style w:type="character" w:customStyle="1" w:styleId="NormalCharacter">
    <w:name w:val="NormalCharacter"/>
    <w:qFormat/>
  </w:style>
  <w:style w:type="table" w:customStyle="1" w:styleId="TableNormal">
    <w:name w:val="TableNormal"/>
    <w:qFormat/>
    <w:tblPr>
      <w:tblCellMar>
        <w:top w:w="0" w:type="dxa"/>
        <w:left w:w="0" w:type="dxa"/>
        <w:bottom w:w="0" w:type="dxa"/>
        <w:right w:w="0" w:type="dxa"/>
      </w:tblCellMar>
    </w:tblPr>
  </w:style>
  <w:style w:type="character" w:customStyle="1" w:styleId="PageNumber">
    <w:name w:val="PageNumber"/>
    <w:basedOn w:val="NormalCharacter"/>
    <w:qFormat/>
  </w:style>
  <w:style w:type="character" w:customStyle="1" w:styleId="UserStyle0">
    <w:name w:val="UserStyle_0"/>
    <w:link w:val="Acetate"/>
    <w:qFormat/>
    <w:rPr>
      <w:kern w:val="2"/>
      <w:sz w:val="18"/>
      <w:szCs w:val="18"/>
    </w:rPr>
  </w:style>
  <w:style w:type="paragraph" w:customStyle="1" w:styleId="Acetate">
    <w:name w:val="Acetate"/>
    <w:basedOn w:val="a"/>
    <w:link w:val="UserStyle0"/>
    <w:qFormat/>
    <w:rPr>
      <w:sz w:val="18"/>
      <w:szCs w:val="18"/>
    </w:rPr>
  </w:style>
  <w:style w:type="character" w:customStyle="1" w:styleId="ac">
    <w:name w:val="页眉 字符"/>
    <w:link w:val="ab"/>
    <w:uiPriority w:val="99"/>
    <w:qFormat/>
    <w:rPr>
      <w:kern w:val="2"/>
      <w:sz w:val="18"/>
      <w:szCs w:val="18"/>
    </w:rPr>
  </w:style>
  <w:style w:type="paragraph" w:customStyle="1" w:styleId="BodyTextIndent">
    <w:name w:val="BodyTextIndent"/>
    <w:basedOn w:val="a"/>
    <w:qFormat/>
    <w:pPr>
      <w:spacing w:after="120"/>
      <w:ind w:leftChars="200" w:left="200"/>
    </w:pPr>
    <w:rPr>
      <w:szCs w:val="20"/>
    </w:rPr>
  </w:style>
  <w:style w:type="paragraph" w:customStyle="1" w:styleId="179">
    <w:name w:val="179"/>
    <w:basedOn w:val="a"/>
    <w:qFormat/>
    <w:pPr>
      <w:ind w:firstLineChars="200" w:firstLine="420"/>
    </w:pPr>
    <w:rPr>
      <w:rFonts w:ascii="Calibri" w:hAnsi="Calibri"/>
      <w:szCs w:val="22"/>
    </w:rPr>
  </w:style>
  <w:style w:type="paragraph" w:customStyle="1" w:styleId="UserStyle2">
    <w:name w:val="UserStyle_2"/>
    <w:basedOn w:val="a"/>
    <w:qFormat/>
    <w:pPr>
      <w:tabs>
        <w:tab w:val="left" w:pos="720"/>
      </w:tabs>
      <w:ind w:left="720" w:hanging="720"/>
    </w:pPr>
    <w:rPr>
      <w:sz w:val="18"/>
      <w:szCs w:val="18"/>
    </w:rPr>
  </w:style>
  <w:style w:type="paragraph" w:customStyle="1" w:styleId="UserStyle3">
    <w:name w:val="UserStyle_3"/>
    <w:basedOn w:val="a"/>
    <w:qFormat/>
    <w:rPr>
      <w:rFonts w:ascii="仿宋_GB2312" w:eastAsia="仿宋_GB2312"/>
      <w:sz w:val="32"/>
      <w:szCs w:val="32"/>
    </w:rPr>
  </w:style>
  <w:style w:type="table" w:customStyle="1" w:styleId="TableGrid">
    <w:name w:val="TableGrid"/>
    <w:basedOn w:val="TableNormal"/>
    <w:qFormat/>
    <w:tblPr/>
  </w:style>
  <w:style w:type="character" w:customStyle="1" w:styleId="aa">
    <w:name w:val="页脚 字符"/>
    <w:basedOn w:val="a0"/>
    <w:link w:val="a9"/>
    <w:uiPriority w:val="99"/>
    <w:qFormat/>
    <w:rPr>
      <w:kern w:val="2"/>
      <w:sz w:val="18"/>
      <w:szCs w:val="18"/>
    </w:rPr>
  </w:style>
  <w:style w:type="paragraph" w:customStyle="1" w:styleId="1">
    <w:name w:val="列出段落1"/>
    <w:basedOn w:val="a"/>
    <w:link w:val="Char"/>
    <w:uiPriority w:val="34"/>
    <w:qFormat/>
    <w:pPr>
      <w:widowControl w:val="0"/>
      <w:ind w:firstLineChars="200" w:firstLine="420"/>
      <w:textAlignment w:val="auto"/>
    </w:pPr>
    <w:rPr>
      <w:rFonts w:ascii="等线" w:eastAsia="等线" w:hAnsi="等线" w:cs="宋体"/>
      <w:szCs w:val="22"/>
    </w:rPr>
  </w:style>
  <w:style w:type="character" w:customStyle="1" w:styleId="a6">
    <w:name w:val="日期 字符"/>
    <w:basedOn w:val="a0"/>
    <w:link w:val="a5"/>
    <w:uiPriority w:val="99"/>
    <w:qFormat/>
    <w:rPr>
      <w:rFonts w:ascii="等线" w:eastAsia="等线" w:hAnsi="等线" w:cs="宋体"/>
      <w:kern w:val="2"/>
      <w:sz w:val="21"/>
      <w:szCs w:val="22"/>
    </w:rPr>
  </w:style>
  <w:style w:type="character" w:customStyle="1" w:styleId="a8">
    <w:name w:val="批注框文本 字符"/>
    <w:basedOn w:val="a0"/>
    <w:link w:val="a7"/>
    <w:uiPriority w:val="99"/>
    <w:qFormat/>
    <w:rPr>
      <w:rFonts w:ascii="等线" w:eastAsia="等线" w:hAnsi="等线" w:cs="宋体"/>
      <w:kern w:val="2"/>
      <w:sz w:val="18"/>
      <w:szCs w:val="18"/>
    </w:rPr>
  </w:style>
  <w:style w:type="paragraph" w:customStyle="1" w:styleId="10">
    <w:name w:val="列表段落1"/>
    <w:basedOn w:val="a"/>
    <w:uiPriority w:val="34"/>
    <w:qFormat/>
    <w:pPr>
      <w:ind w:firstLineChars="200" w:firstLine="420"/>
    </w:pPr>
  </w:style>
  <w:style w:type="character" w:customStyle="1" w:styleId="bjh-p">
    <w:name w:val="bjh-p"/>
    <w:basedOn w:val="a0"/>
    <w:qFormat/>
  </w:style>
  <w:style w:type="paragraph" w:customStyle="1" w:styleId="11">
    <w:name w:val="修订1"/>
    <w:uiPriority w:val="99"/>
    <w:qFormat/>
    <w:rPr>
      <w:kern w:val="2"/>
      <w:sz w:val="21"/>
      <w:szCs w:val="24"/>
    </w:rPr>
  </w:style>
  <w:style w:type="character" w:customStyle="1" w:styleId="Char">
    <w:name w:val="列出段落 Char"/>
    <w:link w:val="1"/>
    <w:uiPriority w:val="34"/>
    <w:qFormat/>
    <w:rPr>
      <w:rFonts w:ascii="等线" w:eastAsia="等线" w:hAnsi="等线" w:cs="宋体"/>
      <w:kern w:val="2"/>
      <w:sz w:val="21"/>
      <w:szCs w:val="22"/>
    </w:rPr>
  </w:style>
  <w:style w:type="paragraph" w:customStyle="1" w:styleId="2">
    <w:name w:val="修订2"/>
    <w:uiPriority w:val="99"/>
    <w:qFormat/>
    <w:rPr>
      <w:kern w:val="2"/>
      <w:sz w:val="21"/>
      <w:szCs w:val="24"/>
    </w:rPr>
  </w:style>
  <w:style w:type="character" w:customStyle="1" w:styleId="a4">
    <w:name w:val="批注文字 字符"/>
    <w:basedOn w:val="a0"/>
    <w:link w:val="a3"/>
    <w:uiPriority w:val="99"/>
    <w:qFormat/>
    <w:rPr>
      <w:kern w:val="2"/>
      <w:sz w:val="21"/>
      <w:szCs w:val="24"/>
    </w:rPr>
  </w:style>
  <w:style w:type="character" w:customStyle="1" w:styleId="ae">
    <w:name w:val="批注主题 字符"/>
    <w:basedOn w:val="a4"/>
    <w:link w:val="ad"/>
    <w:uiPriority w:val="99"/>
    <w:qFormat/>
    <w:rPr>
      <w:b/>
      <w:bCs/>
      <w:kern w:val="2"/>
      <w:sz w:val="21"/>
      <w:szCs w:val="24"/>
    </w:rPr>
  </w:style>
  <w:style w:type="paragraph" w:customStyle="1" w:styleId="3">
    <w:name w:val="修订3"/>
    <w:uiPriority w:val="99"/>
    <w:qFormat/>
    <w:rPr>
      <w:kern w:val="2"/>
      <w:sz w:val="21"/>
      <w:szCs w:val="24"/>
    </w:rPr>
  </w:style>
  <w:style w:type="paragraph" w:customStyle="1" w:styleId="40">
    <w:name w:val="修订4"/>
    <w:uiPriority w:val="99"/>
    <w:qFormat/>
    <w:rPr>
      <w:kern w:val="2"/>
      <w:sz w:val="21"/>
      <w:szCs w:val="24"/>
    </w:rPr>
  </w:style>
  <w:style w:type="paragraph" w:customStyle="1" w:styleId="paragraph">
    <w:name w:val="paragraph"/>
    <w:basedOn w:val="a"/>
    <w:pPr>
      <w:spacing w:before="100" w:beforeAutospacing="1" w:after="100" w:afterAutospacing="1"/>
      <w:jc w:val="left"/>
      <w:textAlignment w:val="auto"/>
    </w:pPr>
    <w:rPr>
      <w:rFonts w:ascii="等线" w:eastAsia="等线" w:hAnsi="等线"/>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DC471-B316-432E-AE28-B268D7AC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430</Words>
  <Characters>2455</Characters>
  <Application>Microsoft Office Word</Application>
  <DocSecurity>0</DocSecurity>
  <Lines>20</Lines>
  <Paragraphs>5</Paragraphs>
  <ScaleCrop>false</ScaleCrop>
  <Company>SPH</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王梓安</cp:lastModifiedBy>
  <cp:revision>11</cp:revision>
  <cp:lastPrinted>2026-02-27T02:58:00Z</cp:lastPrinted>
  <dcterms:created xsi:type="dcterms:W3CDTF">2026-08-28T13:00:00Z</dcterms:created>
  <dcterms:modified xsi:type="dcterms:W3CDTF">2026-09-02T06:44:00Z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B4058139E80146D28D3F792A598555CF_13</vt:lpwstr>
  </property>
  <property fmtid="{D5CDD505-2E9C-101B-9397-08002B2CF9AE}" pid="4" name="KSOTemplateDocerSaveRecord">
    <vt:lpwstr>eyJoZGlkIjoiZjkyMTkyOTY2M2JkNTY4ZThkNTA2NmRjZWI3OWUxMzIiLCJ1c2VySWQiOiIxNzMyNzYwMjE0In0=</vt:lpwstr>
  </property>
</Properties>
</file>