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7B17B">
      <w:pPr>
        <w:spacing w:before="31" w:beforeLines="10" w:line="360" w:lineRule="auto"/>
        <w:rPr>
          <w:rFonts w:hint="eastAsia" w:ascii="宋体" w:hAnsi="宋体" w:cs="宋体"/>
          <w:b/>
          <w:w w:val="95"/>
          <w:sz w:val="24"/>
        </w:rPr>
      </w:pPr>
      <w:r>
        <w:rPr>
          <w:rFonts w:hint="eastAsia" w:ascii="宋体" w:hAnsi="宋体" w:cs="宋体"/>
          <w:b/>
          <w:w w:val="95"/>
          <w:sz w:val="24"/>
        </w:rPr>
        <w:t>证券简称：金帝股份                                       证券代码：603270</w:t>
      </w:r>
    </w:p>
    <w:p w14:paraId="68156EFE">
      <w:pPr>
        <w:jc w:val="center"/>
        <w:rPr>
          <w:rFonts w:hint="eastAsia" w:ascii="宋体" w:hAnsi="宋体" w:cs="宋体"/>
          <w:b/>
          <w:w w:val="95"/>
          <w:sz w:val="32"/>
          <w:szCs w:val="32"/>
        </w:rPr>
      </w:pPr>
    </w:p>
    <w:p w14:paraId="7093D949">
      <w:pPr>
        <w:spacing w:before="31" w:beforeLines="10" w:line="360" w:lineRule="auto"/>
        <w:jc w:val="center"/>
        <w:rPr>
          <w:rFonts w:hint="eastAsia" w:ascii="宋体" w:hAnsi="宋体" w:cs="宋体"/>
          <w:b/>
          <w:w w:val="95"/>
          <w:sz w:val="36"/>
          <w:szCs w:val="36"/>
        </w:rPr>
      </w:pPr>
      <w:r>
        <w:rPr>
          <w:rFonts w:hint="eastAsia" w:ascii="宋体" w:hAnsi="宋体" w:cs="宋体"/>
          <w:b/>
          <w:w w:val="95"/>
          <w:sz w:val="36"/>
          <w:szCs w:val="36"/>
        </w:rPr>
        <w:t>山东金帝精密机械科技股份有限公司</w:t>
      </w:r>
    </w:p>
    <w:p w14:paraId="6734F0E5">
      <w:pPr>
        <w:spacing w:line="360" w:lineRule="auto"/>
        <w:jc w:val="center"/>
        <w:rPr>
          <w:rFonts w:hint="eastAsia" w:ascii="宋体" w:hAnsi="宋体" w:cs="宋体"/>
          <w:b/>
          <w:w w:val="95"/>
          <w:kern w:val="0"/>
          <w:sz w:val="36"/>
          <w:szCs w:val="36"/>
        </w:rPr>
      </w:pPr>
      <w:r>
        <w:rPr>
          <w:rFonts w:hint="eastAsia" w:ascii="宋体" w:hAnsi="宋体" w:cs="宋体"/>
          <w:b/>
          <w:w w:val="95"/>
          <w:kern w:val="0"/>
          <w:sz w:val="36"/>
          <w:szCs w:val="36"/>
        </w:rPr>
        <w:t>投资者关系活动记录表</w:t>
      </w:r>
    </w:p>
    <w:p w14:paraId="075EA852">
      <w:pPr>
        <w:tabs>
          <w:tab w:val="left" w:pos="6106"/>
        </w:tabs>
        <w:spacing w:before="156" w:beforeLines="50" w:after="156" w:afterLines="50"/>
        <w:ind w:firstLine="240" w:firstLineChars="100"/>
        <w:jc w:val="right"/>
        <w:rPr>
          <w:rFonts w:hint="eastAsia" w:ascii="宋体" w:hAnsi="宋体" w:cs="宋体"/>
          <w:sz w:val="24"/>
        </w:rPr>
      </w:pPr>
      <w:r>
        <w:rPr>
          <w:rFonts w:hint="eastAsia" w:ascii="宋体" w:hAnsi="宋体" w:cs="宋体"/>
          <w:sz w:val="24"/>
        </w:rPr>
        <w:t>编号：2026-004</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6997"/>
      </w:tblGrid>
      <w:tr w14:paraId="0B5FE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617" w:type="dxa"/>
            <w:tcBorders>
              <w:top w:val="single" w:color="auto" w:sz="12" w:space="0"/>
              <w:left w:val="single" w:color="auto" w:sz="12" w:space="0"/>
              <w:bottom w:val="single" w:color="auto" w:sz="4" w:space="0"/>
              <w:right w:val="single" w:color="auto" w:sz="4" w:space="0"/>
            </w:tcBorders>
            <w:vAlign w:val="center"/>
          </w:tcPr>
          <w:p w14:paraId="61A8189F">
            <w:pPr>
              <w:jc w:val="center"/>
              <w:rPr>
                <w:rFonts w:hint="eastAsia" w:ascii="宋体" w:hAnsi="宋体" w:cs="宋体"/>
                <w:bCs/>
                <w:sz w:val="24"/>
              </w:rPr>
            </w:pPr>
            <w:r>
              <w:rPr>
                <w:rFonts w:hint="eastAsia" w:ascii="宋体" w:hAnsi="宋体" w:cs="宋体"/>
                <w:b/>
                <w:bCs/>
                <w:sz w:val="24"/>
              </w:rPr>
              <w:t>投资者关系活动类别</w:t>
            </w:r>
          </w:p>
        </w:tc>
        <w:tc>
          <w:tcPr>
            <w:tcW w:w="7022" w:type="dxa"/>
            <w:tcBorders>
              <w:top w:val="single" w:color="auto" w:sz="12" w:space="0"/>
              <w:left w:val="single" w:color="auto" w:sz="4" w:space="0"/>
              <w:bottom w:val="single" w:color="auto" w:sz="4" w:space="0"/>
              <w:right w:val="single" w:color="auto" w:sz="12" w:space="0"/>
            </w:tcBorders>
            <w:vAlign w:val="center"/>
          </w:tcPr>
          <w:p w14:paraId="17069F61">
            <w:pPr>
              <w:widowControl/>
              <w:tabs>
                <w:tab w:val="left" w:pos="3480"/>
              </w:tabs>
              <w:spacing w:line="360" w:lineRule="auto"/>
              <w:rPr>
                <w:rFonts w:hint="eastAsia" w:ascii="宋体" w:hAnsi="宋体" w:cs="宋体"/>
                <w:bCs/>
                <w:sz w:val="24"/>
              </w:rPr>
            </w:pPr>
            <w:r>
              <w:rPr>
                <w:rFonts w:hint="eastAsia" w:ascii="宋体" w:hAnsi="宋体" w:cs="宋体"/>
                <w:bCs/>
                <w:sz w:val="24"/>
              </w:rPr>
              <w:t>□特定对象调研   □分析师会议      □媒体采访</w:t>
            </w:r>
          </w:p>
          <w:p w14:paraId="7C3374B0">
            <w:pPr>
              <w:widowControl/>
              <w:tabs>
                <w:tab w:val="left" w:pos="2040"/>
                <w:tab w:val="left" w:pos="3480"/>
              </w:tabs>
              <w:spacing w:line="360" w:lineRule="auto"/>
              <w:rPr>
                <w:rFonts w:hint="eastAsia" w:ascii="宋体" w:hAnsi="宋体" w:cs="宋体"/>
                <w:bCs/>
                <w:sz w:val="24"/>
              </w:rPr>
            </w:pPr>
            <w:r>
              <w:rPr>
                <w:rFonts w:hint="eastAsia" w:ascii="宋体" w:hAnsi="宋体" w:cs="宋体"/>
                <w:bCs/>
                <w:sz w:val="24"/>
              </w:rPr>
              <w:t>□业绩说明会     □新闻发布会      □路演活动</w:t>
            </w:r>
          </w:p>
          <w:p w14:paraId="1103B995">
            <w:pPr>
              <w:spacing w:line="360" w:lineRule="auto"/>
              <w:rPr>
                <w:rFonts w:hint="eastAsia" w:ascii="宋体" w:hAnsi="宋体" w:cs="宋体"/>
                <w:bCs/>
                <w:sz w:val="24"/>
              </w:rPr>
            </w:pPr>
            <w:r>
              <w:rPr>
                <w:rFonts w:hint="eastAsia" w:ascii="宋体" w:hAnsi="宋体" w:cs="宋体"/>
                <w:bCs/>
                <w:sz w:val="24"/>
              </w:rPr>
              <w:t>□现场参观       □一对一沟通      ☑其他（电话会议）</w:t>
            </w:r>
          </w:p>
        </w:tc>
      </w:tr>
      <w:tr w14:paraId="01E65C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36E3EB3A">
            <w:pPr>
              <w:jc w:val="center"/>
              <w:rPr>
                <w:rFonts w:hint="eastAsia" w:ascii="宋体" w:hAnsi="宋体" w:cs="宋体"/>
                <w:b/>
                <w:bCs/>
                <w:sz w:val="24"/>
              </w:rPr>
            </w:pPr>
            <w:r>
              <w:rPr>
                <w:rFonts w:hint="eastAsia" w:ascii="宋体" w:hAnsi="宋体" w:cs="宋体"/>
                <w:b/>
                <w:bCs/>
                <w:sz w:val="24"/>
              </w:rPr>
              <w:t>参与单位及人员名称</w:t>
            </w:r>
          </w:p>
        </w:tc>
        <w:tc>
          <w:tcPr>
            <w:tcW w:w="7022" w:type="dxa"/>
            <w:tcBorders>
              <w:top w:val="single" w:color="auto" w:sz="4" w:space="0"/>
              <w:left w:val="single" w:color="auto" w:sz="4" w:space="0"/>
              <w:bottom w:val="single" w:color="auto" w:sz="4" w:space="0"/>
              <w:right w:val="single" w:color="auto" w:sz="12" w:space="0"/>
            </w:tcBorders>
            <w:vAlign w:val="center"/>
          </w:tcPr>
          <w:p w14:paraId="42009361">
            <w:pPr>
              <w:rPr>
                <w:rFonts w:hint="eastAsia" w:ascii="宋体" w:hAnsi="宋体" w:cs="宋体"/>
                <w:sz w:val="24"/>
              </w:rPr>
            </w:pPr>
            <w:r>
              <w:rPr>
                <w:rFonts w:hint="eastAsia" w:ascii="宋体" w:hAnsi="宋体" w:cs="宋体"/>
                <w:sz w:val="24"/>
              </w:rPr>
              <w:t>中信建投、长城基金、广发证券、交银施罗德基金、GIC PRIVATE LIMITED、富安达基金、华宝基金、浙江浙商证券、建信理财、开源证券、海富通基金、睿远基金、申万菱信基金、中国国际金融、新华基金、星石投资、中金众鑫投资、华福证券、银华基金、平安基金、创金合信基金、太平养老保险、光大保德信基金、广东正圆私募基金、湖南源乘私募基金、北京禹田资本、西藏中睿合银投资、中国人寿、海南盛熙私募基金、进门财经、富国基金、长安基金、信泰人寿、天风证券、广发基金、红土创新基金、太平资产、上海途灵资产、上海添笙投资、国海富兰克林基金、中国中信集团、泰康资产、利安人寿、中国人民养老保险、华银基金、南方基金、上海秦兵投资、银河基金、深圳前海博普资产、上海泉汐投资、深圳望正资产、上海常春藤私募基金、工银瑞信基金、广东恒健投资、华商基金、上海鹤禧私募基金、嘉实基金、博时基金、北京泽瑛私募基金、伯利恒资产、上海禾升投资、国泰证券、平安资产（排名不分先后）</w:t>
            </w:r>
          </w:p>
        </w:tc>
      </w:tr>
      <w:tr w14:paraId="29E188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56592977">
            <w:pPr>
              <w:jc w:val="center"/>
              <w:rPr>
                <w:rFonts w:hint="eastAsia" w:ascii="宋体" w:hAnsi="宋体" w:cs="宋体"/>
                <w:b/>
                <w:bCs/>
                <w:sz w:val="24"/>
              </w:rPr>
            </w:pPr>
            <w:r>
              <w:rPr>
                <w:rFonts w:hint="eastAsia" w:ascii="宋体" w:hAnsi="宋体" w:cs="宋体"/>
                <w:b/>
                <w:bCs/>
                <w:sz w:val="24"/>
              </w:rPr>
              <w:t>时间</w:t>
            </w:r>
          </w:p>
        </w:tc>
        <w:tc>
          <w:tcPr>
            <w:tcW w:w="7022" w:type="dxa"/>
            <w:tcBorders>
              <w:top w:val="single" w:color="auto" w:sz="4" w:space="0"/>
              <w:left w:val="single" w:color="auto" w:sz="4" w:space="0"/>
              <w:bottom w:val="single" w:color="auto" w:sz="4" w:space="0"/>
              <w:right w:val="single" w:color="auto" w:sz="12" w:space="0"/>
            </w:tcBorders>
            <w:vAlign w:val="center"/>
          </w:tcPr>
          <w:p w14:paraId="4D3AEDB3">
            <w:pPr>
              <w:rPr>
                <w:rFonts w:hint="eastAsia" w:ascii="宋体" w:hAnsi="宋体" w:cs="宋体"/>
                <w:sz w:val="24"/>
              </w:rPr>
            </w:pPr>
            <w:r>
              <w:rPr>
                <w:rFonts w:hint="eastAsia" w:ascii="宋体" w:hAnsi="宋体" w:cs="宋体"/>
                <w:sz w:val="24"/>
              </w:rPr>
              <w:t>9月2日</w:t>
            </w:r>
          </w:p>
        </w:tc>
      </w:tr>
      <w:tr w14:paraId="63CD1D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7FBAF4C7">
            <w:pPr>
              <w:jc w:val="center"/>
              <w:rPr>
                <w:rFonts w:hint="eastAsia" w:ascii="宋体" w:hAnsi="宋体" w:cs="宋体"/>
                <w:b/>
                <w:bCs/>
                <w:sz w:val="24"/>
              </w:rPr>
            </w:pPr>
            <w:r>
              <w:rPr>
                <w:rFonts w:hint="eastAsia" w:ascii="宋体" w:hAnsi="宋体" w:cs="宋体"/>
                <w:b/>
                <w:bCs/>
                <w:sz w:val="24"/>
              </w:rPr>
              <w:t>地点</w:t>
            </w:r>
          </w:p>
        </w:tc>
        <w:tc>
          <w:tcPr>
            <w:tcW w:w="7022" w:type="dxa"/>
            <w:tcBorders>
              <w:top w:val="single" w:color="auto" w:sz="4" w:space="0"/>
              <w:left w:val="single" w:color="auto" w:sz="4" w:space="0"/>
              <w:bottom w:val="single" w:color="auto" w:sz="4" w:space="0"/>
              <w:right w:val="single" w:color="auto" w:sz="12" w:space="0"/>
            </w:tcBorders>
            <w:vAlign w:val="center"/>
          </w:tcPr>
          <w:p w14:paraId="13ABF2BC">
            <w:pPr>
              <w:spacing w:before="156" w:beforeLines="50" w:after="156" w:afterLines="50"/>
              <w:rPr>
                <w:rFonts w:hint="eastAsia" w:ascii="宋体" w:hAnsi="宋体" w:cs="宋体"/>
                <w:sz w:val="24"/>
              </w:rPr>
            </w:pPr>
            <w:r>
              <w:rPr>
                <w:rFonts w:hint="eastAsia" w:ascii="宋体" w:hAnsi="宋体" w:cs="宋体"/>
                <w:sz w:val="24"/>
              </w:rPr>
              <w:t>电话会议</w:t>
            </w:r>
          </w:p>
        </w:tc>
      </w:tr>
      <w:tr w14:paraId="57B95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2157BE52">
            <w:pPr>
              <w:jc w:val="center"/>
              <w:rPr>
                <w:rFonts w:hint="eastAsia" w:ascii="宋体" w:hAnsi="宋体" w:cs="宋体"/>
                <w:b/>
                <w:bCs/>
                <w:sz w:val="24"/>
              </w:rPr>
            </w:pPr>
            <w:r>
              <w:rPr>
                <w:rFonts w:hint="eastAsia" w:ascii="宋体" w:hAnsi="宋体" w:cs="宋体"/>
                <w:b/>
                <w:bCs/>
                <w:sz w:val="24"/>
              </w:rPr>
              <w:t>公司接待人员姓名</w:t>
            </w:r>
          </w:p>
        </w:tc>
        <w:tc>
          <w:tcPr>
            <w:tcW w:w="7022" w:type="dxa"/>
            <w:tcBorders>
              <w:top w:val="single" w:color="auto" w:sz="4" w:space="0"/>
              <w:left w:val="single" w:color="auto" w:sz="4" w:space="0"/>
              <w:bottom w:val="single" w:color="auto" w:sz="4" w:space="0"/>
              <w:right w:val="single" w:color="auto" w:sz="12" w:space="0"/>
            </w:tcBorders>
            <w:vAlign w:val="center"/>
          </w:tcPr>
          <w:p w14:paraId="0D038D8E">
            <w:pPr>
              <w:spacing w:before="156" w:beforeLines="50" w:after="156" w:afterLines="50"/>
              <w:rPr>
                <w:rFonts w:hint="eastAsia" w:ascii="宋体" w:hAnsi="宋体" w:cs="宋体"/>
                <w:sz w:val="24"/>
              </w:rPr>
            </w:pPr>
            <w:r>
              <w:rPr>
                <w:rFonts w:hint="eastAsia" w:ascii="宋体" w:hAnsi="宋体" w:cs="宋体"/>
                <w:sz w:val="24"/>
              </w:rPr>
              <w:t>董事长：郑广会</w:t>
            </w:r>
          </w:p>
          <w:p w14:paraId="06F6BC5F">
            <w:pPr>
              <w:spacing w:before="156" w:beforeLines="50" w:after="156" w:afterLines="50"/>
              <w:rPr>
                <w:rFonts w:hint="eastAsia" w:ascii="宋体" w:hAnsi="宋体" w:cs="宋体"/>
                <w:sz w:val="24"/>
              </w:rPr>
            </w:pPr>
            <w:r>
              <w:rPr>
                <w:rFonts w:hint="eastAsia" w:ascii="宋体" w:hAnsi="宋体" w:cs="宋体"/>
                <w:sz w:val="24"/>
              </w:rPr>
              <w:t>IR：郑金宇</w:t>
            </w:r>
          </w:p>
          <w:p w14:paraId="0B6C4EE9">
            <w:pPr>
              <w:spacing w:before="156" w:beforeLines="50" w:after="156" w:afterLines="50"/>
              <w:rPr>
                <w:rFonts w:hint="eastAsia" w:ascii="宋体" w:hAnsi="宋体" w:cs="宋体"/>
                <w:sz w:val="24"/>
              </w:rPr>
            </w:pPr>
            <w:r>
              <w:rPr>
                <w:rFonts w:hint="eastAsia" w:ascii="宋体" w:hAnsi="宋体" w:cs="宋体"/>
                <w:sz w:val="24"/>
              </w:rPr>
              <w:t>市场总监:</w:t>
            </w:r>
            <w:r>
              <w:rPr>
                <w:rFonts w:hint="eastAsia" w:ascii="宋体" w:hAnsi="宋体" w:cs="宋体"/>
                <w:sz w:val="24"/>
                <w:lang w:val="en-US" w:eastAsia="zh-CN"/>
              </w:rPr>
              <w:t xml:space="preserve"> </w:t>
            </w:r>
            <w:r>
              <w:rPr>
                <w:rFonts w:hint="eastAsia" w:ascii="宋体" w:hAnsi="宋体" w:cs="宋体"/>
                <w:sz w:val="24"/>
              </w:rPr>
              <w:t>孙瑞龙</w:t>
            </w:r>
            <w:bookmarkStart w:id="0" w:name="_GoBack"/>
            <w:bookmarkEnd w:id="0"/>
          </w:p>
          <w:p w14:paraId="4722C98B">
            <w:pPr>
              <w:spacing w:before="156" w:beforeLines="50" w:after="156" w:afterLines="50"/>
              <w:rPr>
                <w:rFonts w:hint="eastAsia" w:ascii="宋体" w:hAnsi="宋体" w:cs="宋体"/>
                <w:sz w:val="24"/>
              </w:rPr>
            </w:pPr>
            <w:r>
              <w:rPr>
                <w:rFonts w:hint="eastAsia" w:ascii="宋体" w:hAnsi="宋体" w:cs="宋体"/>
                <w:sz w:val="24"/>
              </w:rPr>
              <w:t>液冷板块技术业务人员：陆松等</w:t>
            </w:r>
          </w:p>
        </w:tc>
      </w:tr>
      <w:tr w14:paraId="57B7C5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1D0FAC2E">
            <w:pPr>
              <w:jc w:val="center"/>
              <w:rPr>
                <w:rFonts w:hint="eastAsia" w:ascii="宋体" w:hAnsi="宋体" w:cs="宋体"/>
                <w:b/>
                <w:bCs/>
                <w:sz w:val="24"/>
              </w:rPr>
            </w:pPr>
            <w:r>
              <w:rPr>
                <w:rFonts w:hint="eastAsia" w:ascii="宋体" w:hAnsi="宋体" w:cs="宋体"/>
                <w:b/>
                <w:bCs/>
                <w:sz w:val="24"/>
              </w:rPr>
              <w:t>投资者关系活动主要内容介绍</w:t>
            </w:r>
          </w:p>
        </w:tc>
        <w:tc>
          <w:tcPr>
            <w:tcW w:w="7022" w:type="dxa"/>
            <w:tcBorders>
              <w:top w:val="single" w:color="auto" w:sz="4" w:space="0"/>
              <w:left w:val="single" w:color="auto" w:sz="4" w:space="0"/>
              <w:bottom w:val="single" w:color="auto" w:sz="4" w:space="0"/>
              <w:right w:val="single" w:color="auto" w:sz="12" w:space="0"/>
            </w:tcBorders>
          </w:tcPr>
          <w:p w14:paraId="57FDC0CB">
            <w:pPr>
              <w:pStyle w:val="17"/>
              <w:tabs>
                <w:tab w:val="left" w:pos="788"/>
              </w:tabs>
              <w:spacing w:line="360" w:lineRule="auto"/>
              <w:ind w:firstLine="0" w:firstLineChars="0"/>
              <w:rPr>
                <w:rFonts w:hint="eastAsia" w:ascii="宋体" w:hAnsi="宋体" w:cs="宋体"/>
                <w:b/>
                <w:bCs/>
                <w:szCs w:val="21"/>
              </w:rPr>
            </w:pPr>
            <w:r>
              <w:rPr>
                <w:rFonts w:hint="eastAsia" w:ascii="宋体" w:hAnsi="宋体" w:cs="宋体"/>
                <w:b/>
                <w:bCs/>
                <w:szCs w:val="21"/>
              </w:rPr>
              <w:t>1、公司半年度业绩情况</w:t>
            </w:r>
          </w:p>
          <w:p w14:paraId="753ECDAF">
            <w:pPr>
              <w:pStyle w:val="17"/>
              <w:tabs>
                <w:tab w:val="left" w:pos="788"/>
              </w:tabs>
              <w:spacing w:line="360" w:lineRule="auto"/>
              <w:rPr>
                <w:rFonts w:ascii="宋体" w:hAnsi="宋体" w:cs="宋体"/>
                <w:szCs w:val="21"/>
              </w:rPr>
            </w:pPr>
            <w:r>
              <w:rPr>
                <w:rFonts w:ascii="宋体" w:hAnsi="宋体" w:cs="宋体"/>
                <w:szCs w:val="21"/>
              </w:rPr>
              <w:t>公司的主要产品为轴承保持架及配件、精密零部件。公司2026年上半年营业收入同比增长37.28%，主要系精密零部件业务中的新能源电驱动定转子系列产品项目量产增加所致。精密零部件业务实现营业收入60,656.86万元，同比增长78.65%，其中的新能源电驱动定转子系列产品实现收入34,167.44万元，同比增长156.94%。</w:t>
            </w:r>
            <w:r>
              <w:rPr>
                <w:rFonts w:hint="eastAsia" w:ascii="宋体" w:hAnsi="宋体" w:cs="宋体"/>
                <w:szCs w:val="21"/>
              </w:rPr>
              <w:t>定转子系列产品收入增加较多</w:t>
            </w:r>
            <w:r>
              <w:rPr>
                <w:rFonts w:ascii="宋体" w:hAnsi="宋体" w:cs="宋体"/>
                <w:szCs w:val="21"/>
              </w:rPr>
              <w:t>，</w:t>
            </w:r>
            <w:r>
              <w:rPr>
                <w:rFonts w:hint="eastAsia" w:ascii="宋体" w:hAnsi="宋体" w:cs="宋体"/>
                <w:szCs w:val="21"/>
              </w:rPr>
              <w:t>主要系</w:t>
            </w:r>
            <w:r>
              <w:rPr>
                <w:rFonts w:ascii="宋体" w:hAnsi="宋体" w:cs="宋体"/>
                <w:szCs w:val="21"/>
              </w:rPr>
              <w:t>产品项目持续增加，截至2026年8月，产品项目总数已达到137个，其中SOP阶段的项目达到73个，分别比2026年4月的统计数据增加8.73%和21.67%。</w:t>
            </w:r>
          </w:p>
          <w:p w14:paraId="03EC681C">
            <w:pPr>
              <w:pStyle w:val="17"/>
              <w:tabs>
                <w:tab w:val="left" w:pos="788"/>
              </w:tabs>
              <w:spacing w:line="360" w:lineRule="auto"/>
              <w:rPr>
                <w:rFonts w:hint="eastAsia" w:ascii="宋体" w:hAnsi="宋体" w:cs="宋体"/>
                <w:szCs w:val="21"/>
              </w:rPr>
            </w:pPr>
            <w:r>
              <w:rPr>
                <w:rFonts w:hint="eastAsia" w:ascii="宋体" w:hAnsi="宋体" w:cs="宋体"/>
                <w:szCs w:val="21"/>
              </w:rPr>
              <w:t>公司2026年上半年</w:t>
            </w:r>
            <w:r>
              <w:rPr>
                <w:rFonts w:ascii="宋体" w:hAnsi="宋体" w:cs="宋体"/>
                <w:szCs w:val="21"/>
              </w:rPr>
              <w:t>归属于上市公司股东的净利润</w:t>
            </w:r>
            <w:r>
              <w:rPr>
                <w:rFonts w:hint="eastAsia" w:ascii="宋体" w:hAnsi="宋体" w:cs="宋体"/>
                <w:szCs w:val="21"/>
              </w:rPr>
              <w:t>0.68亿元，同比出现一定下滑，主要系管理费用、财务费用同比增加较多等因素所致。</w:t>
            </w:r>
            <w:r>
              <w:rPr>
                <w:rFonts w:ascii="宋体" w:hAnsi="宋体" w:cs="宋体"/>
                <w:szCs w:val="21"/>
              </w:rPr>
              <w:t>管理费用比上年同期增加4,123.98万元，同比增长59.86%，主要系公司基于未来业务拓展，战略配置储备管理人员等因素，导致职工薪酬费用相应增加3,236.33万元；同时，公司业务规模不断扩大，国内外生产基地及研发中心业务拓展带动差旅费用、租赁费用等管理费用相应增加。财务费用比上年同期增加2,879.52万元，同比增长2,123.82%，主要系公司业务扩大，债权性融资增加导致利息同比增长1,537.88万元；同时折算汇率的差异，导致汇兑损失增加1,022.81万元。</w:t>
            </w:r>
          </w:p>
          <w:p w14:paraId="3FAF9F0C">
            <w:pPr>
              <w:pStyle w:val="17"/>
              <w:tabs>
                <w:tab w:val="left" w:pos="788"/>
              </w:tabs>
              <w:spacing w:line="360" w:lineRule="auto"/>
              <w:ind w:firstLine="0" w:firstLineChars="0"/>
              <w:rPr>
                <w:rFonts w:hint="eastAsia" w:ascii="宋体" w:hAnsi="宋体" w:cs="宋体"/>
                <w:b/>
                <w:bCs/>
                <w:szCs w:val="21"/>
              </w:rPr>
            </w:pPr>
            <w:r>
              <w:rPr>
                <w:rFonts w:hint="eastAsia" w:ascii="宋体" w:hAnsi="宋体" w:cs="宋体"/>
                <w:b/>
                <w:bCs/>
                <w:szCs w:val="21"/>
              </w:rPr>
              <w:t>2、请介绍一下液冷业务新项目建设情况</w:t>
            </w:r>
          </w:p>
          <w:p w14:paraId="33A85B2A">
            <w:pPr>
              <w:pStyle w:val="17"/>
              <w:tabs>
                <w:tab w:val="left" w:pos="788"/>
              </w:tabs>
              <w:spacing w:line="360" w:lineRule="auto"/>
              <w:rPr>
                <w:rFonts w:hint="eastAsia" w:ascii="宋体" w:hAnsi="宋体" w:cs="宋体"/>
                <w:szCs w:val="21"/>
              </w:rPr>
            </w:pPr>
            <w:r>
              <w:rPr>
                <w:rFonts w:ascii="宋体" w:hAnsi="宋体" w:cs="宋体"/>
                <w:szCs w:val="21"/>
              </w:rPr>
              <w:t>公司拟在聊城市高新区投资建设液冷关键换热部件及高效散热模组总成智能制造项目，公司子公司</w:t>
            </w:r>
            <w:r>
              <w:rPr>
                <w:rFonts w:hint="eastAsia" w:ascii="宋体" w:hAnsi="宋体" w:cs="宋体"/>
                <w:szCs w:val="21"/>
              </w:rPr>
              <w:t>山东</w:t>
            </w:r>
            <w:r>
              <w:rPr>
                <w:rFonts w:ascii="宋体" w:hAnsi="宋体" w:cs="宋体"/>
                <w:szCs w:val="21"/>
              </w:rPr>
              <w:t>博源精密</w:t>
            </w:r>
            <w:r>
              <w:rPr>
                <w:rFonts w:hint="eastAsia" w:ascii="宋体" w:hAnsi="宋体" w:cs="宋体"/>
                <w:szCs w:val="21"/>
              </w:rPr>
              <w:t>机械有限公司</w:t>
            </w:r>
            <w:r>
              <w:rPr>
                <w:rFonts w:ascii="宋体" w:hAnsi="宋体" w:cs="宋体"/>
                <w:szCs w:val="21"/>
              </w:rPr>
              <w:t>为本次项目的实施主体</w:t>
            </w:r>
            <w:r>
              <w:rPr>
                <w:rFonts w:hint="eastAsia" w:ascii="宋体" w:hAnsi="宋体" w:cs="宋体"/>
                <w:szCs w:val="21"/>
              </w:rPr>
              <w:t>，</w:t>
            </w:r>
            <w:r>
              <w:rPr>
                <w:rFonts w:ascii="宋体" w:hAnsi="宋体" w:cs="宋体"/>
                <w:szCs w:val="21"/>
              </w:rPr>
              <w:t>项目总投资约21,000万元；拟在广州市花都区投资建设液冷关键部件及集成式散热模组总成精密智能制造项目，公司子公司新思维智算科技（广州）有限公司为本次项目的实施主体</w:t>
            </w:r>
            <w:r>
              <w:rPr>
                <w:rFonts w:hint="eastAsia" w:ascii="宋体" w:hAnsi="宋体" w:cs="宋体"/>
                <w:szCs w:val="21"/>
              </w:rPr>
              <w:t>，</w:t>
            </w:r>
            <w:r>
              <w:rPr>
                <w:rFonts w:ascii="宋体" w:hAnsi="宋体" w:cs="宋体"/>
                <w:szCs w:val="21"/>
              </w:rPr>
              <w:t>项目总投资约21,600万元</w:t>
            </w:r>
            <w:r>
              <w:rPr>
                <w:rFonts w:hint="eastAsia" w:ascii="宋体" w:hAnsi="宋体" w:cs="宋体"/>
                <w:szCs w:val="21"/>
              </w:rPr>
              <w:t>。上述两项目将根据行业的发展情况、市场需求、客户订单情况投资建设，分别在北方、南方形成生产基地，并逐步释放产能。具体可查阅公司</w:t>
            </w:r>
            <w:r>
              <w:rPr>
                <w:rFonts w:ascii="宋体" w:hAnsi="宋体" w:cs="宋体"/>
                <w:szCs w:val="21"/>
              </w:rPr>
              <w:t>关于投资建设项目的公告</w:t>
            </w:r>
            <w:r>
              <w:rPr>
                <w:rFonts w:hint="eastAsia" w:ascii="宋体" w:hAnsi="宋体" w:cs="宋体"/>
                <w:szCs w:val="21"/>
              </w:rPr>
              <w:t>。</w:t>
            </w:r>
          </w:p>
          <w:p w14:paraId="2A521B18">
            <w:pPr>
              <w:pStyle w:val="17"/>
              <w:tabs>
                <w:tab w:val="left" w:pos="788"/>
              </w:tabs>
              <w:spacing w:line="360" w:lineRule="auto"/>
              <w:ind w:firstLine="0" w:firstLineChars="0"/>
              <w:rPr>
                <w:rFonts w:hint="eastAsia" w:ascii="宋体" w:hAnsi="宋体" w:cs="宋体"/>
                <w:b/>
                <w:bCs/>
                <w:szCs w:val="21"/>
              </w:rPr>
            </w:pPr>
            <w:r>
              <w:rPr>
                <w:rFonts w:hint="eastAsia" w:ascii="宋体" w:hAnsi="宋体" w:cs="宋体"/>
                <w:b/>
                <w:bCs/>
                <w:szCs w:val="21"/>
              </w:rPr>
              <w:t>3、液冷业务具体产品、下游客户的测试情况</w:t>
            </w:r>
          </w:p>
          <w:p w14:paraId="5AB9BC4B">
            <w:pPr>
              <w:pStyle w:val="17"/>
              <w:tabs>
                <w:tab w:val="left" w:pos="788"/>
              </w:tabs>
              <w:spacing w:line="360" w:lineRule="auto"/>
              <w:rPr>
                <w:rFonts w:hint="eastAsia" w:ascii="宋体" w:hAnsi="宋体" w:cs="宋体"/>
                <w:szCs w:val="21"/>
              </w:rPr>
            </w:pPr>
            <w:r>
              <w:rPr>
                <w:rFonts w:hint="eastAsia" w:ascii="宋体" w:hAnsi="宋体" w:cs="宋体"/>
                <w:szCs w:val="21"/>
              </w:rPr>
              <w:t>公司</w:t>
            </w:r>
            <w:r>
              <w:rPr>
                <w:rFonts w:ascii="宋体" w:hAnsi="宋体" w:cs="宋体"/>
                <w:szCs w:val="21"/>
              </w:rPr>
              <w:t>液冷板系列产品，包含冷板腔体、内存条散热产品、分水器等，以汽车零部件精密成型工艺为基础，利用精密冲压技术优势，辅以精密机加工工艺，扩展到铲齿工艺，推进整体模组研发设计到零部件制造工艺生产，优化组装铜钎焊、气检、氦检、水检等安全测试，系列产品从单一零部件研发试制向总成开发推进。</w:t>
            </w:r>
            <w:r>
              <w:rPr>
                <w:rFonts w:hint="eastAsia" w:ascii="宋体" w:hAnsi="宋体" w:cs="宋体"/>
                <w:szCs w:val="21"/>
              </w:rPr>
              <w:t>公司的液冷产品测试需要公司内部检测合格，直接客户样件测试合格，搭配产品终端应用测试，一般情况下的周期为2个月左右，同时也需要根据直接客户、终端客户的测试资源安排的具体情况确定。</w:t>
            </w:r>
          </w:p>
          <w:p w14:paraId="627E6242">
            <w:pPr>
              <w:pStyle w:val="17"/>
              <w:tabs>
                <w:tab w:val="left" w:pos="788"/>
              </w:tabs>
              <w:spacing w:line="360" w:lineRule="auto"/>
              <w:ind w:firstLine="0" w:firstLineChars="0"/>
              <w:rPr>
                <w:rFonts w:hint="eastAsia" w:ascii="宋体" w:hAnsi="宋体" w:cs="宋体"/>
                <w:b/>
                <w:bCs/>
                <w:szCs w:val="21"/>
              </w:rPr>
            </w:pPr>
            <w:r>
              <w:rPr>
                <w:rFonts w:hint="eastAsia" w:ascii="宋体" w:hAnsi="宋体" w:cs="宋体"/>
                <w:b/>
                <w:bCs/>
                <w:szCs w:val="21"/>
              </w:rPr>
              <w:t>4、请介绍一下公司收购宸裕精密的情况</w:t>
            </w:r>
          </w:p>
          <w:p w14:paraId="30D1E851">
            <w:pPr>
              <w:pStyle w:val="17"/>
              <w:tabs>
                <w:tab w:val="left" w:pos="788"/>
              </w:tabs>
              <w:spacing w:line="360" w:lineRule="auto"/>
              <w:rPr>
                <w:rFonts w:ascii="宋体" w:hAnsi="宋体" w:cs="宋体"/>
                <w:szCs w:val="21"/>
              </w:rPr>
            </w:pPr>
            <w:r>
              <w:rPr>
                <w:rFonts w:hint="eastAsia"/>
                <w:color w:val="000000" w:themeColor="text1"/>
                <w14:textFill>
                  <w14:solidFill>
                    <w14:schemeClr w14:val="tx1"/>
                  </w14:solidFill>
                </w14:textFill>
              </w:rPr>
              <w:t>公司全资子公司博源智驱以5,000万元增资控股宸裕精密，切入MIM工艺液冷板领域，样品已通过客户验证，进入小批量验证阶段，有效完善了液冷散热产业链条。宸裕精密的增资交割情况处于正</w:t>
            </w:r>
            <w:r>
              <w:rPr>
                <w:rFonts w:hint="eastAsia"/>
                <w:color w:val="000000" w:themeColor="text1"/>
                <w:lang w:val="en-US" w:eastAsia="zh-CN"/>
                <w14:textFill>
                  <w14:solidFill>
                    <w14:schemeClr w14:val="tx1"/>
                  </w14:solidFill>
                </w14:textFill>
              </w:rPr>
              <w:t>常</w:t>
            </w:r>
            <w:r>
              <w:rPr>
                <w:rFonts w:hint="eastAsia"/>
                <w:color w:val="000000" w:themeColor="text1"/>
                <w14:textFill>
                  <w14:solidFill>
                    <w14:schemeClr w14:val="tx1"/>
                  </w14:solidFill>
                </w14:textFill>
              </w:rPr>
              <w:t>推进过程中，宸裕精密的业务正常开展，根据客户的需求订单及时交付产品，具体情况可查看公司发布的公告。</w:t>
            </w:r>
          </w:p>
          <w:p w14:paraId="7C2A0AC5">
            <w:pPr>
              <w:pStyle w:val="17"/>
              <w:tabs>
                <w:tab w:val="left" w:pos="788"/>
              </w:tabs>
              <w:spacing w:line="360" w:lineRule="auto"/>
              <w:ind w:firstLine="0" w:firstLineChars="0"/>
              <w:rPr>
                <w:rFonts w:hint="eastAsia" w:ascii="宋体" w:hAnsi="宋体" w:cs="宋体"/>
                <w:szCs w:val="21"/>
              </w:rPr>
            </w:pPr>
            <w:r>
              <w:rPr>
                <w:rFonts w:hint="eastAsia" w:ascii="宋体" w:hAnsi="宋体" w:cs="宋体"/>
                <w:b/>
                <w:bCs/>
                <w:szCs w:val="21"/>
              </w:rPr>
              <w:t>5、请介绍公司在液冷业务方面的技术优势</w:t>
            </w:r>
          </w:p>
          <w:p w14:paraId="702C5D0C">
            <w:pPr>
              <w:pStyle w:val="17"/>
              <w:tabs>
                <w:tab w:val="left" w:pos="788"/>
              </w:tabs>
              <w:spacing w:line="360" w:lineRule="auto"/>
              <w:rPr>
                <w:rFonts w:hint="eastAsia" w:ascii="宋体" w:hAnsi="宋体" w:cs="宋体"/>
                <w:szCs w:val="21"/>
              </w:rPr>
            </w:pPr>
            <w:r>
              <w:rPr>
                <w:rFonts w:hint="eastAsia" w:ascii="宋体" w:hAnsi="宋体" w:cs="宋体"/>
                <w:szCs w:val="21"/>
              </w:rPr>
              <w:t>公司</w:t>
            </w:r>
            <w:r>
              <w:rPr>
                <w:rFonts w:ascii="宋体" w:hAnsi="宋体" w:cs="宋体"/>
                <w:szCs w:val="21"/>
              </w:rPr>
              <w:t>以汽车零部件精密成型工艺为基础，利用精密冲压技术优势，</w:t>
            </w:r>
            <w:r>
              <w:rPr>
                <w:rFonts w:hint="eastAsia" w:ascii="宋体" w:hAnsi="宋体" w:cs="宋体"/>
                <w:szCs w:val="21"/>
              </w:rPr>
              <w:t>除宸裕精密采用MIM工艺生产微通道液冷板外，创新采用冷间锻造+CNC的工艺，相对于单纯CNC工艺、3D打印等工艺具有明显的成本、效率优势，能够高性价比拓展客户，有利于订单的获取和产能释放。</w:t>
            </w:r>
          </w:p>
        </w:tc>
      </w:tr>
      <w:tr w14:paraId="6E4A1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617" w:type="dxa"/>
            <w:tcBorders>
              <w:top w:val="single" w:color="auto" w:sz="4" w:space="0"/>
              <w:left w:val="single" w:color="auto" w:sz="12" w:space="0"/>
              <w:bottom w:val="single" w:color="auto" w:sz="4" w:space="0"/>
              <w:right w:val="single" w:color="auto" w:sz="4" w:space="0"/>
            </w:tcBorders>
            <w:vAlign w:val="center"/>
          </w:tcPr>
          <w:p w14:paraId="3757BE4B">
            <w:pPr>
              <w:jc w:val="center"/>
              <w:rPr>
                <w:rFonts w:hint="eastAsia" w:ascii="宋体" w:hAnsi="宋体" w:cs="宋体"/>
                <w:b/>
                <w:bCs/>
                <w:sz w:val="24"/>
              </w:rPr>
            </w:pPr>
            <w:r>
              <w:rPr>
                <w:rFonts w:hint="eastAsia" w:ascii="宋体" w:hAnsi="宋体" w:cs="宋体"/>
                <w:b/>
                <w:bCs/>
                <w:sz w:val="24"/>
              </w:rPr>
              <w:t>附件清单（如有）</w:t>
            </w:r>
          </w:p>
        </w:tc>
        <w:tc>
          <w:tcPr>
            <w:tcW w:w="7022" w:type="dxa"/>
            <w:tcBorders>
              <w:top w:val="single" w:color="auto" w:sz="4" w:space="0"/>
              <w:left w:val="single" w:color="auto" w:sz="4" w:space="0"/>
              <w:bottom w:val="single" w:color="auto" w:sz="4" w:space="0"/>
              <w:right w:val="single" w:color="auto" w:sz="12" w:space="0"/>
            </w:tcBorders>
            <w:vAlign w:val="center"/>
          </w:tcPr>
          <w:p w14:paraId="59290502">
            <w:pPr>
              <w:rPr>
                <w:rFonts w:hint="eastAsia" w:ascii="宋体" w:hAnsi="宋体" w:cs="宋体"/>
                <w:sz w:val="24"/>
              </w:rPr>
            </w:pPr>
            <w:r>
              <w:rPr>
                <w:rFonts w:hint="eastAsia" w:ascii="宋体" w:hAnsi="宋体" w:cs="宋体"/>
                <w:sz w:val="24"/>
              </w:rPr>
              <w:t>无</w:t>
            </w:r>
          </w:p>
        </w:tc>
      </w:tr>
    </w:tbl>
    <w:p w14:paraId="06569A5F">
      <w:pPr>
        <w:widowControl/>
        <w:jc w:val="left"/>
        <w:rPr>
          <w:rFonts w:hint="eastAsia" w:ascii="宋体" w:hAnsi="宋体" w:cs="宋体"/>
        </w:rPr>
      </w:pPr>
    </w:p>
    <w:sectPr>
      <w:headerReference r:id="rId3" w:type="default"/>
      <w:pgSz w:w="12240" w:h="15840"/>
      <w:pgMar w:top="1100" w:right="1800" w:bottom="1043"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799F1">
    <w:pPr>
      <w:pStyle w:val="5"/>
      <w:rPr>
        <w:rFonts w:hint="eastAsia" w:ascii="楷体" w:hAnsi="楷体" w:eastAsia="楷体"/>
      </w:rPr>
    </w:pPr>
    <w:r>
      <w:rPr>
        <w:rFonts w:hint="eastAsia" w:ascii="楷体" w:hAnsi="楷体" w:eastAsia="楷体"/>
      </w:rPr>
      <w:t xml:space="preserve">山东金帝精密机械科技股份有限公司 </w:t>
    </w:r>
    <w:r>
      <w:rPr>
        <w:rFonts w:ascii="楷体" w:hAnsi="楷体" w:eastAsia="楷体"/>
      </w:rPr>
      <w:t xml:space="preserve">                                          </w:t>
    </w:r>
    <w:r>
      <w:rPr>
        <w:rFonts w:hint="eastAsia" w:ascii="楷体" w:hAnsi="楷体" w:eastAsia="楷体"/>
      </w:rPr>
      <w:t>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iZGQxNmMzYTcwYjk0ZmU1Y2E2MWRhMzUyNWU5ZWQifQ=="/>
  </w:docVars>
  <w:rsids>
    <w:rsidRoot w:val="00172A27"/>
    <w:rsid w:val="00000D18"/>
    <w:rsid w:val="000076A8"/>
    <w:rsid w:val="00013B2C"/>
    <w:rsid w:val="000251BC"/>
    <w:rsid w:val="00031EDC"/>
    <w:rsid w:val="00032FBF"/>
    <w:rsid w:val="0004190F"/>
    <w:rsid w:val="0006665D"/>
    <w:rsid w:val="000752AD"/>
    <w:rsid w:val="000B7145"/>
    <w:rsid w:val="000C0917"/>
    <w:rsid w:val="000C646D"/>
    <w:rsid w:val="000D1EEA"/>
    <w:rsid w:val="000E0A29"/>
    <w:rsid w:val="000E4A02"/>
    <w:rsid w:val="000E4CDF"/>
    <w:rsid w:val="000F7A15"/>
    <w:rsid w:val="00106CE5"/>
    <w:rsid w:val="00110AC1"/>
    <w:rsid w:val="00110FC0"/>
    <w:rsid w:val="00114B26"/>
    <w:rsid w:val="00121DE3"/>
    <w:rsid w:val="00127A0C"/>
    <w:rsid w:val="00135DE9"/>
    <w:rsid w:val="00136571"/>
    <w:rsid w:val="0014063C"/>
    <w:rsid w:val="001716C9"/>
    <w:rsid w:val="00172A27"/>
    <w:rsid w:val="001764CF"/>
    <w:rsid w:val="00180E8C"/>
    <w:rsid w:val="001C3E04"/>
    <w:rsid w:val="001C65A5"/>
    <w:rsid w:val="001D76A0"/>
    <w:rsid w:val="001F217D"/>
    <w:rsid w:val="002051B0"/>
    <w:rsid w:val="0021568D"/>
    <w:rsid w:val="002421F3"/>
    <w:rsid w:val="0025795E"/>
    <w:rsid w:val="002A590A"/>
    <w:rsid w:val="002A5DDA"/>
    <w:rsid w:val="002B1EA1"/>
    <w:rsid w:val="002B2792"/>
    <w:rsid w:val="002B5738"/>
    <w:rsid w:val="002C7C5F"/>
    <w:rsid w:val="003046C0"/>
    <w:rsid w:val="003146EB"/>
    <w:rsid w:val="003168B2"/>
    <w:rsid w:val="00325AE8"/>
    <w:rsid w:val="00342805"/>
    <w:rsid w:val="00356C12"/>
    <w:rsid w:val="0036096D"/>
    <w:rsid w:val="003712F0"/>
    <w:rsid w:val="00372B7B"/>
    <w:rsid w:val="00381E56"/>
    <w:rsid w:val="00382BB7"/>
    <w:rsid w:val="00385F42"/>
    <w:rsid w:val="00394720"/>
    <w:rsid w:val="003A22AA"/>
    <w:rsid w:val="003C56D1"/>
    <w:rsid w:val="003D2184"/>
    <w:rsid w:val="003E2A1F"/>
    <w:rsid w:val="003E6473"/>
    <w:rsid w:val="003E682F"/>
    <w:rsid w:val="003F6DC0"/>
    <w:rsid w:val="00402082"/>
    <w:rsid w:val="00415566"/>
    <w:rsid w:val="0042296F"/>
    <w:rsid w:val="00426B09"/>
    <w:rsid w:val="004413F5"/>
    <w:rsid w:val="00453D13"/>
    <w:rsid w:val="00456D35"/>
    <w:rsid w:val="00461E20"/>
    <w:rsid w:val="004646BB"/>
    <w:rsid w:val="00464AC6"/>
    <w:rsid w:val="00476C84"/>
    <w:rsid w:val="004853F9"/>
    <w:rsid w:val="0049067C"/>
    <w:rsid w:val="00496215"/>
    <w:rsid w:val="00496ED9"/>
    <w:rsid w:val="004A215B"/>
    <w:rsid w:val="004B35E2"/>
    <w:rsid w:val="004B42FE"/>
    <w:rsid w:val="004C7EAD"/>
    <w:rsid w:val="004D001F"/>
    <w:rsid w:val="004D45FF"/>
    <w:rsid w:val="004E3115"/>
    <w:rsid w:val="004F3029"/>
    <w:rsid w:val="0050067C"/>
    <w:rsid w:val="005026B6"/>
    <w:rsid w:val="00502E9C"/>
    <w:rsid w:val="00520FE3"/>
    <w:rsid w:val="0052527D"/>
    <w:rsid w:val="00527CF4"/>
    <w:rsid w:val="00532959"/>
    <w:rsid w:val="005515C2"/>
    <w:rsid w:val="0055406B"/>
    <w:rsid w:val="00556BB3"/>
    <w:rsid w:val="0056159D"/>
    <w:rsid w:val="00563FA2"/>
    <w:rsid w:val="005703A5"/>
    <w:rsid w:val="005761E2"/>
    <w:rsid w:val="005858D9"/>
    <w:rsid w:val="0059023D"/>
    <w:rsid w:val="00593A35"/>
    <w:rsid w:val="005B02EB"/>
    <w:rsid w:val="005D4B0E"/>
    <w:rsid w:val="005F5AB1"/>
    <w:rsid w:val="0060293E"/>
    <w:rsid w:val="00605E6F"/>
    <w:rsid w:val="00613EDC"/>
    <w:rsid w:val="0062262A"/>
    <w:rsid w:val="006264DF"/>
    <w:rsid w:val="00627ADB"/>
    <w:rsid w:val="00646058"/>
    <w:rsid w:val="00661F6B"/>
    <w:rsid w:val="00664FF6"/>
    <w:rsid w:val="006655B9"/>
    <w:rsid w:val="006672F6"/>
    <w:rsid w:val="006B22F5"/>
    <w:rsid w:val="006C7C57"/>
    <w:rsid w:val="006D2E8D"/>
    <w:rsid w:val="006D389E"/>
    <w:rsid w:val="00711238"/>
    <w:rsid w:val="0071206F"/>
    <w:rsid w:val="00712771"/>
    <w:rsid w:val="00716A70"/>
    <w:rsid w:val="00720F84"/>
    <w:rsid w:val="0073320D"/>
    <w:rsid w:val="00736A80"/>
    <w:rsid w:val="00742D08"/>
    <w:rsid w:val="007460EB"/>
    <w:rsid w:val="00746C2A"/>
    <w:rsid w:val="00753140"/>
    <w:rsid w:val="007713DA"/>
    <w:rsid w:val="00792EEF"/>
    <w:rsid w:val="007A4530"/>
    <w:rsid w:val="007A6F30"/>
    <w:rsid w:val="007A7D7C"/>
    <w:rsid w:val="007B371D"/>
    <w:rsid w:val="007B4CF9"/>
    <w:rsid w:val="007D738A"/>
    <w:rsid w:val="007E30BB"/>
    <w:rsid w:val="007F2858"/>
    <w:rsid w:val="007F717B"/>
    <w:rsid w:val="007F74C6"/>
    <w:rsid w:val="007F7552"/>
    <w:rsid w:val="00800D77"/>
    <w:rsid w:val="008046CB"/>
    <w:rsid w:val="00804B8F"/>
    <w:rsid w:val="00804DE1"/>
    <w:rsid w:val="008057B4"/>
    <w:rsid w:val="008405F3"/>
    <w:rsid w:val="0084397E"/>
    <w:rsid w:val="008525B9"/>
    <w:rsid w:val="00854B7A"/>
    <w:rsid w:val="00866709"/>
    <w:rsid w:val="00870B23"/>
    <w:rsid w:val="00891E31"/>
    <w:rsid w:val="008A10B2"/>
    <w:rsid w:val="008A17DB"/>
    <w:rsid w:val="008B1C28"/>
    <w:rsid w:val="008C24CC"/>
    <w:rsid w:val="008C7E7C"/>
    <w:rsid w:val="008D1D7F"/>
    <w:rsid w:val="008F64E9"/>
    <w:rsid w:val="008F77EE"/>
    <w:rsid w:val="00904EA2"/>
    <w:rsid w:val="00940831"/>
    <w:rsid w:val="00950339"/>
    <w:rsid w:val="00960FAA"/>
    <w:rsid w:val="009626AA"/>
    <w:rsid w:val="0097726C"/>
    <w:rsid w:val="0098145D"/>
    <w:rsid w:val="009830FD"/>
    <w:rsid w:val="00986A7C"/>
    <w:rsid w:val="009918C4"/>
    <w:rsid w:val="009A084D"/>
    <w:rsid w:val="009B005C"/>
    <w:rsid w:val="009B0125"/>
    <w:rsid w:val="009B58AF"/>
    <w:rsid w:val="009C379C"/>
    <w:rsid w:val="009D40D8"/>
    <w:rsid w:val="009D718A"/>
    <w:rsid w:val="009E1B35"/>
    <w:rsid w:val="009E74AD"/>
    <w:rsid w:val="009F29D5"/>
    <w:rsid w:val="009F3F06"/>
    <w:rsid w:val="009F539F"/>
    <w:rsid w:val="00A0202F"/>
    <w:rsid w:val="00A05634"/>
    <w:rsid w:val="00A127DE"/>
    <w:rsid w:val="00A16DFE"/>
    <w:rsid w:val="00A24A6E"/>
    <w:rsid w:val="00A55870"/>
    <w:rsid w:val="00A62859"/>
    <w:rsid w:val="00A6428F"/>
    <w:rsid w:val="00A73B46"/>
    <w:rsid w:val="00A758F1"/>
    <w:rsid w:val="00A82D19"/>
    <w:rsid w:val="00A91197"/>
    <w:rsid w:val="00A93B61"/>
    <w:rsid w:val="00A950CC"/>
    <w:rsid w:val="00A96029"/>
    <w:rsid w:val="00AA1054"/>
    <w:rsid w:val="00AA36D7"/>
    <w:rsid w:val="00AB3F05"/>
    <w:rsid w:val="00AC1815"/>
    <w:rsid w:val="00AC36A7"/>
    <w:rsid w:val="00AE1D23"/>
    <w:rsid w:val="00AF121D"/>
    <w:rsid w:val="00B029F9"/>
    <w:rsid w:val="00B0524B"/>
    <w:rsid w:val="00B16C30"/>
    <w:rsid w:val="00B273B0"/>
    <w:rsid w:val="00B418A3"/>
    <w:rsid w:val="00B533A2"/>
    <w:rsid w:val="00B5658A"/>
    <w:rsid w:val="00B62C32"/>
    <w:rsid w:val="00B85A0D"/>
    <w:rsid w:val="00B90446"/>
    <w:rsid w:val="00BA14F2"/>
    <w:rsid w:val="00BA5BFE"/>
    <w:rsid w:val="00BB4944"/>
    <w:rsid w:val="00BD0C60"/>
    <w:rsid w:val="00BE2645"/>
    <w:rsid w:val="00BE67F0"/>
    <w:rsid w:val="00C064EA"/>
    <w:rsid w:val="00C3372B"/>
    <w:rsid w:val="00C358B5"/>
    <w:rsid w:val="00C42CBD"/>
    <w:rsid w:val="00C4451C"/>
    <w:rsid w:val="00C47C64"/>
    <w:rsid w:val="00C51B18"/>
    <w:rsid w:val="00C5461F"/>
    <w:rsid w:val="00C61A3F"/>
    <w:rsid w:val="00C63FD3"/>
    <w:rsid w:val="00C70626"/>
    <w:rsid w:val="00C95434"/>
    <w:rsid w:val="00CA27D4"/>
    <w:rsid w:val="00CA2A45"/>
    <w:rsid w:val="00CA6F63"/>
    <w:rsid w:val="00CC62F4"/>
    <w:rsid w:val="00CC75B4"/>
    <w:rsid w:val="00CE3455"/>
    <w:rsid w:val="00CF0E73"/>
    <w:rsid w:val="00CF47E1"/>
    <w:rsid w:val="00CF6E94"/>
    <w:rsid w:val="00D03EE5"/>
    <w:rsid w:val="00D0634E"/>
    <w:rsid w:val="00D1386F"/>
    <w:rsid w:val="00D156EC"/>
    <w:rsid w:val="00D320C3"/>
    <w:rsid w:val="00D83A19"/>
    <w:rsid w:val="00DA0D89"/>
    <w:rsid w:val="00DA3C8F"/>
    <w:rsid w:val="00DA7B19"/>
    <w:rsid w:val="00DB35E3"/>
    <w:rsid w:val="00DC6FE4"/>
    <w:rsid w:val="00DD0014"/>
    <w:rsid w:val="00DD5690"/>
    <w:rsid w:val="00DE1B2B"/>
    <w:rsid w:val="00DE7187"/>
    <w:rsid w:val="00DF0E83"/>
    <w:rsid w:val="00DF2823"/>
    <w:rsid w:val="00DF3D1C"/>
    <w:rsid w:val="00E055F9"/>
    <w:rsid w:val="00E11158"/>
    <w:rsid w:val="00E23166"/>
    <w:rsid w:val="00E27593"/>
    <w:rsid w:val="00E33B82"/>
    <w:rsid w:val="00E37D7D"/>
    <w:rsid w:val="00E42839"/>
    <w:rsid w:val="00E43D1B"/>
    <w:rsid w:val="00E43E56"/>
    <w:rsid w:val="00E46E07"/>
    <w:rsid w:val="00E509DB"/>
    <w:rsid w:val="00E51087"/>
    <w:rsid w:val="00E523EE"/>
    <w:rsid w:val="00E751D8"/>
    <w:rsid w:val="00E90C93"/>
    <w:rsid w:val="00E91FB3"/>
    <w:rsid w:val="00E9483C"/>
    <w:rsid w:val="00E95915"/>
    <w:rsid w:val="00EA7263"/>
    <w:rsid w:val="00EC7D20"/>
    <w:rsid w:val="00EE0078"/>
    <w:rsid w:val="00EE1486"/>
    <w:rsid w:val="00EE5C90"/>
    <w:rsid w:val="00EE7267"/>
    <w:rsid w:val="00EF18FB"/>
    <w:rsid w:val="00F05D98"/>
    <w:rsid w:val="00F3084E"/>
    <w:rsid w:val="00F347DB"/>
    <w:rsid w:val="00F3591D"/>
    <w:rsid w:val="00F572D6"/>
    <w:rsid w:val="00F6067C"/>
    <w:rsid w:val="00F6299C"/>
    <w:rsid w:val="00F65DD0"/>
    <w:rsid w:val="00F67637"/>
    <w:rsid w:val="00F739E9"/>
    <w:rsid w:val="00F7709D"/>
    <w:rsid w:val="00F838D5"/>
    <w:rsid w:val="00FA5733"/>
    <w:rsid w:val="00FA5D36"/>
    <w:rsid w:val="00FB0456"/>
    <w:rsid w:val="00FB04BE"/>
    <w:rsid w:val="00FC0378"/>
    <w:rsid w:val="00FE1942"/>
    <w:rsid w:val="00FE2E5A"/>
    <w:rsid w:val="00FF3753"/>
    <w:rsid w:val="00FF5BE3"/>
    <w:rsid w:val="021F2F1C"/>
    <w:rsid w:val="02350F57"/>
    <w:rsid w:val="028B5457"/>
    <w:rsid w:val="048028D5"/>
    <w:rsid w:val="05FE4D9E"/>
    <w:rsid w:val="062A4F87"/>
    <w:rsid w:val="065D7953"/>
    <w:rsid w:val="06624721"/>
    <w:rsid w:val="06B50CF4"/>
    <w:rsid w:val="06FA704F"/>
    <w:rsid w:val="07AD40C1"/>
    <w:rsid w:val="082C7F0C"/>
    <w:rsid w:val="088755BB"/>
    <w:rsid w:val="08EE04EE"/>
    <w:rsid w:val="093E76C7"/>
    <w:rsid w:val="09574760"/>
    <w:rsid w:val="09714747"/>
    <w:rsid w:val="09D019BF"/>
    <w:rsid w:val="0A1026E6"/>
    <w:rsid w:val="0A63050D"/>
    <w:rsid w:val="0AEE023D"/>
    <w:rsid w:val="0BBA3B06"/>
    <w:rsid w:val="0BD71E82"/>
    <w:rsid w:val="0C8A2C23"/>
    <w:rsid w:val="0DF227A4"/>
    <w:rsid w:val="0E433671"/>
    <w:rsid w:val="0E734FCF"/>
    <w:rsid w:val="0E744C7A"/>
    <w:rsid w:val="0E76252A"/>
    <w:rsid w:val="0E7917D2"/>
    <w:rsid w:val="0E8D1CD1"/>
    <w:rsid w:val="0E9E6730"/>
    <w:rsid w:val="0EAB2B6B"/>
    <w:rsid w:val="0ECF2B6F"/>
    <w:rsid w:val="0F6C1DB4"/>
    <w:rsid w:val="0F6F5A6E"/>
    <w:rsid w:val="0FB35FED"/>
    <w:rsid w:val="104135F9"/>
    <w:rsid w:val="1136523C"/>
    <w:rsid w:val="11AE2F10"/>
    <w:rsid w:val="11DB182B"/>
    <w:rsid w:val="12541D09"/>
    <w:rsid w:val="12B83A1C"/>
    <w:rsid w:val="13084BF5"/>
    <w:rsid w:val="134A4EBA"/>
    <w:rsid w:val="13804818"/>
    <w:rsid w:val="15700933"/>
    <w:rsid w:val="15872EC9"/>
    <w:rsid w:val="163D4862"/>
    <w:rsid w:val="16AB4A88"/>
    <w:rsid w:val="16D575E7"/>
    <w:rsid w:val="170368DE"/>
    <w:rsid w:val="17CF06B3"/>
    <w:rsid w:val="18A62EAB"/>
    <w:rsid w:val="18D3325C"/>
    <w:rsid w:val="1AB248CF"/>
    <w:rsid w:val="1AF57E02"/>
    <w:rsid w:val="1B961A2C"/>
    <w:rsid w:val="1C281B11"/>
    <w:rsid w:val="1C393FCE"/>
    <w:rsid w:val="1C4A1A87"/>
    <w:rsid w:val="1D5F5185"/>
    <w:rsid w:val="1D646B79"/>
    <w:rsid w:val="1D94745E"/>
    <w:rsid w:val="1E2F53D8"/>
    <w:rsid w:val="1E543091"/>
    <w:rsid w:val="1F114ADE"/>
    <w:rsid w:val="1F155ECE"/>
    <w:rsid w:val="1F3031B6"/>
    <w:rsid w:val="1FF673CA"/>
    <w:rsid w:val="20FC3C98"/>
    <w:rsid w:val="227B0AC0"/>
    <w:rsid w:val="22827E15"/>
    <w:rsid w:val="22AF4D3A"/>
    <w:rsid w:val="22DE0D9E"/>
    <w:rsid w:val="2370112B"/>
    <w:rsid w:val="23A83C63"/>
    <w:rsid w:val="23C32D8B"/>
    <w:rsid w:val="23DB3F63"/>
    <w:rsid w:val="24465EFD"/>
    <w:rsid w:val="24A00DDE"/>
    <w:rsid w:val="24DE5462"/>
    <w:rsid w:val="24FE0C25"/>
    <w:rsid w:val="25203CCD"/>
    <w:rsid w:val="25333A00"/>
    <w:rsid w:val="2562533C"/>
    <w:rsid w:val="25BF7728"/>
    <w:rsid w:val="269229A8"/>
    <w:rsid w:val="26DA5C3E"/>
    <w:rsid w:val="2745371A"/>
    <w:rsid w:val="27CE7A10"/>
    <w:rsid w:val="27F600B2"/>
    <w:rsid w:val="28EA2F04"/>
    <w:rsid w:val="29F71032"/>
    <w:rsid w:val="2AD104E4"/>
    <w:rsid w:val="2AEF5D34"/>
    <w:rsid w:val="2B0E1E1F"/>
    <w:rsid w:val="2B1B32F7"/>
    <w:rsid w:val="2B3F3269"/>
    <w:rsid w:val="2C1A3224"/>
    <w:rsid w:val="2C9C2162"/>
    <w:rsid w:val="2CBA5C99"/>
    <w:rsid w:val="2D1759B5"/>
    <w:rsid w:val="2D4402E1"/>
    <w:rsid w:val="2D9D235F"/>
    <w:rsid w:val="2E00644A"/>
    <w:rsid w:val="2E56402D"/>
    <w:rsid w:val="2E7712D2"/>
    <w:rsid w:val="2F8D1C03"/>
    <w:rsid w:val="30DE13F4"/>
    <w:rsid w:val="323C47BB"/>
    <w:rsid w:val="3321133C"/>
    <w:rsid w:val="33615BDC"/>
    <w:rsid w:val="342A2472"/>
    <w:rsid w:val="34FC2660"/>
    <w:rsid w:val="360C6034"/>
    <w:rsid w:val="3680281D"/>
    <w:rsid w:val="36C2479A"/>
    <w:rsid w:val="36F079A3"/>
    <w:rsid w:val="372206EE"/>
    <w:rsid w:val="37586C7E"/>
    <w:rsid w:val="38174ABC"/>
    <w:rsid w:val="38EF7122"/>
    <w:rsid w:val="3A064DE8"/>
    <w:rsid w:val="3A396F6B"/>
    <w:rsid w:val="3B5903A4"/>
    <w:rsid w:val="3CDA60C5"/>
    <w:rsid w:val="3CDF3E63"/>
    <w:rsid w:val="3D235CB1"/>
    <w:rsid w:val="3D54230E"/>
    <w:rsid w:val="3DB039E8"/>
    <w:rsid w:val="3F3B5533"/>
    <w:rsid w:val="3F855194"/>
    <w:rsid w:val="3F9E5AF5"/>
    <w:rsid w:val="3FFB177B"/>
    <w:rsid w:val="406A5594"/>
    <w:rsid w:val="41A87A44"/>
    <w:rsid w:val="41B15F81"/>
    <w:rsid w:val="41BE41FA"/>
    <w:rsid w:val="42417305"/>
    <w:rsid w:val="42777F20"/>
    <w:rsid w:val="42A45AE6"/>
    <w:rsid w:val="42B51AA1"/>
    <w:rsid w:val="42CB6BCE"/>
    <w:rsid w:val="42DD053E"/>
    <w:rsid w:val="43892C26"/>
    <w:rsid w:val="43D81D74"/>
    <w:rsid w:val="44A26356"/>
    <w:rsid w:val="44A616A1"/>
    <w:rsid w:val="45A51959"/>
    <w:rsid w:val="462C02CC"/>
    <w:rsid w:val="468C3BE4"/>
    <w:rsid w:val="47AA594C"/>
    <w:rsid w:val="47D01983"/>
    <w:rsid w:val="47EA3E68"/>
    <w:rsid w:val="485E5304"/>
    <w:rsid w:val="486E77C8"/>
    <w:rsid w:val="489772F0"/>
    <w:rsid w:val="48981C49"/>
    <w:rsid w:val="493E26B7"/>
    <w:rsid w:val="49D42A65"/>
    <w:rsid w:val="4A4F27DB"/>
    <w:rsid w:val="4AFA62A3"/>
    <w:rsid w:val="4B48362D"/>
    <w:rsid w:val="4BA12BC2"/>
    <w:rsid w:val="4C0D2006"/>
    <w:rsid w:val="4C8074D6"/>
    <w:rsid w:val="4C9C48D0"/>
    <w:rsid w:val="4CE360FF"/>
    <w:rsid w:val="4EEE652E"/>
    <w:rsid w:val="4EF63225"/>
    <w:rsid w:val="50646EE4"/>
    <w:rsid w:val="51142932"/>
    <w:rsid w:val="51295E33"/>
    <w:rsid w:val="53257A81"/>
    <w:rsid w:val="53AB6CD4"/>
    <w:rsid w:val="546D21DB"/>
    <w:rsid w:val="551A508C"/>
    <w:rsid w:val="556331D3"/>
    <w:rsid w:val="56DB79FF"/>
    <w:rsid w:val="57392849"/>
    <w:rsid w:val="580A7B81"/>
    <w:rsid w:val="593F3A1A"/>
    <w:rsid w:val="59871AC3"/>
    <w:rsid w:val="59D309F0"/>
    <w:rsid w:val="5A1A017F"/>
    <w:rsid w:val="5A364A3A"/>
    <w:rsid w:val="5A916CD3"/>
    <w:rsid w:val="5AFC6067"/>
    <w:rsid w:val="5BA16936"/>
    <w:rsid w:val="5BE709C6"/>
    <w:rsid w:val="5BEA4B0C"/>
    <w:rsid w:val="5C5B500F"/>
    <w:rsid w:val="5D470628"/>
    <w:rsid w:val="5DB01CA7"/>
    <w:rsid w:val="5DF179D9"/>
    <w:rsid w:val="5E396414"/>
    <w:rsid w:val="5E6E0245"/>
    <w:rsid w:val="5ED15115"/>
    <w:rsid w:val="5ED82947"/>
    <w:rsid w:val="5F1A6ABC"/>
    <w:rsid w:val="5F3D09FC"/>
    <w:rsid w:val="5F571ABE"/>
    <w:rsid w:val="604E62A2"/>
    <w:rsid w:val="608D588B"/>
    <w:rsid w:val="612A4AE1"/>
    <w:rsid w:val="61AE4130"/>
    <w:rsid w:val="61FE5408"/>
    <w:rsid w:val="628D6DFD"/>
    <w:rsid w:val="62DE42A4"/>
    <w:rsid w:val="6367429A"/>
    <w:rsid w:val="64421FF9"/>
    <w:rsid w:val="65273CE0"/>
    <w:rsid w:val="65444B12"/>
    <w:rsid w:val="660202AA"/>
    <w:rsid w:val="66493C03"/>
    <w:rsid w:val="665B17D8"/>
    <w:rsid w:val="67BD3F72"/>
    <w:rsid w:val="67DC5256"/>
    <w:rsid w:val="67E5006B"/>
    <w:rsid w:val="68523C9C"/>
    <w:rsid w:val="68ED0BC9"/>
    <w:rsid w:val="69735746"/>
    <w:rsid w:val="69CD06FC"/>
    <w:rsid w:val="69F60125"/>
    <w:rsid w:val="6A0C70DE"/>
    <w:rsid w:val="6A4946F9"/>
    <w:rsid w:val="6A694D9B"/>
    <w:rsid w:val="6ADF0C04"/>
    <w:rsid w:val="6B6E799E"/>
    <w:rsid w:val="6B8C6F93"/>
    <w:rsid w:val="6C266F3E"/>
    <w:rsid w:val="6C835B15"/>
    <w:rsid w:val="6D8601D1"/>
    <w:rsid w:val="6D88378A"/>
    <w:rsid w:val="6D9B4D34"/>
    <w:rsid w:val="6E254810"/>
    <w:rsid w:val="6E9248C1"/>
    <w:rsid w:val="6F2226D7"/>
    <w:rsid w:val="6F3A28AE"/>
    <w:rsid w:val="6F581E54"/>
    <w:rsid w:val="6F8E2206"/>
    <w:rsid w:val="6FB62831"/>
    <w:rsid w:val="70CE7706"/>
    <w:rsid w:val="70DD4CE7"/>
    <w:rsid w:val="7143510B"/>
    <w:rsid w:val="71C034F3"/>
    <w:rsid w:val="72946600"/>
    <w:rsid w:val="72C53305"/>
    <w:rsid w:val="72C57C74"/>
    <w:rsid w:val="72CE7E91"/>
    <w:rsid w:val="72D40618"/>
    <w:rsid w:val="730E401F"/>
    <w:rsid w:val="735C724B"/>
    <w:rsid w:val="73775FE8"/>
    <w:rsid w:val="7399049F"/>
    <w:rsid w:val="739E375F"/>
    <w:rsid w:val="73B10D49"/>
    <w:rsid w:val="74F57957"/>
    <w:rsid w:val="74FC2707"/>
    <w:rsid w:val="75A60C51"/>
    <w:rsid w:val="75AD70BD"/>
    <w:rsid w:val="75C20000"/>
    <w:rsid w:val="75EE10A6"/>
    <w:rsid w:val="763B3A90"/>
    <w:rsid w:val="77594010"/>
    <w:rsid w:val="783830F2"/>
    <w:rsid w:val="784C05C2"/>
    <w:rsid w:val="784F4498"/>
    <w:rsid w:val="787E3F96"/>
    <w:rsid w:val="79865022"/>
    <w:rsid w:val="7A787CE0"/>
    <w:rsid w:val="7AA634A2"/>
    <w:rsid w:val="7B3B1E3C"/>
    <w:rsid w:val="7B8B16C1"/>
    <w:rsid w:val="7BB557D8"/>
    <w:rsid w:val="7BC73422"/>
    <w:rsid w:val="7C52568F"/>
    <w:rsid w:val="7C605FFE"/>
    <w:rsid w:val="7CA53A11"/>
    <w:rsid w:val="7CCD740C"/>
    <w:rsid w:val="7D5C3DD6"/>
    <w:rsid w:val="7DAC5273"/>
    <w:rsid w:val="7E510333"/>
    <w:rsid w:val="7E5C4657"/>
    <w:rsid w:val="7E694F72"/>
    <w:rsid w:val="7EC30AC6"/>
    <w:rsid w:val="7F1954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0"/>
    <w:pPr>
      <w:jc w:val="left"/>
    </w:pPr>
  </w:style>
  <w:style w:type="paragraph" w:styleId="3">
    <w:name w:val="Balloon Text"/>
    <w:basedOn w:val="1"/>
    <w:link w:val="20"/>
    <w:semiHidden/>
    <w:unhideWhenUsed/>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9"/>
    <w:semiHidden/>
    <w:unhideWhenUsed/>
    <w:qFormat/>
    <w:uiPriority w:val="0"/>
    <w:rPr>
      <w:b/>
      <w:bCs/>
    </w:rPr>
  </w:style>
  <w:style w:type="table" w:styleId="8">
    <w:name w:val="Table Grid"/>
    <w:basedOn w:val="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0"/>
    <w:rPr>
      <w:sz w:val="21"/>
      <w:szCs w:val="21"/>
    </w:rPr>
  </w:style>
  <w:style w:type="paragraph" w:customStyle="1" w:styleId="11">
    <w:name w:val="Table Paragraph"/>
    <w:basedOn w:val="1"/>
    <w:qFormat/>
    <w:uiPriority w:val="0"/>
    <w:pPr>
      <w:jc w:val="left"/>
    </w:pPr>
    <w:rPr>
      <w:kern w:val="0"/>
      <w:sz w:val="22"/>
      <w:szCs w:val="22"/>
    </w:rPr>
  </w:style>
  <w:style w:type="table" w:customStyle="1" w:styleId="12">
    <w:name w:val="Table Normal"/>
    <w:basedOn w:val="7"/>
    <w:semiHidden/>
    <w:qFormat/>
    <w:uiPriority w:val="0"/>
    <w:tblPr>
      <w:tblCellMar>
        <w:left w:w="0" w:type="dxa"/>
        <w:right w:w="0" w:type="dxa"/>
      </w:tblCellMar>
    </w:tblPr>
  </w:style>
  <w:style w:type="character" w:customStyle="1" w:styleId="13">
    <w:name w:val="页眉 字符"/>
    <w:link w:val="5"/>
    <w:qFormat/>
    <w:uiPriority w:val="0"/>
    <w:rPr>
      <w:rFonts w:cs="Times New Roman"/>
      <w:kern w:val="2"/>
      <w:sz w:val="18"/>
      <w:szCs w:val="18"/>
    </w:rPr>
  </w:style>
  <w:style w:type="character" w:customStyle="1" w:styleId="14">
    <w:name w:val="页脚 字符"/>
    <w:link w:val="4"/>
    <w:qFormat/>
    <w:uiPriority w:val="0"/>
    <w:rPr>
      <w:rFonts w:cs="Times New Roman"/>
      <w:kern w:val="2"/>
      <w:sz w:val="18"/>
      <w:szCs w:val="18"/>
    </w:rPr>
  </w:style>
  <w:style w:type="paragraph" w:customStyle="1" w:styleId="15">
    <w:name w:val="列表段落1"/>
    <w:basedOn w:val="1"/>
    <w:qFormat/>
    <w:uiPriority w:val="99"/>
    <w:pPr>
      <w:ind w:firstLine="420" w:firstLineChars="200"/>
    </w:pPr>
  </w:style>
  <w:style w:type="character" w:customStyle="1" w:styleId="16">
    <w:name w:val="oli-avatar-text"/>
    <w:basedOn w:val="9"/>
    <w:qFormat/>
    <w:uiPriority w:val="0"/>
  </w:style>
  <w:style w:type="paragraph" w:styleId="17">
    <w:name w:val="List Paragraph"/>
    <w:basedOn w:val="1"/>
    <w:qFormat/>
    <w:uiPriority w:val="99"/>
    <w:pPr>
      <w:ind w:firstLine="420" w:firstLineChars="200"/>
    </w:pPr>
  </w:style>
  <w:style w:type="character" w:customStyle="1" w:styleId="18">
    <w:name w:val="批注文字 字符"/>
    <w:basedOn w:val="9"/>
    <w:link w:val="2"/>
    <w:semiHidden/>
    <w:qFormat/>
    <w:uiPriority w:val="0"/>
    <w:rPr>
      <w:rFonts w:cs="Times New Roman"/>
      <w:kern w:val="2"/>
      <w:sz w:val="21"/>
      <w:szCs w:val="24"/>
    </w:rPr>
  </w:style>
  <w:style w:type="character" w:customStyle="1" w:styleId="19">
    <w:name w:val="批注主题 字符"/>
    <w:basedOn w:val="18"/>
    <w:link w:val="6"/>
    <w:semiHidden/>
    <w:qFormat/>
    <w:uiPriority w:val="0"/>
    <w:rPr>
      <w:rFonts w:cs="Times New Roman"/>
      <w:b/>
      <w:bCs/>
      <w:kern w:val="2"/>
      <w:sz w:val="21"/>
      <w:szCs w:val="24"/>
    </w:rPr>
  </w:style>
  <w:style w:type="character" w:customStyle="1" w:styleId="20">
    <w:name w:val="批注框文本 字符"/>
    <w:basedOn w:val="9"/>
    <w:link w:val="3"/>
    <w:semiHidden/>
    <w:qFormat/>
    <w:uiPriority w:val="0"/>
    <w:rPr>
      <w:rFonts w:cs="Times New Roman"/>
      <w:kern w:val="2"/>
      <w:sz w:val="18"/>
      <w:szCs w:val="18"/>
    </w:rPr>
  </w:style>
  <w:style w:type="paragraph" w:customStyle="1" w:styleId="2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2">
    <w:name w:val="修订1"/>
    <w:hidden/>
    <w:semiHidden/>
    <w:qFormat/>
    <w:uiPriority w:val="99"/>
    <w:rPr>
      <w:rFonts w:ascii="Calibri" w:hAnsi="Calibri" w:eastAsia="宋体" w:cs="Times New Roman"/>
      <w:kern w:val="2"/>
      <w:sz w:val="21"/>
      <w:szCs w:val="24"/>
      <w:lang w:val="en-US" w:eastAsia="zh-CN" w:bidi="ar-SA"/>
    </w:rPr>
  </w:style>
  <w:style w:type="character" w:customStyle="1" w:styleId="23">
    <w:name w:val="font11"/>
    <w:basedOn w:val="9"/>
    <w:qFormat/>
    <w:uiPriority w:val="0"/>
    <w:rPr>
      <w:rFonts w:hint="eastAsia" w:ascii="宋体" w:hAnsi="宋体" w:eastAsia="宋体" w:cs="宋体"/>
      <w:color w:val="000000"/>
      <w:sz w:val="21"/>
      <w:szCs w:val="21"/>
      <w:u w:val="none"/>
    </w:rPr>
  </w:style>
  <w:style w:type="character" w:customStyle="1" w:styleId="24">
    <w:name w:val="font21"/>
    <w:basedOn w:val="9"/>
    <w:qFormat/>
    <w:uiPriority w:val="0"/>
    <w:rPr>
      <w:rFonts w:hint="default" w:ascii="Times New Roman" w:hAnsi="Times New Roman" w:cs="Times New Roman"/>
      <w:color w:val="000000"/>
      <w:sz w:val="21"/>
      <w:szCs w:val="21"/>
      <w:u w:val="none"/>
    </w:rPr>
  </w:style>
  <w:style w:type="paragraph" w:customStyle="1" w:styleId="25">
    <w:name w:val="修订2"/>
    <w:hidden/>
    <w:unhideWhenUsed/>
    <w:qFormat/>
    <w:uiPriority w:val="99"/>
    <w:rPr>
      <w:rFonts w:ascii="Calibri" w:hAnsi="Calibri" w:eastAsia="宋体" w:cs="Times New Roman"/>
      <w:kern w:val="2"/>
      <w:sz w:val="21"/>
      <w:szCs w:val="24"/>
      <w:lang w:val="en-US" w:eastAsia="zh-CN" w:bidi="ar-SA"/>
    </w:rPr>
  </w:style>
  <w:style w:type="paragraph" w:customStyle="1" w:styleId="26">
    <w:name w:val="修订3"/>
    <w:hidden/>
    <w:unhideWhenUsed/>
    <w:qFormat/>
    <w:uiPriority w:val="99"/>
    <w:rPr>
      <w:rFonts w:ascii="Calibri" w:hAnsi="Calibri" w:eastAsia="宋体" w:cs="Times New Roman"/>
      <w:kern w:val="2"/>
      <w:sz w:val="21"/>
      <w:szCs w:val="24"/>
      <w:lang w:val="en-US" w:eastAsia="zh-CN" w:bidi="ar-SA"/>
    </w:rPr>
  </w:style>
  <w:style w:type="paragraph" w:customStyle="1" w:styleId="27">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Kingsoft</Company>
  <Pages>3</Pages>
  <Words>1837</Words>
  <Characters>1997</Characters>
  <Lines>193</Lines>
  <Paragraphs>183</Paragraphs>
  <TotalTime>135</TotalTime>
  <ScaleCrop>false</ScaleCrop>
  <LinksUpToDate>false</LinksUpToDate>
  <CharactersWithSpaces>2071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2022-11-11T07:57:00Z</dcterms:created>
  <dc:creator>admin</dc:creator>
  <cp:lastModifiedBy>刘嘉翱</cp:lastModifiedBy>
  <cp:lastPrinted>2025-02-14T06:02:00Z</cp:lastPrinted>
  <dcterms:modified xsi:type="dcterms:W3CDTF">2026-09-02T13:14:47Z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8CDCF04A83DF44E89019682932690EDB_12</vt:lpwstr>
  </property>
  <property fmtid="{D5CDD505-2E9C-101B-9397-08002B2CF9AE}" pid="4" name="KSOTemplateDocerSaveRecord">
    <vt:lpwstr>eyJoZGlkIjoiMzRhYWE3ZmNhYzI0YWZhNjliMzk2NDEwMWRlMDc0MjgiLCJ1c2VySWQiOiI5MjI0ODg2NDQifQ==</vt:lpwstr>
  </property>
</Properties>
</file>