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18EEE">
      <w:pPr>
        <w:jc w:val="left"/>
        <w:rPr>
          <w:rFonts w:hint="default" w:ascii="宋体" w:hAnsi="宋体"/>
          <w:sz w:val="24"/>
          <w:szCs w:val="24"/>
          <w:lang w:val="en-US"/>
        </w:rPr>
      </w:pPr>
      <w:r>
        <w:rPr>
          <w:rFonts w:hint="eastAsia" w:ascii="宋体" w:hAnsi="宋体"/>
          <w:sz w:val="24"/>
          <w:szCs w:val="24"/>
        </w:rPr>
        <w:t>证券代码：</w:t>
      </w:r>
      <w:r>
        <w:rPr>
          <w:rFonts w:hint="default" w:ascii="宋体" w:hAnsi="宋体"/>
          <w:sz w:val="24"/>
          <w:szCs w:val="24"/>
          <w:lang w:val="en-US"/>
        </w:rPr>
        <w:t>603418</w:t>
      </w:r>
      <w:r>
        <w:rPr>
          <w:rFonts w:hint="eastAsia" w:ascii="宋体" w:hAnsi="宋体"/>
          <w:sz w:val="24"/>
          <w:szCs w:val="24"/>
        </w:rPr>
        <w:t xml:space="preserve">     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default" w:ascii="宋体" w:hAnsi="宋体"/>
          <w:sz w:val="24"/>
          <w:szCs w:val="24"/>
          <w:lang w:val="en-US"/>
        </w:rPr>
        <w:t xml:space="preserve">        </w:t>
      </w:r>
      <w:r>
        <w:rPr>
          <w:rFonts w:hint="eastAsia" w:ascii="宋体" w:hAnsi="宋体"/>
          <w:sz w:val="24"/>
          <w:szCs w:val="24"/>
        </w:rPr>
        <w:t>公司简称：</w:t>
      </w:r>
      <w:r>
        <w:rPr>
          <w:rFonts w:hint="default" w:ascii="宋体" w:hAnsi="宋体"/>
          <w:sz w:val="24"/>
          <w:szCs w:val="24"/>
          <w:lang w:val="en-US"/>
        </w:rPr>
        <w:t>友升股份</w:t>
      </w:r>
    </w:p>
    <w:p w14:paraId="259D26F2">
      <w:pPr>
        <w:jc w:val="center"/>
        <w:rPr>
          <w:rFonts w:hint="eastAsia" w:ascii="黑体" w:hAnsi="黑体" w:eastAsia="黑体"/>
          <w:sz w:val="36"/>
          <w:szCs w:val="36"/>
        </w:rPr>
      </w:pPr>
    </w:p>
    <w:p w14:paraId="5C6BAD3B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上海友升铝业股份有限公司</w:t>
      </w:r>
    </w:p>
    <w:p w14:paraId="2A90F358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投资者关系活动记录表</w:t>
      </w:r>
    </w:p>
    <w:p w14:paraId="5D1E19CC">
      <w:pPr>
        <w:jc w:val="center"/>
        <w:rPr>
          <w:rFonts w:ascii="黑体" w:hAnsi="黑体" w:eastAsia="黑体"/>
          <w:sz w:val="24"/>
          <w:szCs w:val="24"/>
        </w:rPr>
      </w:pPr>
    </w:p>
    <w:p w14:paraId="680D1545">
      <w:pPr>
        <w:ind w:right="720"/>
        <w:jc w:val="right"/>
        <w:rPr>
          <w:rFonts w:hint="default" w:ascii="黑体" w:hAnsi="黑体" w:eastAsia="黑体"/>
          <w:sz w:val="24"/>
          <w:szCs w:val="24"/>
          <w:lang w:val="en-US"/>
        </w:rPr>
      </w:pPr>
      <w:r>
        <w:rPr>
          <w:rFonts w:hint="eastAsia" w:ascii="黑体" w:hAnsi="黑体" w:eastAsia="黑体"/>
          <w:sz w:val="24"/>
          <w:szCs w:val="24"/>
        </w:rPr>
        <w:t>编号：</w:t>
      </w:r>
      <w:r>
        <w:rPr>
          <w:rFonts w:hint="default" w:ascii="黑体" w:hAnsi="黑体" w:eastAsia="黑体"/>
          <w:sz w:val="24"/>
          <w:szCs w:val="24"/>
          <w:lang w:val="en-US"/>
        </w:rPr>
        <w:t>2026-002</w:t>
      </w:r>
    </w:p>
    <w:tbl>
      <w:tblPr>
        <w:tblStyle w:val="5"/>
        <w:tblW w:w="87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191"/>
      </w:tblGrid>
      <w:tr w14:paraId="15F45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26" w:type="dxa"/>
            <w:noWrap w:val="0"/>
            <w:vAlign w:val="center"/>
          </w:tcPr>
          <w:p w14:paraId="644713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  <w:noWrap w:val="0"/>
            <w:vAlign w:val="center"/>
          </w:tcPr>
          <w:p w14:paraId="6C48DAAC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业绩说明会</w:t>
            </w:r>
          </w:p>
        </w:tc>
      </w:tr>
      <w:tr w14:paraId="7F6AA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26" w:type="dxa"/>
            <w:noWrap w:val="0"/>
            <w:vAlign w:val="center"/>
          </w:tcPr>
          <w:p w14:paraId="42C8E2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活动主题</w:t>
            </w:r>
          </w:p>
        </w:tc>
        <w:tc>
          <w:tcPr>
            <w:tcW w:w="7191" w:type="dxa"/>
            <w:noWrap w:val="0"/>
            <w:vAlign w:val="center"/>
          </w:tcPr>
          <w:p w14:paraId="44BF0A18">
            <w:pPr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highlight w:val="none"/>
                <w:lang w:val="en-GB"/>
              </w:rPr>
              <w:t>友升股份2026年半年度业绩说明会</w:t>
            </w:r>
          </w:p>
        </w:tc>
      </w:tr>
      <w:tr w14:paraId="57A43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noWrap w:val="0"/>
            <w:vAlign w:val="center"/>
          </w:tcPr>
          <w:p w14:paraId="5D74AF9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191" w:type="dxa"/>
            <w:noWrap w:val="0"/>
            <w:vAlign w:val="center"/>
          </w:tcPr>
          <w:p w14:paraId="6D471BB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highlight w:val="none"/>
              </w:rPr>
              <w:t>2026-09-03  14:00-15:00</w:t>
            </w:r>
          </w:p>
        </w:tc>
      </w:tr>
      <w:tr w14:paraId="409B8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26" w:type="dxa"/>
            <w:noWrap w:val="0"/>
            <w:vAlign w:val="center"/>
          </w:tcPr>
          <w:p w14:paraId="53F08C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  <w:r>
              <w:rPr>
                <w:rFonts w:hint="eastAsia" w:ascii="宋体" w:hAnsi="宋体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7191" w:type="dxa"/>
            <w:noWrap w:val="0"/>
            <w:vAlign w:val="top"/>
          </w:tcPr>
          <w:p w14:paraId="1851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上证路演中心 </w:t>
            </w:r>
            <w:r>
              <w:fldChar w:fldCharType="begin"/>
            </w:r>
            <w:r>
              <w:instrText xml:space="preserve"> HYPERLINK "https://roadshow.sseinfo.com" </w:instrText>
            </w:r>
            <w:r>
              <w:fldChar w:fldCharType="separate"/>
            </w:r>
            <w:r>
              <w:rPr>
                <w:rStyle w:val="7"/>
                <w:rFonts w:hint="eastAsia" w:ascii="宋体" w:hAnsi="宋体"/>
                <w:bCs/>
                <w:sz w:val="24"/>
              </w:rPr>
              <w:t>https://roadshow.sseinfo.com</w:t>
            </w:r>
            <w:r>
              <w:rPr>
                <w:rStyle w:val="7"/>
                <w:rFonts w:hint="eastAsia" w:ascii="宋体" w:hAnsi="宋体"/>
                <w:bCs/>
                <w:sz w:val="24"/>
              </w:rPr>
              <w:fldChar w:fldCharType="end"/>
            </w:r>
          </w:p>
          <w:p w14:paraId="1C197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网络文字互动</w:t>
            </w:r>
          </w:p>
        </w:tc>
      </w:tr>
      <w:tr w14:paraId="085F8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26" w:type="dxa"/>
            <w:noWrap w:val="0"/>
            <w:vAlign w:val="center"/>
          </w:tcPr>
          <w:p w14:paraId="14E91A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7191" w:type="dxa"/>
            <w:noWrap w:val="0"/>
            <w:vAlign w:val="center"/>
          </w:tcPr>
          <w:p w14:paraId="3784C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董事长、总经理：罗世兵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独立董事：王蔚松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董事会秘书：叶醒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财务总监：王甥</w:t>
            </w:r>
          </w:p>
        </w:tc>
      </w:tr>
      <w:tr w14:paraId="0A6DC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26" w:type="dxa"/>
            <w:noWrap w:val="0"/>
            <w:vAlign w:val="center"/>
          </w:tcPr>
          <w:p w14:paraId="30BC42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  <w:noWrap w:val="0"/>
            <w:vAlign w:val="top"/>
          </w:tcPr>
          <w:p w14:paraId="0D4A6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投资者关系活动主要内容</w:t>
            </w:r>
          </w:p>
          <w:p w14:paraId="339F6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1、问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公司二季度经营活动现金流表现很好，背后原因是什么？是否能持续？</w:t>
            </w:r>
          </w:p>
          <w:p w14:paraId="31FD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您好！经营活动现金流量净额，一方面受下游OEM整车厂客户信用周期影响，公司对主要整车客户的授信账期主要分布在60-120 天区间；另一方面，票据结算方式的结构变化也会对经营现金流净额形成扰动。2026年上半年度，公司客户结构得到进一步优化，同时持续加强应收款项的对账与回款管理，整体回款表现较为优质。感谢关注！</w:t>
            </w:r>
          </w:p>
          <w:p w14:paraId="5F990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2、问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公司是少有的破发股，怎么看待？有什么积极进取的举措？</w:t>
            </w:r>
          </w:p>
          <w:p w14:paraId="74A0F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您好！当前公司生产经营稳健，各项业务有序开展。二级市场股价波动受宏观环境、行业周期、板块估值、市场情绪等多重外部因素综合影响。公司高度重视市值维护与投资者回报工作：一方面深耕主业，统筹海内外市场布局，聚力产品与技术创新，持续强化核心竞争力、优化经营质量，筑牢企业长期内在价值；另一方面，公司秉持稳健经营原则，积极探索多元业务发展路径；同时，还通过现金分红等方式与广大投资者共享企业经营发展成果。后续，公司将抓实生产经营，常态化开展投资者沟通，积极传递公司投资价值，力争以扎实的经营成果回馈各位股东。二级市场存在不确定性，敬请理性看待股价波动，注意投资风险。感谢您的关注！</w:t>
            </w:r>
          </w:p>
          <w:p w14:paraId="0DA6E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3、问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已经知道墨西哥一期生产基地已正式投产，且上半年实现量产，想了解道墨西哥一期目前产能利用率是多少？</w:t>
            </w:r>
          </w:p>
          <w:p w14:paraId="5E30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您好！公司产能利用率信息将在年度报告相应章节予以披露，敬请关注后续公告。</w:t>
            </w:r>
          </w:p>
          <w:p w14:paraId="08E4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4、问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半年报所披露的公司因提高材料使用效率，及产品良率对冲了原材料价格上涨等带来的成本压力。请问，在铝价持续上涨的情况下，以上成本控制措施是否具有可持续性？预计在下半年还有哪些措施降低成本？谢谢！</w:t>
            </w:r>
          </w:p>
          <w:p w14:paraId="086CF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，您好！公司与核心客户已建立常态化价格联动机制，能够有序传导原材料涨价压力。公司持续落实“提质增效重回报”行动方案，持续推进铝合金轻量化三大核心工艺技术迭代，稳步提升产品性能、轻量化水平与成本优势，夯实轻量化零部件赛道核心竞争力。通过优化产品结构、提升高附加值轻量化产品占比、精益生产降本增效，通过供应链整合及长协锁价等方式，多维度对冲原料涨价影响，平抑周期波动。整体来看，原材料涨价会带来阶段性经营承压，但通过各项对冲措施落地，公司盈利水平有望保持稳健，长期经营基本面不受影响。</w:t>
            </w:r>
          </w:p>
          <w:p w14:paraId="7F366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5、问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墨西哥一期产能利用率多少了？预计什么时候能满负荷生产？</w:t>
            </w:r>
          </w:p>
          <w:p w14:paraId="32B2C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投资者您好！截至2024年末，墨西哥一期生产基地已正式投产；截至2026年上半年末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墨西哥二期基地一阶段已小批量试产，二期二阶段土建施工、设备采购与安装调试有序推进，将按照客户定点项目进度规划分步导入产线。感谢关注！</w:t>
            </w:r>
          </w:p>
          <w:p w14:paraId="2A31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6、问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割草机器人预计什么时候会有收入？</w:t>
            </w:r>
          </w:p>
          <w:p w14:paraId="19B66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投资者您好，相关事项若达到披露标准，公司将严格按照法律法规履行信息披露义务。敬请关注公司公告，谢谢！</w:t>
            </w:r>
          </w:p>
          <w:p w14:paraId="25C2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7、问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公司投资优思美地机器人目前情况如何？接下来其他的收购投资计划？</w:t>
            </w:r>
          </w:p>
          <w:p w14:paraId="4C52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投资者您好，该项目目前有序推进中，样机处测试阶段，具体详见公司2026半年报第三节。收购投资事项，公司会进行审慎评估，若实施将履行相应的审议披露程序，敬请关注。</w:t>
            </w:r>
          </w:p>
          <w:p w14:paraId="583C3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8、问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尊敬的罗总您好！首先恭祝友升2026年上半年在营收不及预期的情况下，净利润仍保持了较快增长！请问上半年营收增速平缓的主要原因是什么？海外业务收入趋缓是由于下游车厂取消了订单还是其他原因？2025年年报中公布的定点在手330亿订单是否大幅减少？截止到2026年6月30日，此数据同口径下的订单金额为多少？谢谢！</w:t>
            </w:r>
          </w:p>
          <w:p w14:paraId="1B3D8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尊敬的投资者，您好！2026 年上半年公司营收增速相对平缓，主要系外部多重因素叠加所致。一方面，全球汽车行业整体处于库存调整阶段，海外主流整车厂商主动进行排产节奏优化，阶段性下调部分车型生产计划，并非整车厂取消已确认定点订单；另一方面，国内新能源汽车市场竞争加剧，部分客户项目迭代节奏有所延后，新项目量产爬坡进度不及前期预期，多重因素共同带来营业收入短期承压。公司通过产品结构优化、内部降本增效、精益生产管理等多项举措，实现净利润保持较快增长。关于海外业务，海外收入趋缓核心来自下游整车客户排产的调整，不存在大规模取消定点订单的情形。定点项目本身具备长周期属性，从定点到批量交付存在时间差，短期收入波动更多反映客户当期生产安排，不直接等同于定点项目发生实质性变更，公司与海外核心整车客户合作关系保持稳定。针对2025年年报披露的330亿元在手定点订单，该口径为累计定点项目全生命周期预计金额，并非当期可确认收入。定点订单会随着项目量产交付逐步结转实现收入，同时也会受整车平台改款、车型迭代、客户生产规划调整发生动态变化，不存在订单大幅缩水的情况。整体来看，公司在手定点储备依旧充足，将持续推进海内外项目落地，同时持续拓展新客户、新项目，不断优化产品与客户结构，努力提升经营业绩回报广大投资者，谢谢！</w:t>
            </w:r>
          </w:p>
          <w:p w14:paraId="0EB1B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9、问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公司股票自上市以来一路阴跌，目前已跌破发行价，请问怎么看待？</w:t>
            </w:r>
          </w:p>
          <w:p w14:paraId="6E062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公司理解投资者对二级市场股价表现的关切。股价受宏观环境、行业周期、市场交易情绪等多重因素影响，存在短期波动。当前公司经营情况稳健，各项业务及募投项目有序推进。管理层对公司未来发展抱有坚定信心，将持续聚焦主业，抓好生产经营与项目落地，不断提升经营质量，落实股东回报相关安排。若涉及股份回购增持、对外投资等相关事项，公司将依规及时对外公告，敬请投资者留意公司披露文件。</w:t>
            </w:r>
          </w:p>
          <w:p w14:paraId="5EF75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10、问：2026年其他公司割草机器人业绩暴涨，如乐动机器人割草机器人业绩暴涨159%，大叶股份、石头科技等都表现非常优异，公司割草机器人商业化规划？公司在新业务这块目前进展如何？</w:t>
            </w:r>
          </w:p>
          <w:p w14:paraId="0AA7C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2026年上半年，公司依托子公司上海奥拓睿智科技有限公司，全面推进智能割草机器人产品研发及后续产业化的准备，围绕三电、结构、软件、测试等领域完善专业人才梯队建设和项目团队建设；聚焦自主导航、环境感知、智能控制等关键领域持续开展研发和技术迭代，推进相关专利申报与技术确权，夯实核心技术壁垒；基于实地测试反馈不断完善产品功能与使用体验。在市场拓展方面，公司于2026年上半年设立全资海外子公司ATRONEX TECHNOLOGY USA INC 围绕目标市场开展市场调研、用户需求论证与产品推广等前期工作。截至报告期末，智能割草机器人项目尚处于产品研发、测试验证及市场导入阶段，尚未实现营业收入。</w:t>
            </w:r>
          </w:p>
          <w:p w14:paraId="6A9DD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</w:pP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11、问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lang w:val="en-US"/>
              </w:rPr>
              <w:t>从公司半年报看：2026 年上半年境外营业收入同比增长 58.93%，境外毛利同比增长63.30%，外销业务实现营收、毛利高增，毛利率维持在 46% 的高位水平，比境内业务增长要好非常多，请问公司境外业务目前进展情况？如产能规划、订单、订单释放情况等？</w:t>
            </w:r>
          </w:p>
          <w:p w14:paraId="16AEA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lang w:val="en-US"/>
              </w:rPr>
              <w:t>答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投资者，您好！公司海外产能布局稳步落地，践行“国内国际双循环”发展战略。报告期内墨西哥一期部分客户项目已实现批量供货，墨西哥二期基地一阶段已于6月小批量试产，二阶段土建施工、设备采购与安装调试有序推进。保加利亚一期基地已量产，二期基地持续推进产线稳定运行与客户小批量供货爬坡，重点承接欧洲区域整车客户轻量化结构件订单；土耳其生产基地前期筹备及基建工作有序开展，预计2027年具备交付能力，建成后将进一步完善欧洲区域产能支点，与保加利亚基地形成协同互补。全球化产能布局有利于规避国际贸易壁垒、缩短物流半径、降低综合交付成本，满足海外主机厂属地化采购要求，有效支撑海外定点订单持续释放。</w:t>
            </w:r>
          </w:p>
          <w:p w14:paraId="49AD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2" w:firstLineChars="200"/>
              <w:textAlignment w:val="auto"/>
              <w:rPr>
                <w:b/>
                <w:bCs/>
              </w:rPr>
            </w:pPr>
            <w:r>
              <w:rPr>
                <w:rFonts w:hint="default" w:ascii="宋体"/>
                <w:b/>
                <w:bCs/>
                <w:sz w:val="24"/>
                <w:lang w:val="en-US"/>
              </w:rPr>
              <w:t>12、问：请问公司在实现业绩持续增长的基础上，对投资者回报比如分红政策有何中长期规划？</w:t>
            </w:r>
          </w:p>
          <w:p w14:paraId="4C83C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12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default" w:ascii="宋体"/>
                <w:sz w:val="24"/>
                <w:lang w:val="en-US"/>
              </w:rPr>
              <w:t>答</w:t>
            </w:r>
            <w:r>
              <w:rPr>
                <w:rFonts w:hint="eastAsia" w:ascii="宋体"/>
                <w:sz w:val="24"/>
                <w:lang w:val="en-US" w:eastAsia="zh-CN"/>
              </w:rPr>
              <w:t>：</w:t>
            </w:r>
            <w:r>
              <w:rPr>
                <w:rFonts w:hint="default" w:ascii="宋体"/>
                <w:sz w:val="24"/>
                <w:lang w:val="en-US"/>
              </w:rPr>
              <w:t>投资者，您好！</w:t>
            </w:r>
            <w:bookmarkStart w:id="0" w:name="_GoBack"/>
            <w:bookmarkEnd w:id="0"/>
            <w:r>
              <w:rPr>
                <w:rFonts w:hint="default" w:ascii="宋体"/>
                <w:sz w:val="24"/>
                <w:lang w:val="en-US"/>
              </w:rPr>
              <w:t>公司分红相关政策及中长期回报安排，已在《招股说明书》《公司章程》等公开披露文件中予以详细说明。公司高度重视全体投资者合理回报，坚持兼顾股东回报与公司可持续发展，以扎实做好主营业务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经营</w:t>
            </w:r>
            <w:r>
              <w:rPr>
                <w:rFonts w:hint="default" w:ascii="宋体"/>
                <w:sz w:val="24"/>
                <w:lang w:val="en-US"/>
              </w:rPr>
              <w:t>、创造稳定良好的经营效益，为现金分红等利润分配实施夯实基础。公司积极落实分红政策，2025年度分红方案为向全体股东每10股派发现金红利8.30元（含税）。后续公司将严格按照法律法规、公司章程及股东回报规划要求，综合考虑经营状况、现金流水平、重大投资资金需求等因素，持续保持利润分配政策的连续性与稳定性，积极回馈广大股东。</w:t>
            </w:r>
          </w:p>
        </w:tc>
      </w:tr>
    </w:tbl>
    <w:p w14:paraId="61342BFE">
      <w:pPr>
        <w:rPr>
          <w:rFonts w:hint="eastAsia"/>
        </w:rPr>
      </w:pPr>
    </w:p>
    <w:p w14:paraId="172AC4FE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2AEF">
    <w:pPr>
      <w:pStyle w:val="3"/>
      <w:tabs>
        <w:tab w:val="clear" w:pos="4153"/>
      </w:tabs>
      <w:jc w:val="both"/>
    </w:pPr>
    <w:r>
      <w:rPr>
        <w:rFonts w:hint="eastAsia"/>
      </w:rPr>
      <w:t>上海友升铝业股份有限公司</w:t>
    </w:r>
    <w:r>
      <w:rPr>
        <w:rFonts w:hint="default"/>
        <w:lang w:val="en-US"/>
      </w:rPr>
      <w:t xml:space="preserve">                                                </w:t>
    </w:r>
    <w:r>
      <w:rPr>
        <w:rFonts w:hint="eastAsia"/>
      </w:rPr>
      <w:t>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WI3ZTJmNTRmNWIyOTQxNTgwOTFlMTg0Mjg2MzYifQ=="/>
  </w:docVars>
  <w:rsids>
    <w:rsidRoot w:val="00000000"/>
    <w:rsid w:val="035107A6"/>
    <w:rsid w:val="06E77061"/>
    <w:rsid w:val="0ACC2E94"/>
    <w:rsid w:val="1CB2496B"/>
    <w:rsid w:val="29AC5B2F"/>
    <w:rsid w:val="37E94342"/>
    <w:rsid w:val="4B33349D"/>
    <w:rsid w:val="51145FDD"/>
    <w:rsid w:val="61B42C51"/>
    <w:rsid w:val="670E1BEF"/>
    <w:rsid w:val="68862E7C"/>
    <w:rsid w:val="6A811E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/>
      <w:u w:val="single"/>
    </w:rPr>
  </w:style>
  <w:style w:type="paragraph" w:customStyle="1" w:styleId="8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3370</Words>
  <Characters>3529</Characters>
  <Lines>0</Lines>
  <Paragraphs>0</Paragraphs>
  <TotalTime>17</TotalTime>
  <ScaleCrop>false</ScaleCrop>
  <LinksUpToDate>false</LinksUpToDate>
  <CharactersWithSpaces>3579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2023-06-30T02:03:00Z</dcterms:created>
  <dc:creator>Administrator</dc:creator>
  <cp:lastModifiedBy>zwj</cp:lastModifiedBy>
  <dcterms:modified xsi:type="dcterms:W3CDTF">2026-09-03T07:32:38Z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81E842C0F59945F2B340805ECAB4B60E_13</vt:lpwstr>
  </property>
</Properties>
</file>