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6BC6C"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</w:rPr>
        <w:t>证券代码：600</w:t>
      </w:r>
      <w:r>
        <w:rPr>
          <w:rFonts w:hint="eastAsia" w:asciiTheme="minorEastAsia" w:hAnsiTheme="minorEastAsia" w:cstheme="minorEastAsia"/>
          <w:lang w:val="en-US" w:eastAsia="zh-CN"/>
        </w:rPr>
        <w:t>483</w:t>
      </w:r>
      <w:r>
        <w:rPr>
          <w:rFonts w:hint="eastAsia" w:asciiTheme="minorEastAsia" w:hAnsiTheme="minorEastAsia" w:cstheme="minorEastAsia"/>
        </w:rPr>
        <w:t xml:space="preserve">                                             证券简称：</w:t>
      </w:r>
      <w:r>
        <w:rPr>
          <w:rFonts w:hint="eastAsia" w:asciiTheme="minorEastAsia" w:hAnsiTheme="minorEastAsia" w:cstheme="minorEastAsia"/>
          <w:lang w:val="en-US" w:eastAsia="zh-CN"/>
        </w:rPr>
        <w:t>福能股份</w:t>
      </w:r>
    </w:p>
    <w:p w14:paraId="6D902CC8">
      <w:pPr>
        <w:jc w:val="center"/>
        <w:rPr>
          <w:rFonts w:asciiTheme="minorEastAsia" w:hAnsiTheme="minorEastAsia" w:cstheme="minorEastAsia"/>
          <w:b/>
          <w:sz w:val="32"/>
        </w:rPr>
      </w:pPr>
      <w:r>
        <w:rPr>
          <w:rFonts w:hint="eastAsia" w:asciiTheme="minorEastAsia" w:hAnsiTheme="minorEastAsia" w:cstheme="minorEastAsia"/>
          <w:b/>
          <w:sz w:val="32"/>
          <w:lang w:val="en-US" w:eastAsia="zh-CN"/>
        </w:rPr>
        <w:t>福建福能</w:t>
      </w:r>
      <w:r>
        <w:rPr>
          <w:rFonts w:hint="eastAsia" w:asciiTheme="minorEastAsia" w:hAnsiTheme="minorEastAsia" w:cstheme="minorEastAsia"/>
          <w:b/>
          <w:sz w:val="32"/>
        </w:rPr>
        <w:t>股份有限公司</w:t>
      </w:r>
    </w:p>
    <w:p w14:paraId="084DB953">
      <w:pPr>
        <w:jc w:val="center"/>
        <w:rPr>
          <w:rFonts w:hint="eastAsia" w:asciiTheme="minorEastAsia" w:hAnsiTheme="minorEastAsia" w:eastAsiaTheme="minorEastAsia" w:cstheme="minorEastAsia"/>
          <w:b/>
          <w:sz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32"/>
        </w:rPr>
        <w:t>202</w:t>
      </w:r>
      <w:r>
        <w:rPr>
          <w:rFonts w:hint="eastAsia" w:asciiTheme="minorEastAsia" w:hAnsiTheme="minorEastAsia" w:cstheme="minorEastAsia"/>
          <w:b/>
          <w:sz w:val="32"/>
          <w:lang w:val="en-US" w:eastAsia="zh-CN"/>
        </w:rPr>
        <w:t>6</w:t>
      </w:r>
      <w:r>
        <w:rPr>
          <w:rFonts w:hint="eastAsia" w:asciiTheme="minorEastAsia" w:hAnsiTheme="minorEastAsia" w:cstheme="minorEastAsia"/>
          <w:b/>
          <w:sz w:val="32"/>
        </w:rPr>
        <w:t>年</w:t>
      </w:r>
      <w:r>
        <w:rPr>
          <w:rFonts w:hint="eastAsia" w:asciiTheme="minorEastAsia" w:hAnsiTheme="minorEastAsia" w:cstheme="minorEastAsia"/>
          <w:b/>
          <w:sz w:val="32"/>
          <w:lang w:val="en-US" w:eastAsia="zh-CN"/>
        </w:rPr>
        <w:t>8</w:t>
      </w:r>
      <w:r>
        <w:rPr>
          <w:rFonts w:hint="eastAsia" w:asciiTheme="minorEastAsia" w:hAnsiTheme="minorEastAsia" w:cstheme="minorEastAsia"/>
          <w:b/>
          <w:sz w:val="32"/>
        </w:rPr>
        <w:t>月投资者关系活动记录</w:t>
      </w:r>
      <w:r>
        <w:rPr>
          <w:rFonts w:hint="eastAsia" w:asciiTheme="minorEastAsia" w:hAnsiTheme="minorEastAsia" w:cstheme="minorEastAsia"/>
          <w:b/>
          <w:sz w:val="32"/>
          <w:lang w:val="en-US" w:eastAsia="zh-CN"/>
        </w:rPr>
        <w:t>表</w:t>
      </w:r>
    </w:p>
    <w:p w14:paraId="1662A38C">
      <w:pPr>
        <w:spacing w:line="360" w:lineRule="auto"/>
        <w:ind w:firstLine="424" w:firstLineChars="177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cstheme="minorEastAsia"/>
          <w:sz w:val="24"/>
          <w:szCs w:val="24"/>
        </w:rPr>
        <w:t>与投资者在信息披露范围内互动交流情况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如下</w:t>
      </w:r>
      <w:r>
        <w:rPr>
          <w:rFonts w:hint="eastAsia" w:asciiTheme="minorEastAsia" w:hAnsi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进行线上分析师会议4次、线上特定对象调研4</w:t>
      </w:r>
      <w:r>
        <w:rPr>
          <w:rFonts w:hint="eastAsia" w:asciiTheme="minorEastAsia" w:hAnsiTheme="minorEastAsia" w:cstheme="minorEastAsia"/>
          <w:sz w:val="24"/>
          <w:szCs w:val="24"/>
        </w:rPr>
        <w:t>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</w:rPr>
        <w:t>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听</w:t>
      </w:r>
      <w:r>
        <w:rPr>
          <w:rFonts w:hint="eastAsia" w:asciiTheme="minorEastAsia" w:hAnsiTheme="minorEastAsia" w:cstheme="minorEastAsia"/>
          <w:sz w:val="24"/>
          <w:szCs w:val="24"/>
        </w:rPr>
        <w:t>投资者来电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cstheme="minorEastAsia"/>
          <w:sz w:val="24"/>
          <w:szCs w:val="24"/>
        </w:rPr>
        <w:t>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及举办网络业绩说明会1次</w:t>
      </w:r>
      <w:r>
        <w:rPr>
          <w:rFonts w:hint="eastAsia" w:asciiTheme="minorEastAsia" w:hAnsiTheme="minorEastAsia" w:cstheme="minorEastAsia"/>
          <w:sz w:val="24"/>
          <w:szCs w:val="24"/>
        </w:rPr>
        <w:t>。</w:t>
      </w:r>
    </w:p>
    <w:p w14:paraId="10041270">
      <w:pPr>
        <w:spacing w:line="360" w:lineRule="auto"/>
        <w:ind w:firstLine="424" w:firstLineChars="177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</w:rPr>
        <w:t>月，公司主要投资者关系活动记录如下：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996"/>
      </w:tblGrid>
      <w:tr w14:paraId="6E59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526" w:type="dxa"/>
            <w:vAlign w:val="center"/>
          </w:tcPr>
          <w:p w14:paraId="2FB30F2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投资者关系</w:t>
            </w:r>
          </w:p>
          <w:p w14:paraId="7602362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活动类别</w:t>
            </w:r>
          </w:p>
        </w:tc>
        <w:tc>
          <w:tcPr>
            <w:tcW w:w="6996" w:type="dxa"/>
          </w:tcPr>
          <w:p w14:paraId="70AC2DD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</w:rPr>
              <w:t>特定对象调研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</w:rPr>
              <w:t>分析师会议</w:t>
            </w:r>
          </w:p>
          <w:p w14:paraId="5D7AA34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 xml:space="preserve">□媒体采访    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</w:rPr>
              <w:t>业绩说明会</w:t>
            </w:r>
          </w:p>
          <w:p w14:paraId="5F237FA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</w:rPr>
              <w:t xml:space="preserve">券商策略会  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</w:rPr>
              <w:t xml:space="preserve"> □路演活动</w:t>
            </w:r>
          </w:p>
          <w:p w14:paraId="276D1C8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</w:rPr>
              <w:t>现场参观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</w:rPr>
              <w:t>其他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线下交流会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）</w:t>
            </w:r>
          </w:p>
        </w:tc>
      </w:tr>
      <w:tr w14:paraId="4786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26" w:type="dxa"/>
            <w:vAlign w:val="center"/>
          </w:tcPr>
          <w:p w14:paraId="5CC862A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参与单位名称</w:t>
            </w:r>
          </w:p>
        </w:tc>
        <w:tc>
          <w:tcPr>
            <w:tcW w:w="6996" w:type="dxa"/>
            <w:vAlign w:val="center"/>
          </w:tcPr>
          <w:p w14:paraId="0A6DAB9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eastAsia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8月24日 长江证券、兴业证券、招商证券（分析师会议）</w:t>
            </w:r>
          </w:p>
          <w:p w14:paraId="2B66BE5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8月25日 华创证券（分析师会议）</w:t>
            </w:r>
          </w:p>
          <w:p w14:paraId="2EF9B49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8月27日 兴全基金、华夏基金（特定对象调研）</w:t>
            </w:r>
          </w:p>
          <w:p w14:paraId="1FD676A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8月28日 华宝基金、博时基金（特定对象调研）</w:t>
            </w:r>
          </w:p>
        </w:tc>
      </w:tr>
      <w:tr w14:paraId="6DBD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7487768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上市公司</w:t>
            </w:r>
          </w:p>
          <w:p w14:paraId="50AC392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接待人员</w:t>
            </w:r>
          </w:p>
        </w:tc>
        <w:tc>
          <w:tcPr>
            <w:tcW w:w="6996" w:type="dxa"/>
            <w:vAlign w:val="center"/>
          </w:tcPr>
          <w:p w14:paraId="533864F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cstheme="minorEastAsia"/>
              </w:rPr>
              <w:t>董事会秘书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汪元军</w:t>
            </w:r>
          </w:p>
        </w:tc>
      </w:tr>
      <w:tr w14:paraId="18E2C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1526" w:type="dxa"/>
            <w:vAlign w:val="center"/>
          </w:tcPr>
          <w:p w14:paraId="53E87B2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投资者关系</w:t>
            </w:r>
          </w:p>
          <w:p w14:paraId="751A693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活动主要内容介绍</w:t>
            </w:r>
          </w:p>
        </w:tc>
        <w:tc>
          <w:tcPr>
            <w:tcW w:w="6996" w:type="dxa"/>
          </w:tcPr>
          <w:p w14:paraId="6F92B22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left"/>
              <w:rPr>
                <w:rFonts w:hint="eastAsia" w:asciiTheme="minorEastAsia" w:hAnsiTheme="minorEastAsia" w:cstheme="minorEastAsia"/>
                <w:b/>
              </w:rPr>
            </w:pPr>
            <w:r>
              <w:rPr>
                <w:rFonts w:hint="eastAsia" w:asciiTheme="minorEastAsia" w:hAnsiTheme="minorEastAsia" w:cstheme="minorEastAsia"/>
                <w:b/>
                <w:lang w:val="en-US" w:eastAsia="zh-CN"/>
              </w:rPr>
              <w:t>8月24日、25日、27日、28日投资者关系活动</w:t>
            </w:r>
            <w:r>
              <w:rPr>
                <w:rFonts w:hint="eastAsia" w:asciiTheme="minorEastAsia" w:hAnsiTheme="minorEastAsia" w:cstheme="minorEastAsia"/>
                <w:b/>
              </w:rPr>
              <w:t>主要交流问题及回复：</w:t>
            </w:r>
          </w:p>
          <w:p w14:paraId="48DE7D06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问题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一</w:t>
            </w:r>
            <w:r>
              <w:rPr>
                <w:rFonts w:hint="eastAsia" w:asciiTheme="minorEastAsia" w:hAnsiTheme="minorEastAsia" w:cstheme="minorEastAsia"/>
                <w:b/>
                <w:bCs/>
              </w:rPr>
              <w:t>：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公司二季度入炉标煤单价及同比情况如何？</w:t>
            </w:r>
          </w:p>
          <w:p w14:paraId="4E613AC2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回答：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lang w:val="en-US" w:eastAsia="zh-CN"/>
              </w:rPr>
              <w:t>公司未披露入炉标煤单价相关数据。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lang w:val="en-US" w:eastAsia="zh-CN"/>
              </w:rPr>
              <w:t>在煤炭成本管控方面，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lang w:val="en-US" w:eastAsia="zh-CN"/>
              </w:rPr>
              <w:t>福建区域依托大股东旗下的福能物流，与神华、伊泰等煤炭供应商保持合作，保障煤炭供应的数量、品质和价格稳定，长协煤合约履行平稳正常。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lang w:val="en-US" w:eastAsia="zh-CN"/>
              </w:rPr>
              <w:t>贵州区域的煤炭从六枝特区及周边县市采购，且已扩建了相应煤仓库，可合理安排煤炭采购与合同制定，能够较好控制煤炭成本。</w:t>
            </w:r>
          </w:p>
          <w:p w14:paraId="2E8F54B9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</w:pPr>
          </w:p>
          <w:p w14:paraId="01D928C3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问题二:鸿山热电2026年上半年发电量情况如何？</w:t>
            </w:r>
          </w:p>
          <w:p w14:paraId="75CBBBF1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Cs/>
                <w:spacing w:val="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回答：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lang w:val="en-US" w:eastAsia="zh-CN"/>
              </w:rPr>
              <w:t>公司未单独披露鸿山热电的发电量数据，2026年上半年公司热电联产板块整体发电量为34.35亿千瓦时，同比增长5.51%。</w:t>
            </w:r>
          </w:p>
          <w:p w14:paraId="1838B3C1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</w:pPr>
          </w:p>
          <w:p w14:paraId="4EDA568D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  <w:t>问题三：公司二季度煤电发电量同比增长的原因是什么？</w:t>
            </w:r>
          </w:p>
          <w:p w14:paraId="31054E0E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 w:val="0"/>
                <w:bCs/>
                <w:spacing w:val="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  <w:t>回答：</w:t>
            </w:r>
            <w:r>
              <w:rPr>
                <w:rFonts w:hint="eastAsia" w:asciiTheme="minorEastAsia" w:hAnsiTheme="minorEastAsia" w:cstheme="minorEastAsia"/>
                <w:b w:val="0"/>
                <w:bCs/>
                <w:spacing w:val="0"/>
                <w:szCs w:val="22"/>
                <w:lang w:val="en-US" w:eastAsia="zh-CN"/>
              </w:rPr>
              <w:t>福建、贵州两省社会用电量增速在4%-5%，和全国水平接近，为公司发电增长提供了需求基础，公司充分发挥自身优势按计划推进发电业务。</w:t>
            </w:r>
          </w:p>
          <w:p w14:paraId="4443DB80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default" w:asciiTheme="minorEastAsia" w:hAnsiTheme="minorEastAsia" w:cstheme="minorEastAsia"/>
                <w:bCs/>
                <w:spacing w:val="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pacing w:val="0"/>
                <w:szCs w:val="22"/>
                <w:lang w:val="en-US" w:eastAsia="zh-CN"/>
              </w:rPr>
              <w:t>发电量增长主要来源于两方面：一是福能贵电发电量提升，其上半年上网电量为37.68亿度，同比增长25%，福能贵电结合中长期运营规划与现货市场安排，抓住有利机遇优先发有效益的电；二是公司福建省内热电联产板块发电量也实现增长。</w:t>
            </w:r>
          </w:p>
          <w:p w14:paraId="59422C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left="0" w:right="0"/>
              <w:jc w:val="left"/>
              <w:rPr>
                <w:rFonts w:hint="default" w:asciiTheme="minorEastAsia" w:hAnsiTheme="minorEastAsia" w:cstheme="minorEastAsia"/>
                <w:b w:val="0"/>
                <w:bCs/>
                <w:lang w:val="en-US" w:eastAsia="zh-CN" w:bidi="ar-SA"/>
              </w:rPr>
            </w:pPr>
          </w:p>
          <w:p w14:paraId="3CFF98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left="0" w:right="0"/>
              <w:jc w:val="left"/>
              <w:rPr>
                <w:rFonts w:hint="eastAsia" w:asciiTheme="minorEastAsia" w:hAnsiTheme="minorEastAsia" w:cstheme="minorEastAsia"/>
                <w:b/>
                <w:bCs w:val="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lang w:val="en-US" w:eastAsia="zh-CN" w:bidi="ar-SA"/>
              </w:rPr>
              <w:t>问题四：公司风电项目是否能够抵御台风？</w:t>
            </w:r>
          </w:p>
          <w:p w14:paraId="45F2E2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left="0" w:right="0"/>
              <w:jc w:val="left"/>
              <w:rPr>
                <w:rFonts w:hint="eastAsia" w:asciiTheme="minorEastAsia" w:hAnsiTheme="minorEastAsia" w:cstheme="minorEastAsia"/>
                <w:b w:val="0"/>
                <w:bCs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lang w:val="en-US" w:eastAsia="zh-CN" w:bidi="ar-SA"/>
              </w:rPr>
              <w:t>回答：</w:t>
            </w:r>
            <w:r>
              <w:rPr>
                <w:rFonts w:hint="eastAsia" w:asciiTheme="minorEastAsia" w:hAnsiTheme="minorEastAsia" w:cstheme="minorEastAsia"/>
                <w:b w:val="0"/>
                <w:bCs/>
                <w:lang w:val="en-US" w:eastAsia="zh-CN" w:bidi="ar-SA"/>
              </w:rPr>
              <w:t>公司所有风电机组均按照福建区域抗台风要求设计，投产十几年来未出现因台风导致的塔筒、叶片重大损伤等安全事故。台风对发电量的影响无法直接通过台风等级判断，取决于台风到达风场时的瞬时风速：当瞬时风速超过安全范围时，风机会锁机停机；在风速未达到停机阈值前，台风带来的大风会提升发电量，对业绩形成正面影响。从历史运行情况来看，大部分台风对公司海上及陆上风电为正面影响，可增加发电量。</w:t>
            </w:r>
          </w:p>
          <w:p w14:paraId="72C0B3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left="0" w:right="0"/>
              <w:jc w:val="left"/>
              <w:rPr>
                <w:rFonts w:hint="eastAsia" w:asciiTheme="minorEastAsia" w:hAnsiTheme="minorEastAsia" w:cstheme="minorEastAsia"/>
                <w:b w:val="0"/>
                <w:bCs/>
                <w:lang w:val="en-US" w:eastAsia="zh-CN" w:bidi="ar-SA"/>
              </w:rPr>
            </w:pPr>
          </w:p>
          <w:p w14:paraId="4A3785FF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问题五：</w:t>
            </w:r>
            <w:r>
              <w:rPr>
                <w:rFonts w:hint="eastAsia"/>
                <w:b/>
                <w:bCs/>
              </w:rPr>
              <w:t>公司应收账款特别是可再生能源补贴的回收情况如何？</w:t>
            </w:r>
          </w:p>
          <w:p w14:paraId="4F1C7063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回答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</w:rPr>
              <w:t>公司应收账款主要包含售电款、供热款及纺织业务应收账款，其中清洁能源补贴款占比较大，目前除已过补贴期的项目外，所有运营风电项目均享受补贴。今年新能源补贴整体到位情况正常，账期为2-3年，回款节奏符合国家财政部及电网的支付安排。</w:t>
            </w:r>
          </w:p>
          <w:p w14:paraId="2A1BE564">
            <w:pPr>
              <w:rPr>
                <w:rFonts w:hint="eastAsia"/>
              </w:rPr>
            </w:pPr>
          </w:p>
          <w:p w14:paraId="11105D42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问题六：</w:t>
            </w:r>
            <w:r>
              <w:rPr>
                <w:rFonts w:hint="eastAsia"/>
                <w:b/>
                <w:bCs/>
              </w:rPr>
              <w:t>公司2024-2026年的分红规划将到期，2027年及以后的分红政策如何安排？</w:t>
            </w:r>
          </w:p>
          <w:p w14:paraId="3BD677E8">
            <w:r>
              <w:rPr>
                <w:rFonts w:hint="eastAsia"/>
                <w:b/>
                <w:bCs/>
                <w:lang w:val="en-US" w:eastAsia="zh-CN"/>
              </w:rPr>
              <w:t>回答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</w:rPr>
              <w:t>公司2024-2026年的分红规划为每年现金分红不低于归母净利润的30%，2025年分红比例已提升至40%。后续制定分红回报规划时，将响应监管政策及资本市场投资者的分红需求，保证分红政策的稳定性。</w:t>
            </w:r>
          </w:p>
          <w:p w14:paraId="090C7511">
            <w:pPr>
              <w:rPr>
                <w:rFonts w:hint="eastAsia"/>
              </w:rPr>
            </w:pPr>
          </w:p>
          <w:p w14:paraId="7071A7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left="0" w:right="0"/>
              <w:jc w:val="left"/>
              <w:rPr>
                <w:rFonts w:hint="default" w:asciiTheme="minorEastAsia" w:hAnsiTheme="minorEastAsia" w:cstheme="minorEastAsia"/>
                <w:b w:val="0"/>
                <w:bCs/>
                <w:lang w:val="en-US" w:eastAsia="zh-CN" w:bidi="ar-SA"/>
              </w:rPr>
            </w:pPr>
          </w:p>
        </w:tc>
      </w:tr>
      <w:tr w14:paraId="1244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526" w:type="dxa"/>
            <w:vAlign w:val="center"/>
          </w:tcPr>
          <w:p w14:paraId="438DF44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附件清单</w:t>
            </w:r>
          </w:p>
        </w:tc>
        <w:tc>
          <w:tcPr>
            <w:tcW w:w="6996" w:type="dxa"/>
          </w:tcPr>
          <w:p w14:paraId="679DA80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无</w:t>
            </w:r>
          </w:p>
        </w:tc>
      </w:tr>
    </w:tbl>
    <w:p w14:paraId="364451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mYzI5YzJkYmM5OTNmMzRmOThkOGUyODg3ZDcyOTgifQ=="/>
  </w:docVars>
  <w:rsids>
    <w:rsidRoot w:val="00172A27"/>
    <w:rsid w:val="00016FCC"/>
    <w:rsid w:val="000306E9"/>
    <w:rsid w:val="000438FD"/>
    <w:rsid w:val="0006577C"/>
    <w:rsid w:val="00070B6F"/>
    <w:rsid w:val="00074610"/>
    <w:rsid w:val="000A44D6"/>
    <w:rsid w:val="000A4653"/>
    <w:rsid w:val="000B34B6"/>
    <w:rsid w:val="000B495D"/>
    <w:rsid w:val="000B4F58"/>
    <w:rsid w:val="000E5F4B"/>
    <w:rsid w:val="000F62FC"/>
    <w:rsid w:val="00115D5C"/>
    <w:rsid w:val="001209D3"/>
    <w:rsid w:val="00136112"/>
    <w:rsid w:val="00152A7D"/>
    <w:rsid w:val="00174255"/>
    <w:rsid w:val="0017543E"/>
    <w:rsid w:val="00191917"/>
    <w:rsid w:val="00193951"/>
    <w:rsid w:val="001A035D"/>
    <w:rsid w:val="001A1E47"/>
    <w:rsid w:val="001C0E90"/>
    <w:rsid w:val="001C41FA"/>
    <w:rsid w:val="001E2981"/>
    <w:rsid w:val="001F2076"/>
    <w:rsid w:val="001F3E95"/>
    <w:rsid w:val="00210F20"/>
    <w:rsid w:val="00221D9D"/>
    <w:rsid w:val="00222AC3"/>
    <w:rsid w:val="002324C0"/>
    <w:rsid w:val="00232E8C"/>
    <w:rsid w:val="002876C9"/>
    <w:rsid w:val="00290C2E"/>
    <w:rsid w:val="002A26DD"/>
    <w:rsid w:val="002A7EEB"/>
    <w:rsid w:val="002B32BB"/>
    <w:rsid w:val="002B56FA"/>
    <w:rsid w:val="002C4BC8"/>
    <w:rsid w:val="002C6716"/>
    <w:rsid w:val="002D4720"/>
    <w:rsid w:val="002F38F2"/>
    <w:rsid w:val="00302E63"/>
    <w:rsid w:val="00305C63"/>
    <w:rsid w:val="00323237"/>
    <w:rsid w:val="00325BD0"/>
    <w:rsid w:val="0033237B"/>
    <w:rsid w:val="00334348"/>
    <w:rsid w:val="00334C34"/>
    <w:rsid w:val="003404BC"/>
    <w:rsid w:val="00340D1B"/>
    <w:rsid w:val="0034390A"/>
    <w:rsid w:val="003456CE"/>
    <w:rsid w:val="00355883"/>
    <w:rsid w:val="003654E3"/>
    <w:rsid w:val="003679A2"/>
    <w:rsid w:val="00370D59"/>
    <w:rsid w:val="00371383"/>
    <w:rsid w:val="00375618"/>
    <w:rsid w:val="00383729"/>
    <w:rsid w:val="0038695D"/>
    <w:rsid w:val="00390AED"/>
    <w:rsid w:val="003A14D6"/>
    <w:rsid w:val="003C032B"/>
    <w:rsid w:val="003C33F5"/>
    <w:rsid w:val="003C5ED9"/>
    <w:rsid w:val="003D486C"/>
    <w:rsid w:val="003E325C"/>
    <w:rsid w:val="00400E17"/>
    <w:rsid w:val="00402AE4"/>
    <w:rsid w:val="004153E9"/>
    <w:rsid w:val="00430B52"/>
    <w:rsid w:val="00452C49"/>
    <w:rsid w:val="00455128"/>
    <w:rsid w:val="00471CAC"/>
    <w:rsid w:val="00475FFC"/>
    <w:rsid w:val="004801A3"/>
    <w:rsid w:val="00484BFB"/>
    <w:rsid w:val="004B767D"/>
    <w:rsid w:val="004C16AC"/>
    <w:rsid w:val="004F3C5F"/>
    <w:rsid w:val="004F3E4B"/>
    <w:rsid w:val="005007B4"/>
    <w:rsid w:val="00512B21"/>
    <w:rsid w:val="00534AED"/>
    <w:rsid w:val="00545713"/>
    <w:rsid w:val="005B033A"/>
    <w:rsid w:val="005B6F5F"/>
    <w:rsid w:val="005D3091"/>
    <w:rsid w:val="005E440E"/>
    <w:rsid w:val="005E6B64"/>
    <w:rsid w:val="005E721F"/>
    <w:rsid w:val="005E7346"/>
    <w:rsid w:val="005F2F15"/>
    <w:rsid w:val="00610A77"/>
    <w:rsid w:val="006454E4"/>
    <w:rsid w:val="00653282"/>
    <w:rsid w:val="00664F91"/>
    <w:rsid w:val="0067396B"/>
    <w:rsid w:val="00684374"/>
    <w:rsid w:val="00694FD5"/>
    <w:rsid w:val="006A33EF"/>
    <w:rsid w:val="006A3B79"/>
    <w:rsid w:val="006B0958"/>
    <w:rsid w:val="006C20A8"/>
    <w:rsid w:val="006E04F2"/>
    <w:rsid w:val="00712815"/>
    <w:rsid w:val="00716E64"/>
    <w:rsid w:val="007268D4"/>
    <w:rsid w:val="00733D9B"/>
    <w:rsid w:val="00735252"/>
    <w:rsid w:val="00743CBB"/>
    <w:rsid w:val="00766F9A"/>
    <w:rsid w:val="00771073"/>
    <w:rsid w:val="0077264D"/>
    <w:rsid w:val="007807CB"/>
    <w:rsid w:val="007909A5"/>
    <w:rsid w:val="007A5AC2"/>
    <w:rsid w:val="007B623C"/>
    <w:rsid w:val="007C508D"/>
    <w:rsid w:val="007C542C"/>
    <w:rsid w:val="007F38AA"/>
    <w:rsid w:val="00803C1E"/>
    <w:rsid w:val="00842BF7"/>
    <w:rsid w:val="008473EC"/>
    <w:rsid w:val="00866EF1"/>
    <w:rsid w:val="00873363"/>
    <w:rsid w:val="008905D5"/>
    <w:rsid w:val="00896F60"/>
    <w:rsid w:val="008B58AF"/>
    <w:rsid w:val="008C5161"/>
    <w:rsid w:val="008E581B"/>
    <w:rsid w:val="008F0565"/>
    <w:rsid w:val="008F39CC"/>
    <w:rsid w:val="00927601"/>
    <w:rsid w:val="00936868"/>
    <w:rsid w:val="00951C17"/>
    <w:rsid w:val="00984287"/>
    <w:rsid w:val="009A5CE7"/>
    <w:rsid w:val="009A61B6"/>
    <w:rsid w:val="009B477A"/>
    <w:rsid w:val="009B7937"/>
    <w:rsid w:val="009D62C8"/>
    <w:rsid w:val="009D6D51"/>
    <w:rsid w:val="009E09DF"/>
    <w:rsid w:val="00A135AA"/>
    <w:rsid w:val="00A52A5A"/>
    <w:rsid w:val="00A567E2"/>
    <w:rsid w:val="00A854B0"/>
    <w:rsid w:val="00A9555D"/>
    <w:rsid w:val="00AB3E44"/>
    <w:rsid w:val="00AB59C9"/>
    <w:rsid w:val="00AD294D"/>
    <w:rsid w:val="00AE0942"/>
    <w:rsid w:val="00B07467"/>
    <w:rsid w:val="00B1022E"/>
    <w:rsid w:val="00B102CF"/>
    <w:rsid w:val="00B22DF0"/>
    <w:rsid w:val="00B274C7"/>
    <w:rsid w:val="00B54E8C"/>
    <w:rsid w:val="00B5790F"/>
    <w:rsid w:val="00B77390"/>
    <w:rsid w:val="00B905F7"/>
    <w:rsid w:val="00B96153"/>
    <w:rsid w:val="00BA376C"/>
    <w:rsid w:val="00BB379D"/>
    <w:rsid w:val="00BB4E1F"/>
    <w:rsid w:val="00BC7CA1"/>
    <w:rsid w:val="00BD610A"/>
    <w:rsid w:val="00BF21DF"/>
    <w:rsid w:val="00BF4099"/>
    <w:rsid w:val="00C07B16"/>
    <w:rsid w:val="00C1009F"/>
    <w:rsid w:val="00C24290"/>
    <w:rsid w:val="00C30205"/>
    <w:rsid w:val="00C572D5"/>
    <w:rsid w:val="00C61041"/>
    <w:rsid w:val="00C75185"/>
    <w:rsid w:val="00C86E0B"/>
    <w:rsid w:val="00C96358"/>
    <w:rsid w:val="00C97ECA"/>
    <w:rsid w:val="00CE143C"/>
    <w:rsid w:val="00CE2966"/>
    <w:rsid w:val="00CF0280"/>
    <w:rsid w:val="00CF2FE8"/>
    <w:rsid w:val="00D03EE2"/>
    <w:rsid w:val="00D06A3D"/>
    <w:rsid w:val="00D168B8"/>
    <w:rsid w:val="00D30208"/>
    <w:rsid w:val="00D6704D"/>
    <w:rsid w:val="00D70742"/>
    <w:rsid w:val="00D71282"/>
    <w:rsid w:val="00D71F64"/>
    <w:rsid w:val="00D866B7"/>
    <w:rsid w:val="00DA0655"/>
    <w:rsid w:val="00DB0782"/>
    <w:rsid w:val="00DC20DE"/>
    <w:rsid w:val="00DD5BAD"/>
    <w:rsid w:val="00DF6C87"/>
    <w:rsid w:val="00E01495"/>
    <w:rsid w:val="00E01A8D"/>
    <w:rsid w:val="00E02B53"/>
    <w:rsid w:val="00E0311B"/>
    <w:rsid w:val="00E237FE"/>
    <w:rsid w:val="00E26FD9"/>
    <w:rsid w:val="00E27C8E"/>
    <w:rsid w:val="00E50FC8"/>
    <w:rsid w:val="00E51049"/>
    <w:rsid w:val="00E51AC9"/>
    <w:rsid w:val="00E671E9"/>
    <w:rsid w:val="00E76DDB"/>
    <w:rsid w:val="00E85BDF"/>
    <w:rsid w:val="00EA4C46"/>
    <w:rsid w:val="00EB1C2C"/>
    <w:rsid w:val="00EB1CC8"/>
    <w:rsid w:val="00EC25A7"/>
    <w:rsid w:val="00EC7BCF"/>
    <w:rsid w:val="00ED37B0"/>
    <w:rsid w:val="00EE67A3"/>
    <w:rsid w:val="00F14C2D"/>
    <w:rsid w:val="00F16829"/>
    <w:rsid w:val="00F2794C"/>
    <w:rsid w:val="00F409C0"/>
    <w:rsid w:val="00F60579"/>
    <w:rsid w:val="00F61C92"/>
    <w:rsid w:val="00F66EBB"/>
    <w:rsid w:val="00F7473C"/>
    <w:rsid w:val="00F843E1"/>
    <w:rsid w:val="00F84AB8"/>
    <w:rsid w:val="00F873EE"/>
    <w:rsid w:val="00F90621"/>
    <w:rsid w:val="00F91245"/>
    <w:rsid w:val="00FA33F2"/>
    <w:rsid w:val="00FA6DF5"/>
    <w:rsid w:val="00FB1CB7"/>
    <w:rsid w:val="00FC095C"/>
    <w:rsid w:val="00FE7EC9"/>
    <w:rsid w:val="00FF44E8"/>
    <w:rsid w:val="011E3CE2"/>
    <w:rsid w:val="01396FC5"/>
    <w:rsid w:val="0152440F"/>
    <w:rsid w:val="01BE37E3"/>
    <w:rsid w:val="020F775D"/>
    <w:rsid w:val="0287023E"/>
    <w:rsid w:val="02895B83"/>
    <w:rsid w:val="029D00B7"/>
    <w:rsid w:val="029D79D6"/>
    <w:rsid w:val="02CB1A8D"/>
    <w:rsid w:val="02F52F14"/>
    <w:rsid w:val="03185606"/>
    <w:rsid w:val="032C173A"/>
    <w:rsid w:val="0362649B"/>
    <w:rsid w:val="0389555F"/>
    <w:rsid w:val="04671920"/>
    <w:rsid w:val="04981874"/>
    <w:rsid w:val="050B6856"/>
    <w:rsid w:val="053F7FAA"/>
    <w:rsid w:val="055B3DBE"/>
    <w:rsid w:val="056E0120"/>
    <w:rsid w:val="059739CC"/>
    <w:rsid w:val="05D153AD"/>
    <w:rsid w:val="062030A3"/>
    <w:rsid w:val="063D49D4"/>
    <w:rsid w:val="065E7025"/>
    <w:rsid w:val="06696D6A"/>
    <w:rsid w:val="06B720FD"/>
    <w:rsid w:val="06C52CF5"/>
    <w:rsid w:val="06C86CE6"/>
    <w:rsid w:val="07A97A92"/>
    <w:rsid w:val="07BD680C"/>
    <w:rsid w:val="07EF5356"/>
    <w:rsid w:val="07F66B6A"/>
    <w:rsid w:val="07FA759A"/>
    <w:rsid w:val="08D2464C"/>
    <w:rsid w:val="08E37729"/>
    <w:rsid w:val="08E94098"/>
    <w:rsid w:val="09DE4B40"/>
    <w:rsid w:val="09F737DD"/>
    <w:rsid w:val="0A086F7F"/>
    <w:rsid w:val="0A3A7C79"/>
    <w:rsid w:val="0A4B3E6F"/>
    <w:rsid w:val="0ACF7E65"/>
    <w:rsid w:val="0B2E7FA6"/>
    <w:rsid w:val="0B32416D"/>
    <w:rsid w:val="0B3E1052"/>
    <w:rsid w:val="0BF53DF1"/>
    <w:rsid w:val="0BFE7F5D"/>
    <w:rsid w:val="0C0B0BDE"/>
    <w:rsid w:val="0C294841"/>
    <w:rsid w:val="0C2A3EAA"/>
    <w:rsid w:val="0CAA7C46"/>
    <w:rsid w:val="0CB82779"/>
    <w:rsid w:val="0CE83BB1"/>
    <w:rsid w:val="0D215745"/>
    <w:rsid w:val="0D31135E"/>
    <w:rsid w:val="0D672F77"/>
    <w:rsid w:val="0D7C3058"/>
    <w:rsid w:val="0DA94C89"/>
    <w:rsid w:val="0DB241E0"/>
    <w:rsid w:val="0DC36E57"/>
    <w:rsid w:val="0DCB05AE"/>
    <w:rsid w:val="0E354F73"/>
    <w:rsid w:val="0E766151"/>
    <w:rsid w:val="0E79471F"/>
    <w:rsid w:val="0F045689"/>
    <w:rsid w:val="0F2C1BD8"/>
    <w:rsid w:val="0F435911"/>
    <w:rsid w:val="0F6C4B52"/>
    <w:rsid w:val="0F844789"/>
    <w:rsid w:val="0F874AC2"/>
    <w:rsid w:val="0F9A73C4"/>
    <w:rsid w:val="0FAB268D"/>
    <w:rsid w:val="0FEB0ED0"/>
    <w:rsid w:val="0FF37525"/>
    <w:rsid w:val="10057926"/>
    <w:rsid w:val="101406D6"/>
    <w:rsid w:val="101917B2"/>
    <w:rsid w:val="101C7A12"/>
    <w:rsid w:val="10252E02"/>
    <w:rsid w:val="10327059"/>
    <w:rsid w:val="106A177D"/>
    <w:rsid w:val="10857F5A"/>
    <w:rsid w:val="1091155E"/>
    <w:rsid w:val="10F9390A"/>
    <w:rsid w:val="1138259B"/>
    <w:rsid w:val="11511AE4"/>
    <w:rsid w:val="11C72C9D"/>
    <w:rsid w:val="120C0DD7"/>
    <w:rsid w:val="126738C5"/>
    <w:rsid w:val="12A438F7"/>
    <w:rsid w:val="13291366"/>
    <w:rsid w:val="13752255"/>
    <w:rsid w:val="1379256F"/>
    <w:rsid w:val="137B5D66"/>
    <w:rsid w:val="13AF4E31"/>
    <w:rsid w:val="13D76B99"/>
    <w:rsid w:val="140B6C2F"/>
    <w:rsid w:val="145C7342"/>
    <w:rsid w:val="1474429F"/>
    <w:rsid w:val="150B4D43"/>
    <w:rsid w:val="15140734"/>
    <w:rsid w:val="152C01CB"/>
    <w:rsid w:val="152D213D"/>
    <w:rsid w:val="154B0F7B"/>
    <w:rsid w:val="15532095"/>
    <w:rsid w:val="155C275D"/>
    <w:rsid w:val="158C40BE"/>
    <w:rsid w:val="159E5255"/>
    <w:rsid w:val="15A041CF"/>
    <w:rsid w:val="15B931FE"/>
    <w:rsid w:val="15DA15E8"/>
    <w:rsid w:val="15E578A4"/>
    <w:rsid w:val="15EF2E80"/>
    <w:rsid w:val="160E2BC8"/>
    <w:rsid w:val="16671829"/>
    <w:rsid w:val="167F2380"/>
    <w:rsid w:val="168C2314"/>
    <w:rsid w:val="16B45672"/>
    <w:rsid w:val="170534D0"/>
    <w:rsid w:val="171F4B1F"/>
    <w:rsid w:val="17B95A26"/>
    <w:rsid w:val="18012021"/>
    <w:rsid w:val="18195A08"/>
    <w:rsid w:val="18253052"/>
    <w:rsid w:val="183A0EAE"/>
    <w:rsid w:val="184B2E10"/>
    <w:rsid w:val="185A0382"/>
    <w:rsid w:val="19166537"/>
    <w:rsid w:val="194B0F90"/>
    <w:rsid w:val="19D75CE1"/>
    <w:rsid w:val="1A6343BC"/>
    <w:rsid w:val="1A997EB4"/>
    <w:rsid w:val="1A9E15F3"/>
    <w:rsid w:val="1AF54F57"/>
    <w:rsid w:val="1B4E133A"/>
    <w:rsid w:val="1B5C7199"/>
    <w:rsid w:val="1B680A8B"/>
    <w:rsid w:val="1B94053C"/>
    <w:rsid w:val="1B946841"/>
    <w:rsid w:val="1BAC7E51"/>
    <w:rsid w:val="1BD003E1"/>
    <w:rsid w:val="1BF005F3"/>
    <w:rsid w:val="1C952F55"/>
    <w:rsid w:val="1CC32149"/>
    <w:rsid w:val="1D0F1AF9"/>
    <w:rsid w:val="1D2C6EBF"/>
    <w:rsid w:val="1EBB1585"/>
    <w:rsid w:val="1EC55E46"/>
    <w:rsid w:val="1ECE5F85"/>
    <w:rsid w:val="1F125588"/>
    <w:rsid w:val="1F341EFA"/>
    <w:rsid w:val="1F656523"/>
    <w:rsid w:val="1FE35AAA"/>
    <w:rsid w:val="201F35D9"/>
    <w:rsid w:val="206A7958"/>
    <w:rsid w:val="20910720"/>
    <w:rsid w:val="20B204C0"/>
    <w:rsid w:val="20C07D28"/>
    <w:rsid w:val="21213F0A"/>
    <w:rsid w:val="21645D25"/>
    <w:rsid w:val="21A335E2"/>
    <w:rsid w:val="21A3715D"/>
    <w:rsid w:val="21C87986"/>
    <w:rsid w:val="21F94F6D"/>
    <w:rsid w:val="22071255"/>
    <w:rsid w:val="220B4D63"/>
    <w:rsid w:val="221F7EA2"/>
    <w:rsid w:val="223F1EBC"/>
    <w:rsid w:val="228F458F"/>
    <w:rsid w:val="233D3B7D"/>
    <w:rsid w:val="23842C55"/>
    <w:rsid w:val="23E80E96"/>
    <w:rsid w:val="23E82CB5"/>
    <w:rsid w:val="240869D2"/>
    <w:rsid w:val="24596D0B"/>
    <w:rsid w:val="246D4187"/>
    <w:rsid w:val="2470775E"/>
    <w:rsid w:val="24C96930"/>
    <w:rsid w:val="254A4993"/>
    <w:rsid w:val="254F14EE"/>
    <w:rsid w:val="255D388E"/>
    <w:rsid w:val="25AD1D5E"/>
    <w:rsid w:val="262E77BB"/>
    <w:rsid w:val="26451A24"/>
    <w:rsid w:val="267A4E8A"/>
    <w:rsid w:val="267A6873"/>
    <w:rsid w:val="27820985"/>
    <w:rsid w:val="27825E16"/>
    <w:rsid w:val="27BB2519"/>
    <w:rsid w:val="27CB7B5F"/>
    <w:rsid w:val="28043D0B"/>
    <w:rsid w:val="283B6F42"/>
    <w:rsid w:val="286457AE"/>
    <w:rsid w:val="287732F1"/>
    <w:rsid w:val="28886072"/>
    <w:rsid w:val="28DD0202"/>
    <w:rsid w:val="292A2D31"/>
    <w:rsid w:val="295269B1"/>
    <w:rsid w:val="29C62290"/>
    <w:rsid w:val="29D34BD3"/>
    <w:rsid w:val="29F53D95"/>
    <w:rsid w:val="2A09330C"/>
    <w:rsid w:val="2A121F57"/>
    <w:rsid w:val="2A3C7F86"/>
    <w:rsid w:val="2A850567"/>
    <w:rsid w:val="2AA75275"/>
    <w:rsid w:val="2AEC43C3"/>
    <w:rsid w:val="2B0A10AB"/>
    <w:rsid w:val="2B1A15BE"/>
    <w:rsid w:val="2B1E03E8"/>
    <w:rsid w:val="2B28065B"/>
    <w:rsid w:val="2B2912DF"/>
    <w:rsid w:val="2B345EA8"/>
    <w:rsid w:val="2BAB4636"/>
    <w:rsid w:val="2BCC056B"/>
    <w:rsid w:val="2BF16AAC"/>
    <w:rsid w:val="2C124D72"/>
    <w:rsid w:val="2C3A32FB"/>
    <w:rsid w:val="2C7E6477"/>
    <w:rsid w:val="2C996714"/>
    <w:rsid w:val="2CB93512"/>
    <w:rsid w:val="2CC04780"/>
    <w:rsid w:val="2CE6351E"/>
    <w:rsid w:val="2D2C7729"/>
    <w:rsid w:val="2D2E5F18"/>
    <w:rsid w:val="2D9314C8"/>
    <w:rsid w:val="2DA6733E"/>
    <w:rsid w:val="2E201916"/>
    <w:rsid w:val="2EC40E47"/>
    <w:rsid w:val="2ED34D81"/>
    <w:rsid w:val="2ED4375B"/>
    <w:rsid w:val="2EDE6A17"/>
    <w:rsid w:val="2FC95DA8"/>
    <w:rsid w:val="2FE14ABD"/>
    <w:rsid w:val="302A2FF3"/>
    <w:rsid w:val="30817300"/>
    <w:rsid w:val="308C5300"/>
    <w:rsid w:val="30A811B7"/>
    <w:rsid w:val="30E879F4"/>
    <w:rsid w:val="30F26961"/>
    <w:rsid w:val="30FD6C89"/>
    <w:rsid w:val="311B38D8"/>
    <w:rsid w:val="31386712"/>
    <w:rsid w:val="314E70CC"/>
    <w:rsid w:val="31A74797"/>
    <w:rsid w:val="31A956E7"/>
    <w:rsid w:val="31EF7BF4"/>
    <w:rsid w:val="320B3DA6"/>
    <w:rsid w:val="32C835E0"/>
    <w:rsid w:val="32E562E2"/>
    <w:rsid w:val="332446FA"/>
    <w:rsid w:val="333C42C7"/>
    <w:rsid w:val="335E234B"/>
    <w:rsid w:val="3372360D"/>
    <w:rsid w:val="337E5CF1"/>
    <w:rsid w:val="33F70B6F"/>
    <w:rsid w:val="351C4D47"/>
    <w:rsid w:val="354C4260"/>
    <w:rsid w:val="356C3BFA"/>
    <w:rsid w:val="35C9034A"/>
    <w:rsid w:val="35E72828"/>
    <w:rsid w:val="35FE47E7"/>
    <w:rsid w:val="36374201"/>
    <w:rsid w:val="3664418D"/>
    <w:rsid w:val="36BA69C2"/>
    <w:rsid w:val="36F126AE"/>
    <w:rsid w:val="374C0DBF"/>
    <w:rsid w:val="3788740A"/>
    <w:rsid w:val="37C927F3"/>
    <w:rsid w:val="38145EF2"/>
    <w:rsid w:val="38903CF4"/>
    <w:rsid w:val="393676B9"/>
    <w:rsid w:val="39811BF1"/>
    <w:rsid w:val="39CA1B5F"/>
    <w:rsid w:val="39CD20D2"/>
    <w:rsid w:val="39EC6300"/>
    <w:rsid w:val="3A063355"/>
    <w:rsid w:val="3A8B5664"/>
    <w:rsid w:val="3AB67643"/>
    <w:rsid w:val="3AD16020"/>
    <w:rsid w:val="3AE40B0C"/>
    <w:rsid w:val="3AF95AE4"/>
    <w:rsid w:val="3B1043F4"/>
    <w:rsid w:val="3B1843DB"/>
    <w:rsid w:val="3B2050C1"/>
    <w:rsid w:val="3B4D3392"/>
    <w:rsid w:val="3B503743"/>
    <w:rsid w:val="3BF179D6"/>
    <w:rsid w:val="3C1C5D7F"/>
    <w:rsid w:val="3C2D1349"/>
    <w:rsid w:val="3D007FD8"/>
    <w:rsid w:val="3D2F1F65"/>
    <w:rsid w:val="3E2843E1"/>
    <w:rsid w:val="3E624FA1"/>
    <w:rsid w:val="3E674621"/>
    <w:rsid w:val="3EB50176"/>
    <w:rsid w:val="3EBE7A26"/>
    <w:rsid w:val="3ED25BE0"/>
    <w:rsid w:val="40217FC5"/>
    <w:rsid w:val="40764E14"/>
    <w:rsid w:val="408A49C4"/>
    <w:rsid w:val="40A54C40"/>
    <w:rsid w:val="413527CD"/>
    <w:rsid w:val="4147209D"/>
    <w:rsid w:val="41916F22"/>
    <w:rsid w:val="41AD51CD"/>
    <w:rsid w:val="41EF27EF"/>
    <w:rsid w:val="42723C83"/>
    <w:rsid w:val="43096C93"/>
    <w:rsid w:val="432F4E6E"/>
    <w:rsid w:val="433230D4"/>
    <w:rsid w:val="43455A21"/>
    <w:rsid w:val="43C57DBB"/>
    <w:rsid w:val="440D5BAC"/>
    <w:rsid w:val="4441173E"/>
    <w:rsid w:val="444B67A6"/>
    <w:rsid w:val="444D462E"/>
    <w:rsid w:val="4461577E"/>
    <w:rsid w:val="448226EE"/>
    <w:rsid w:val="44CB54E8"/>
    <w:rsid w:val="44D9502B"/>
    <w:rsid w:val="452F001A"/>
    <w:rsid w:val="454C647D"/>
    <w:rsid w:val="45547AB2"/>
    <w:rsid w:val="45727023"/>
    <w:rsid w:val="45E31208"/>
    <w:rsid w:val="460A3878"/>
    <w:rsid w:val="464104CB"/>
    <w:rsid w:val="46606277"/>
    <w:rsid w:val="46651F5F"/>
    <w:rsid w:val="46BD6B9F"/>
    <w:rsid w:val="46F36F97"/>
    <w:rsid w:val="4735425F"/>
    <w:rsid w:val="474C0B91"/>
    <w:rsid w:val="47790445"/>
    <w:rsid w:val="47887727"/>
    <w:rsid w:val="47FA5182"/>
    <w:rsid w:val="484B50AC"/>
    <w:rsid w:val="485F2909"/>
    <w:rsid w:val="48721906"/>
    <w:rsid w:val="499528B5"/>
    <w:rsid w:val="499A1626"/>
    <w:rsid w:val="4A0709A1"/>
    <w:rsid w:val="4A071A5B"/>
    <w:rsid w:val="4A30173F"/>
    <w:rsid w:val="4A4F2130"/>
    <w:rsid w:val="4AA56C18"/>
    <w:rsid w:val="4AAC43CF"/>
    <w:rsid w:val="4AE80107"/>
    <w:rsid w:val="4AEB3B5C"/>
    <w:rsid w:val="4B0A2683"/>
    <w:rsid w:val="4B696DDC"/>
    <w:rsid w:val="4BD239FB"/>
    <w:rsid w:val="4BDE07D8"/>
    <w:rsid w:val="4C680E35"/>
    <w:rsid w:val="4C702874"/>
    <w:rsid w:val="4CD315EA"/>
    <w:rsid w:val="4DBE27FF"/>
    <w:rsid w:val="4E3061F3"/>
    <w:rsid w:val="4E861663"/>
    <w:rsid w:val="4E865B2B"/>
    <w:rsid w:val="4E8A006A"/>
    <w:rsid w:val="4FA82EA2"/>
    <w:rsid w:val="5001610D"/>
    <w:rsid w:val="50250266"/>
    <w:rsid w:val="506D24B7"/>
    <w:rsid w:val="50960C50"/>
    <w:rsid w:val="50B87FD8"/>
    <w:rsid w:val="51B22873"/>
    <w:rsid w:val="51DD16D0"/>
    <w:rsid w:val="525144AC"/>
    <w:rsid w:val="526C22CF"/>
    <w:rsid w:val="526C75B6"/>
    <w:rsid w:val="531A23C7"/>
    <w:rsid w:val="532E1087"/>
    <w:rsid w:val="53497B76"/>
    <w:rsid w:val="53570DE1"/>
    <w:rsid w:val="53B21382"/>
    <w:rsid w:val="5452477C"/>
    <w:rsid w:val="54E9474B"/>
    <w:rsid w:val="55114067"/>
    <w:rsid w:val="55161DF7"/>
    <w:rsid w:val="552A1F7D"/>
    <w:rsid w:val="556D7E1E"/>
    <w:rsid w:val="556F40AC"/>
    <w:rsid w:val="55C2351F"/>
    <w:rsid w:val="561F63AA"/>
    <w:rsid w:val="564C5849"/>
    <w:rsid w:val="56864B3D"/>
    <w:rsid w:val="56F83CE7"/>
    <w:rsid w:val="57490590"/>
    <w:rsid w:val="574C4AD4"/>
    <w:rsid w:val="57B12A6A"/>
    <w:rsid w:val="57C26185"/>
    <w:rsid w:val="57CD29E0"/>
    <w:rsid w:val="58334F38"/>
    <w:rsid w:val="58B8298B"/>
    <w:rsid w:val="58ED49F0"/>
    <w:rsid w:val="59025913"/>
    <w:rsid w:val="59243B85"/>
    <w:rsid w:val="59367C57"/>
    <w:rsid w:val="59845E2D"/>
    <w:rsid w:val="59953383"/>
    <w:rsid w:val="59D65859"/>
    <w:rsid w:val="59D8468B"/>
    <w:rsid w:val="59DF5365"/>
    <w:rsid w:val="5A1046FC"/>
    <w:rsid w:val="5A4025A3"/>
    <w:rsid w:val="5AC43EE0"/>
    <w:rsid w:val="5AFB35B9"/>
    <w:rsid w:val="5B422917"/>
    <w:rsid w:val="5BA77661"/>
    <w:rsid w:val="5C08212B"/>
    <w:rsid w:val="5C2D561F"/>
    <w:rsid w:val="5CAD0A5B"/>
    <w:rsid w:val="5CDC6FE7"/>
    <w:rsid w:val="5CF32339"/>
    <w:rsid w:val="5D062897"/>
    <w:rsid w:val="5D475D49"/>
    <w:rsid w:val="5D49044E"/>
    <w:rsid w:val="5D9E5724"/>
    <w:rsid w:val="5E021137"/>
    <w:rsid w:val="5E094815"/>
    <w:rsid w:val="5E144B94"/>
    <w:rsid w:val="5EC374B7"/>
    <w:rsid w:val="5F375930"/>
    <w:rsid w:val="5F3A2DEE"/>
    <w:rsid w:val="5F4A6064"/>
    <w:rsid w:val="5F5273AD"/>
    <w:rsid w:val="5F6E7D87"/>
    <w:rsid w:val="5FA52F0E"/>
    <w:rsid w:val="5FB13ADD"/>
    <w:rsid w:val="5FF00BB6"/>
    <w:rsid w:val="5FFF6F3E"/>
    <w:rsid w:val="60203611"/>
    <w:rsid w:val="605F38FD"/>
    <w:rsid w:val="608C52D7"/>
    <w:rsid w:val="60C91D59"/>
    <w:rsid w:val="612705E8"/>
    <w:rsid w:val="615D4A53"/>
    <w:rsid w:val="61FA2F46"/>
    <w:rsid w:val="62063517"/>
    <w:rsid w:val="62CF55D8"/>
    <w:rsid w:val="63014E7B"/>
    <w:rsid w:val="635748F2"/>
    <w:rsid w:val="64217F14"/>
    <w:rsid w:val="644167EA"/>
    <w:rsid w:val="646621C4"/>
    <w:rsid w:val="647E242C"/>
    <w:rsid w:val="64CF2690"/>
    <w:rsid w:val="65353E0C"/>
    <w:rsid w:val="653B68C8"/>
    <w:rsid w:val="655452E6"/>
    <w:rsid w:val="65766426"/>
    <w:rsid w:val="65BF4B3B"/>
    <w:rsid w:val="662C465F"/>
    <w:rsid w:val="66E06673"/>
    <w:rsid w:val="67E95D87"/>
    <w:rsid w:val="6861018A"/>
    <w:rsid w:val="68A4401A"/>
    <w:rsid w:val="68B96F9E"/>
    <w:rsid w:val="68F51E51"/>
    <w:rsid w:val="68F5216F"/>
    <w:rsid w:val="695E3F96"/>
    <w:rsid w:val="69683798"/>
    <w:rsid w:val="699047BA"/>
    <w:rsid w:val="69A47B5D"/>
    <w:rsid w:val="69BE5CF3"/>
    <w:rsid w:val="69E2214E"/>
    <w:rsid w:val="6A066D86"/>
    <w:rsid w:val="6A3C6705"/>
    <w:rsid w:val="6A7C0666"/>
    <w:rsid w:val="6A882A0E"/>
    <w:rsid w:val="6AA453A4"/>
    <w:rsid w:val="6AD87793"/>
    <w:rsid w:val="6B420248"/>
    <w:rsid w:val="6BA64EEC"/>
    <w:rsid w:val="6BD53606"/>
    <w:rsid w:val="6C1921BE"/>
    <w:rsid w:val="6C3B63A3"/>
    <w:rsid w:val="6CEF01A4"/>
    <w:rsid w:val="6DE17967"/>
    <w:rsid w:val="6E110107"/>
    <w:rsid w:val="6E7F6AD7"/>
    <w:rsid w:val="6E9F770E"/>
    <w:rsid w:val="6EDD3ADB"/>
    <w:rsid w:val="6F0B5C04"/>
    <w:rsid w:val="6F125776"/>
    <w:rsid w:val="6F4A1D7D"/>
    <w:rsid w:val="6F997223"/>
    <w:rsid w:val="6FBE2C9F"/>
    <w:rsid w:val="700202CD"/>
    <w:rsid w:val="701801D5"/>
    <w:rsid w:val="702D126F"/>
    <w:rsid w:val="7053467D"/>
    <w:rsid w:val="70561CC8"/>
    <w:rsid w:val="705F156B"/>
    <w:rsid w:val="708751AD"/>
    <w:rsid w:val="708E59F1"/>
    <w:rsid w:val="70AC6D4B"/>
    <w:rsid w:val="70B43936"/>
    <w:rsid w:val="70E44695"/>
    <w:rsid w:val="710F0089"/>
    <w:rsid w:val="715458B2"/>
    <w:rsid w:val="71934558"/>
    <w:rsid w:val="719937C8"/>
    <w:rsid w:val="71B17D35"/>
    <w:rsid w:val="720679A6"/>
    <w:rsid w:val="72194A0A"/>
    <w:rsid w:val="727F4828"/>
    <w:rsid w:val="729533D4"/>
    <w:rsid w:val="72991164"/>
    <w:rsid w:val="72B12962"/>
    <w:rsid w:val="73024C4D"/>
    <w:rsid w:val="73483C97"/>
    <w:rsid w:val="73825547"/>
    <w:rsid w:val="73D10803"/>
    <w:rsid w:val="73F43045"/>
    <w:rsid w:val="74590BBC"/>
    <w:rsid w:val="748E1A90"/>
    <w:rsid w:val="74A96B03"/>
    <w:rsid w:val="752F2B18"/>
    <w:rsid w:val="75976F83"/>
    <w:rsid w:val="75B57633"/>
    <w:rsid w:val="75DE53C9"/>
    <w:rsid w:val="763F4816"/>
    <w:rsid w:val="7648159B"/>
    <w:rsid w:val="764D4EA7"/>
    <w:rsid w:val="76694B84"/>
    <w:rsid w:val="76820CB9"/>
    <w:rsid w:val="770F6713"/>
    <w:rsid w:val="771262A4"/>
    <w:rsid w:val="7718481B"/>
    <w:rsid w:val="778A59CD"/>
    <w:rsid w:val="77F16E7A"/>
    <w:rsid w:val="78316439"/>
    <w:rsid w:val="78580E48"/>
    <w:rsid w:val="786B0E72"/>
    <w:rsid w:val="78A943EA"/>
    <w:rsid w:val="78AA6175"/>
    <w:rsid w:val="78D7359B"/>
    <w:rsid w:val="78F05DE6"/>
    <w:rsid w:val="78FB5E61"/>
    <w:rsid w:val="790962BC"/>
    <w:rsid w:val="792B5EE9"/>
    <w:rsid w:val="79394492"/>
    <w:rsid w:val="79683B8C"/>
    <w:rsid w:val="798A73E3"/>
    <w:rsid w:val="79972077"/>
    <w:rsid w:val="79CA4DDF"/>
    <w:rsid w:val="7A0325B8"/>
    <w:rsid w:val="7A740EAD"/>
    <w:rsid w:val="7A91680B"/>
    <w:rsid w:val="7A9458AC"/>
    <w:rsid w:val="7ABA46FF"/>
    <w:rsid w:val="7ADA68B8"/>
    <w:rsid w:val="7AEC6D64"/>
    <w:rsid w:val="7B101619"/>
    <w:rsid w:val="7B3304EA"/>
    <w:rsid w:val="7B556765"/>
    <w:rsid w:val="7B684EE3"/>
    <w:rsid w:val="7B712AA8"/>
    <w:rsid w:val="7BB11965"/>
    <w:rsid w:val="7BE63222"/>
    <w:rsid w:val="7CB0449F"/>
    <w:rsid w:val="7D0D5AB6"/>
    <w:rsid w:val="7D2045E1"/>
    <w:rsid w:val="7D7654E6"/>
    <w:rsid w:val="7DB00C5F"/>
    <w:rsid w:val="7DBF74FD"/>
    <w:rsid w:val="7DCD605E"/>
    <w:rsid w:val="7DE75F8D"/>
    <w:rsid w:val="7E0A4C7D"/>
    <w:rsid w:val="7E523EE3"/>
    <w:rsid w:val="7EA52B98"/>
    <w:rsid w:val="7EB36D27"/>
    <w:rsid w:val="7EBA2CC8"/>
    <w:rsid w:val="7F370876"/>
    <w:rsid w:val="7F4E05E5"/>
    <w:rsid w:val="7F8E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7">
    <w:name w:val="批注文字 Char"/>
    <w:basedOn w:val="11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Char"/>
    <w:basedOn w:val="17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9">
    <w:name w:val="批注框文本 Char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 Normal"/>
    <w:unhideWhenUsed/>
    <w:qFormat/>
    <w:uiPriority w:val="99"/>
    <w:pPr>
      <w:autoSpaceDE w:val="0"/>
      <w:autoSpaceDN w:val="0"/>
      <w:adjustRightInd w:val="0"/>
      <w:spacing w:beforeLines="0" w:afterLines="0"/>
      <w:jc w:val="both"/>
    </w:pPr>
    <w:rPr>
      <w:rFonts w:hint="default" w:ascii="Calibri" w:hAnsi="Times New Roman" w:eastAsia="宋体" w:cs="Calibri"/>
      <w:sz w:val="21"/>
      <w:szCs w:val="22"/>
      <w:lang w:val="en-US" w:eastAsia="ar-SA"/>
    </w:rPr>
  </w:style>
  <w:style w:type="paragraph" w:customStyle="1" w:styleId="21">
    <w:name w:val=" Heading 1"/>
    <w:basedOn w:val="20"/>
    <w:link w:val="35"/>
    <w:unhideWhenUsed/>
    <w:qFormat/>
    <w:uiPriority w:val="99"/>
    <w:pPr>
      <w:spacing w:before="180" w:beforeLines="0" w:afterLines="0"/>
      <w:outlineLvl w:val="0"/>
    </w:pPr>
    <w:rPr>
      <w:rFonts w:hint="default" w:ascii="Calibri Light" w:cs="Calibri Light"/>
      <w:color w:val="2F5496"/>
      <w:sz w:val="24"/>
      <w:szCs w:val="22"/>
    </w:rPr>
  </w:style>
  <w:style w:type="paragraph" w:customStyle="1" w:styleId="22">
    <w:name w:val=" Heading 2"/>
    <w:basedOn w:val="20"/>
    <w:link w:val="36"/>
    <w:unhideWhenUsed/>
    <w:qFormat/>
    <w:uiPriority w:val="99"/>
    <w:pPr>
      <w:spacing w:before="30" w:beforeLines="0" w:afterLines="0"/>
      <w:jc w:val="left"/>
      <w:outlineLvl w:val="1"/>
    </w:pPr>
    <w:rPr>
      <w:rFonts w:hint="default" w:ascii="Calibri Light" w:cs="Calibri Light"/>
      <w:color w:val="2F5496"/>
      <w:sz w:val="20"/>
      <w:szCs w:val="22"/>
    </w:rPr>
  </w:style>
  <w:style w:type="paragraph" w:customStyle="1" w:styleId="23">
    <w:name w:val=" Heading 3"/>
    <w:basedOn w:val="20"/>
    <w:link w:val="37"/>
    <w:unhideWhenUsed/>
    <w:qFormat/>
    <w:uiPriority w:val="99"/>
    <w:pPr>
      <w:spacing w:before="30" w:beforeLines="0" w:afterLines="0"/>
      <w:jc w:val="left"/>
      <w:outlineLvl w:val="2"/>
    </w:pPr>
    <w:rPr>
      <w:rFonts w:hint="default" w:ascii="Calibri Light" w:cs="Calibri Light"/>
      <w:color w:val="1F3763"/>
      <w:sz w:val="18"/>
      <w:szCs w:val="22"/>
    </w:rPr>
  </w:style>
  <w:style w:type="paragraph" w:customStyle="1" w:styleId="24">
    <w:name w:val=" Heading 4"/>
    <w:basedOn w:val="20"/>
    <w:link w:val="38"/>
    <w:unhideWhenUsed/>
    <w:qFormat/>
    <w:uiPriority w:val="99"/>
    <w:pPr>
      <w:spacing w:before="30" w:beforeLines="0" w:afterLines="0"/>
      <w:jc w:val="left"/>
      <w:outlineLvl w:val="3"/>
    </w:pPr>
    <w:rPr>
      <w:rFonts w:hint="default" w:ascii="Calibri Light" w:cs="Calibri Light"/>
      <w:i/>
      <w:color w:val="2F5496"/>
      <w:sz w:val="18"/>
      <w:szCs w:val="22"/>
    </w:rPr>
  </w:style>
  <w:style w:type="paragraph" w:customStyle="1" w:styleId="25">
    <w:name w:val=" Heading 5"/>
    <w:basedOn w:val="20"/>
    <w:link w:val="39"/>
    <w:unhideWhenUsed/>
    <w:qFormat/>
    <w:uiPriority w:val="99"/>
    <w:pPr>
      <w:spacing w:before="30" w:beforeLines="0" w:afterLines="0"/>
      <w:jc w:val="left"/>
      <w:outlineLvl w:val="4"/>
    </w:pPr>
    <w:rPr>
      <w:rFonts w:hint="default" w:ascii="Calibri Light" w:cs="Calibri Light"/>
      <w:color w:val="2F5496"/>
      <w:sz w:val="18"/>
      <w:szCs w:val="22"/>
    </w:rPr>
  </w:style>
  <w:style w:type="paragraph" w:customStyle="1" w:styleId="26">
    <w:name w:val=" Heading 6"/>
    <w:basedOn w:val="20"/>
    <w:link w:val="40"/>
    <w:unhideWhenUsed/>
    <w:qFormat/>
    <w:uiPriority w:val="99"/>
    <w:pPr>
      <w:spacing w:before="30" w:beforeLines="0" w:afterLines="0"/>
      <w:jc w:val="left"/>
      <w:outlineLvl w:val="5"/>
    </w:pPr>
    <w:rPr>
      <w:rFonts w:hint="default" w:ascii="Calibri Light" w:cs="Calibri Light"/>
      <w:color w:val="2F5496"/>
      <w:sz w:val="18"/>
      <w:szCs w:val="22"/>
    </w:rPr>
  </w:style>
  <w:style w:type="paragraph" w:customStyle="1" w:styleId="27">
    <w:name w:val=" annotation text"/>
    <w:basedOn w:val="20"/>
    <w:unhideWhenUsed/>
    <w:qFormat/>
    <w:uiPriority w:val="99"/>
    <w:pPr>
      <w:spacing w:beforeLines="0" w:afterLines="0"/>
      <w:jc w:val="left"/>
    </w:pPr>
    <w:rPr>
      <w:rFonts w:hint="default"/>
      <w:sz w:val="21"/>
      <w:szCs w:val="22"/>
    </w:rPr>
  </w:style>
  <w:style w:type="paragraph" w:customStyle="1" w:styleId="28">
    <w:name w:val=" Balloon Text"/>
    <w:basedOn w:val="20"/>
    <w:unhideWhenUsed/>
    <w:qFormat/>
    <w:uiPriority w:val="99"/>
    <w:pPr>
      <w:spacing w:beforeLines="0" w:afterLines="0"/>
    </w:pPr>
    <w:rPr>
      <w:rFonts w:hint="default"/>
      <w:sz w:val="18"/>
      <w:szCs w:val="18"/>
    </w:rPr>
  </w:style>
  <w:style w:type="paragraph" w:customStyle="1" w:styleId="29">
    <w:name w:val=" Footer"/>
    <w:basedOn w:val="20"/>
    <w:unhideWhenUsed/>
    <w:qFormat/>
    <w:uiPriority w:val="99"/>
    <w:pPr>
      <w:spacing w:beforeLines="0" w:afterLines="0"/>
      <w:jc w:val="left"/>
    </w:pPr>
    <w:rPr>
      <w:rFonts w:hint="default"/>
      <w:sz w:val="18"/>
      <w:szCs w:val="18"/>
    </w:rPr>
  </w:style>
  <w:style w:type="paragraph" w:customStyle="1" w:styleId="30">
    <w:name w:val=" Header"/>
    <w:basedOn w:val="20"/>
    <w:unhideWhenUsed/>
    <w:qFormat/>
    <w:uiPriority w:val="99"/>
    <w:pPr>
      <w:pBdr>
        <w:bottom w:val="single" w:color="000000" w:sz="6" w:space="1"/>
      </w:pBdr>
      <w:spacing w:beforeLines="0" w:afterLines="0"/>
      <w:jc w:val="center"/>
    </w:pPr>
    <w:rPr>
      <w:rFonts w:hint="default"/>
      <w:sz w:val="18"/>
      <w:szCs w:val="18"/>
    </w:rPr>
  </w:style>
  <w:style w:type="paragraph" w:customStyle="1" w:styleId="31">
    <w:name w:val=" Normal (Web)"/>
    <w:basedOn w:val="20"/>
    <w:unhideWhenUsed/>
    <w:qFormat/>
    <w:uiPriority w:val="99"/>
    <w:pPr>
      <w:spacing w:beforeLines="0" w:afterLines="0"/>
      <w:jc w:val="left"/>
    </w:pPr>
    <w:rPr>
      <w:rFonts w:hint="default"/>
      <w:sz w:val="24"/>
      <w:szCs w:val="22"/>
    </w:rPr>
  </w:style>
  <w:style w:type="paragraph" w:customStyle="1" w:styleId="32">
    <w:name w:val=" annotation subject"/>
    <w:basedOn w:val="27"/>
    <w:unhideWhenUsed/>
    <w:qFormat/>
    <w:uiPriority w:val="99"/>
    <w:pPr>
      <w:spacing w:beforeLines="0" w:afterLines="0"/>
    </w:pPr>
    <w:rPr>
      <w:rFonts w:hint="default"/>
      <w:b/>
      <w:sz w:val="21"/>
      <w:szCs w:val="22"/>
    </w:rPr>
  </w:style>
  <w:style w:type="paragraph" w:customStyle="1" w:styleId="33">
    <w:name w:val=" List Paragraph"/>
    <w:basedOn w:val="20"/>
    <w:unhideWhenUsed/>
    <w:qFormat/>
    <w:uiPriority w:val="99"/>
    <w:pPr>
      <w:spacing w:beforeLines="0" w:afterLines="0"/>
      <w:ind w:firstLine="420"/>
    </w:pPr>
    <w:rPr>
      <w:rFonts w:hint="default"/>
      <w:sz w:val="21"/>
      <w:szCs w:val="22"/>
    </w:rPr>
  </w:style>
  <w:style w:type="character" w:customStyle="1" w:styleId="34">
    <w:name w:val=" Default Paragraph Font"/>
    <w:unhideWhenUsed/>
    <w:qFormat/>
    <w:uiPriority w:val="99"/>
    <w:rPr>
      <w:rFonts w:hint="default" w:ascii="Times New Roman" w:cs="Times New Roman"/>
      <w:sz w:val="24"/>
      <w:szCs w:val="24"/>
      <w:lang w:val="en-US"/>
    </w:rPr>
  </w:style>
  <w:style w:type="character" w:customStyle="1" w:styleId="35">
    <w:name w:val=" Heading 1 Char"/>
    <w:basedOn w:val="34"/>
    <w:link w:val="21"/>
    <w:unhideWhenUsed/>
    <w:qFormat/>
    <w:uiPriority w:val="99"/>
    <w:rPr>
      <w:rFonts w:hint="default" w:ascii="Calibri Light" w:cs="Calibri Light"/>
      <w:color w:val="2F5496"/>
      <w:sz w:val="24"/>
      <w:szCs w:val="20"/>
    </w:rPr>
  </w:style>
  <w:style w:type="character" w:customStyle="1" w:styleId="36">
    <w:name w:val=" Heading 2 Char"/>
    <w:basedOn w:val="34"/>
    <w:link w:val="22"/>
    <w:unhideWhenUsed/>
    <w:qFormat/>
    <w:uiPriority w:val="99"/>
    <w:rPr>
      <w:rFonts w:hint="default" w:ascii="Calibri Light" w:cs="Calibri Light"/>
      <w:color w:val="2F5496"/>
      <w:sz w:val="20"/>
      <w:szCs w:val="20"/>
    </w:rPr>
  </w:style>
  <w:style w:type="character" w:customStyle="1" w:styleId="37">
    <w:name w:val=" Heading 3 Char"/>
    <w:basedOn w:val="34"/>
    <w:link w:val="23"/>
    <w:unhideWhenUsed/>
    <w:qFormat/>
    <w:uiPriority w:val="99"/>
    <w:rPr>
      <w:rFonts w:hint="default" w:ascii="Calibri Light" w:cs="Calibri Light"/>
      <w:color w:val="1F3763"/>
      <w:sz w:val="18"/>
      <w:szCs w:val="20"/>
    </w:rPr>
  </w:style>
  <w:style w:type="character" w:customStyle="1" w:styleId="38">
    <w:name w:val=" Heading 4 Char"/>
    <w:basedOn w:val="34"/>
    <w:link w:val="24"/>
    <w:unhideWhenUsed/>
    <w:qFormat/>
    <w:uiPriority w:val="99"/>
    <w:rPr>
      <w:rFonts w:hint="default" w:ascii="Calibri Light" w:cs="Calibri Light"/>
      <w:i/>
      <w:color w:val="2F5496"/>
      <w:sz w:val="18"/>
      <w:szCs w:val="20"/>
    </w:rPr>
  </w:style>
  <w:style w:type="character" w:customStyle="1" w:styleId="39">
    <w:name w:val=" Heading 5 Char"/>
    <w:basedOn w:val="34"/>
    <w:link w:val="25"/>
    <w:unhideWhenUsed/>
    <w:qFormat/>
    <w:uiPriority w:val="99"/>
    <w:rPr>
      <w:rFonts w:hint="default" w:ascii="Calibri Light" w:cs="Calibri Light"/>
      <w:color w:val="2F5496"/>
      <w:sz w:val="18"/>
      <w:szCs w:val="20"/>
    </w:rPr>
  </w:style>
  <w:style w:type="character" w:customStyle="1" w:styleId="40">
    <w:name w:val=" Heading 6 Char"/>
    <w:basedOn w:val="34"/>
    <w:link w:val="26"/>
    <w:unhideWhenUsed/>
    <w:qFormat/>
    <w:uiPriority w:val="99"/>
    <w:rPr>
      <w:rFonts w:hint="default" w:ascii="Calibri Light" w:cs="Calibri Light"/>
      <w:color w:val="1F3763"/>
      <w:sz w:val="18"/>
      <w:szCs w:val="20"/>
    </w:rPr>
  </w:style>
  <w:style w:type="character" w:customStyle="1" w:styleId="41">
    <w:name w:val=" Hyperlink"/>
    <w:basedOn w:val="34"/>
    <w:unhideWhenUsed/>
    <w:qFormat/>
    <w:uiPriority w:val="99"/>
    <w:rPr>
      <w:rFonts w:hint="default"/>
      <w:color w:val="0000FF"/>
      <w:sz w:val="24"/>
      <w:szCs w:val="24"/>
      <w:u w:val="single"/>
    </w:rPr>
  </w:style>
  <w:style w:type="character" w:customStyle="1" w:styleId="42">
    <w:name w:val=" annotation reference"/>
    <w:basedOn w:val="34"/>
    <w:unhideWhenUsed/>
    <w:qFormat/>
    <w:uiPriority w:val="99"/>
    <w:rPr>
      <w:rFonts w:hint="default"/>
      <w:sz w:val="21"/>
      <w:szCs w:val="21"/>
    </w:rPr>
  </w:style>
  <w:style w:type="character" w:customStyle="1" w:styleId="43">
    <w:name w:val=" 页眉 Char"/>
    <w:basedOn w:val="34"/>
    <w:unhideWhenUsed/>
    <w:qFormat/>
    <w:uiPriority w:val="99"/>
    <w:rPr>
      <w:rFonts w:hint="default"/>
      <w:sz w:val="18"/>
      <w:szCs w:val="18"/>
    </w:rPr>
  </w:style>
  <w:style w:type="character" w:customStyle="1" w:styleId="44">
    <w:name w:val=" 页脚 Char"/>
    <w:basedOn w:val="34"/>
    <w:unhideWhenUsed/>
    <w:qFormat/>
    <w:uiPriority w:val="99"/>
    <w:rPr>
      <w:rFonts w:hint="default"/>
      <w:sz w:val="18"/>
      <w:szCs w:val="18"/>
    </w:rPr>
  </w:style>
  <w:style w:type="character" w:customStyle="1" w:styleId="45">
    <w:name w:val=" 批注文字 Char"/>
    <w:basedOn w:val="34"/>
    <w:unhideWhenUsed/>
    <w:qFormat/>
    <w:uiPriority w:val="99"/>
    <w:rPr>
      <w:rFonts w:hint="default" w:ascii="Calibri" w:cs="Calibri"/>
      <w:sz w:val="21"/>
      <w:szCs w:val="22"/>
    </w:rPr>
  </w:style>
  <w:style w:type="character" w:customStyle="1" w:styleId="46">
    <w:name w:val=" 批注主题 Char"/>
    <w:basedOn w:val="45"/>
    <w:unhideWhenUsed/>
    <w:qFormat/>
    <w:uiPriority w:val="99"/>
    <w:rPr>
      <w:rFonts w:hint="default"/>
      <w:b/>
      <w:sz w:val="21"/>
      <w:szCs w:val="22"/>
    </w:rPr>
  </w:style>
  <w:style w:type="character" w:customStyle="1" w:styleId="47">
    <w:name w:val=" 批注框文本 Char"/>
    <w:basedOn w:val="34"/>
    <w:unhideWhenUsed/>
    <w:qFormat/>
    <w:uiPriority w:val="99"/>
    <w:rPr>
      <w:rFonts w:hint="default" w:asci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1145</Words>
  <Characters>1186</Characters>
  <Lines>1</Lines>
  <Paragraphs>1</Paragraphs>
  <TotalTime>1</TotalTime>
  <ScaleCrop>false</ScaleCrop>
  <LinksUpToDate>false</LinksUpToDate>
  <CharactersWithSpaces>1257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2025-09-08T10:25:00Z</dcterms:created>
  <dc:creator>Administrator</dc:creator>
  <cp:lastModifiedBy>蔡伟</cp:lastModifiedBy>
  <cp:lastPrinted>2025-11-12T08:28:00Z</cp:lastPrinted>
  <dcterms:modified xsi:type="dcterms:W3CDTF">2026-09-03T08:54:34Z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F4DCA255AC284858A63C2241C8CF4509_13</vt:lpwstr>
  </property>
  <property fmtid="{D5CDD505-2E9C-101B-9397-08002B2CF9AE}" pid="4" name="KSOTemplateDocerSaveRecord">
    <vt:lpwstr>eyJoZGlkIjoiZWE4MTNhOWMzNDU2ZDRiYzlmNTg1NGE5NWE0ZmE2ZDEiLCJ1c2VySWQiOiI0NDE3MDI2NzcifQ==</vt:lpwstr>
  </property>
</Properties>
</file>