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DCF4" w14:textId="716BDD2C" w:rsidR="004F5317" w:rsidRDefault="00000000">
      <w:pPr>
        <w:spacing w:beforeLines="50" w:before="156" w:afterLines="50" w:after="156" w:line="400" w:lineRule="exact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600717                      </w:t>
      </w:r>
      <w:r w:rsidR="00A54D73">
        <w:rPr>
          <w:rFonts w:hint="eastAsia"/>
          <w:color w:val="000000"/>
          <w:sz w:val="24"/>
        </w:rPr>
        <w:t xml:space="preserve">      </w:t>
      </w:r>
      <w:r>
        <w:rPr>
          <w:color w:val="000000"/>
          <w:sz w:val="24"/>
        </w:rPr>
        <w:t xml:space="preserve">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天津港</w:t>
      </w:r>
    </w:p>
    <w:p w14:paraId="3A976FF5" w14:textId="77777777" w:rsidR="004F5317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天津港股份有限公司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4F5317" w14:paraId="0ADD9AE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524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11B3F2D6" w14:textId="77777777" w:rsidR="004F5317" w:rsidRDefault="004F5317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FDA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7007EC4D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7B014B91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7BBCF4C8" w14:textId="77777777" w:rsidR="004F5317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1B078748" w14:textId="77777777" w:rsidR="004F5317" w:rsidRDefault="00000000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:rsidR="004F5317" w14:paraId="7981E850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0F7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5B65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 w:rsidR="004F5317" w14:paraId="21B675F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EDD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9A0C" w14:textId="708AD870" w:rsidR="004F5317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bCs/>
                <w:iCs/>
                <w:color w:val="000000"/>
                <w:sz w:val="24"/>
              </w:rPr>
              <w:t>9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bCs/>
                <w:iCs/>
                <w:color w:val="000000"/>
                <w:sz w:val="24"/>
              </w:rPr>
              <w:t>3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(</w:t>
            </w:r>
            <w:r>
              <w:rPr>
                <w:bCs/>
                <w:iCs/>
                <w:color w:val="000000"/>
                <w:sz w:val="24"/>
              </w:rPr>
              <w:t>周四</w:t>
            </w:r>
            <w:r>
              <w:rPr>
                <w:bCs/>
                <w:iCs/>
                <w:color w:val="000000"/>
                <w:sz w:val="24"/>
              </w:rPr>
              <w:t xml:space="preserve">) </w:t>
            </w:r>
            <w:r>
              <w:rPr>
                <w:bCs/>
                <w:iCs/>
                <w:color w:val="000000"/>
                <w:sz w:val="24"/>
              </w:rPr>
              <w:t>下午</w:t>
            </w:r>
            <w:r>
              <w:rPr>
                <w:bCs/>
                <w:iCs/>
                <w:color w:val="000000"/>
                <w:sz w:val="24"/>
              </w:rPr>
              <w:t xml:space="preserve"> 1</w:t>
            </w:r>
            <w:r w:rsidR="009929C6">
              <w:rPr>
                <w:rFonts w:hint="eastAsia"/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:</w:t>
            </w:r>
            <w:r w:rsidR="009929C6"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>
              <w:rPr>
                <w:bCs/>
                <w:iCs/>
                <w:color w:val="000000"/>
                <w:sz w:val="24"/>
              </w:rPr>
              <w:t>0~17:00</w:t>
            </w:r>
          </w:p>
        </w:tc>
      </w:tr>
      <w:tr w:rsidR="004F5317" w14:paraId="1873DFEF" w14:textId="77777777" w:rsidTr="00D91C80">
        <w:trPr>
          <w:trHeight w:val="99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094C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BE2" w14:textId="7F0ADFD4" w:rsidR="004F5317" w:rsidRDefault="00D91C8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“</w:t>
            </w:r>
            <w:r>
              <w:rPr>
                <w:rFonts w:ascii="宋体" w:hAnsi="宋体" w:hint="eastAsia"/>
                <w:bCs/>
                <w:sz w:val="24"/>
              </w:rPr>
              <w:t>全景路演”网站（http</w:t>
            </w:r>
            <w:r>
              <w:rPr>
                <w:rFonts w:ascii="宋体" w:hAnsi="宋体"/>
                <w:bCs/>
                <w:sz w:val="24"/>
              </w:rPr>
              <w:t>s</w:t>
            </w:r>
            <w:r>
              <w:rPr>
                <w:rFonts w:ascii="宋体" w:hAnsi="宋体" w:hint="eastAsia"/>
                <w:bCs/>
                <w:sz w:val="24"/>
              </w:rPr>
              <w:t>://ir.p5w.net）</w:t>
            </w:r>
          </w:p>
        </w:tc>
      </w:tr>
      <w:tr w:rsidR="004F5317" w14:paraId="16B5E852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DB4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DFFA" w14:textId="77777777" w:rsidR="004F5317" w:rsidRDefault="00000000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1、公司总裁运波</w:t>
            </w:r>
          </w:p>
          <w:p w14:paraId="50C54EA3" w14:textId="77777777" w:rsidR="004F5317" w:rsidRDefault="00000000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2、公司财务负责人、董秘方胜</w:t>
            </w:r>
          </w:p>
          <w:p w14:paraId="3C66B4BB" w14:textId="77777777" w:rsidR="004F5317" w:rsidRDefault="00000000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3、公司独立董事张玉利</w:t>
            </w:r>
          </w:p>
          <w:p w14:paraId="4B304AE4" w14:textId="77777777" w:rsidR="004F5317" w:rsidRDefault="00000000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4、公司独立董事曹强</w:t>
            </w:r>
          </w:p>
        </w:tc>
      </w:tr>
      <w:tr w:rsidR="004F5317" w14:paraId="43518690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3CF2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609501BA" w14:textId="77777777" w:rsidR="004F5317" w:rsidRDefault="004F5317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3966" w14:textId="20174152" w:rsidR="004F5317" w:rsidRDefault="00000000">
            <w:pPr>
              <w:spacing w:beforeLines="50" w:before="156" w:line="460" w:lineRule="exact"/>
              <w:ind w:firstLineChars="249" w:firstLine="60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投资者提出的问题及公司回复情况</w:t>
            </w:r>
            <w:r w:rsidR="00D91C80">
              <w:rPr>
                <w:rFonts w:ascii="宋体" w:hAnsi="宋体" w:hint="eastAsia"/>
                <w:b/>
                <w:sz w:val="24"/>
              </w:rPr>
              <w:t>：</w:t>
            </w:r>
          </w:p>
          <w:p w14:paraId="1F56EF6C" w14:textId="53154871" w:rsidR="004F5317" w:rsidRDefault="00000000">
            <w:pPr>
              <w:spacing w:line="46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>公司就投资者在本次</w:t>
            </w:r>
            <w:r w:rsidR="00D91C80">
              <w:rPr>
                <w:rFonts w:ascii="宋体" w:hAnsi="宋体" w:cs="宋体" w:hint="eastAsia"/>
                <w:sz w:val="24"/>
              </w:rPr>
              <w:t>集体接待日暨业绩</w:t>
            </w:r>
            <w:r>
              <w:rPr>
                <w:rFonts w:ascii="宋体" w:hAnsi="宋体" w:cs="宋体"/>
                <w:sz w:val="24"/>
              </w:rPr>
              <w:t>说明会</w:t>
            </w:r>
            <w:r w:rsidR="00D91C80">
              <w:rPr>
                <w:rFonts w:ascii="宋体" w:hAnsi="宋体" w:cs="宋体" w:hint="eastAsia"/>
                <w:sz w:val="24"/>
              </w:rPr>
              <w:t>活动</w:t>
            </w:r>
            <w:r>
              <w:rPr>
                <w:rFonts w:ascii="宋体" w:hAnsi="宋体" w:cs="宋体"/>
                <w:sz w:val="24"/>
              </w:rPr>
              <w:t>中提出的问题进行了</w:t>
            </w:r>
            <w:r w:rsidR="00D91C80">
              <w:rPr>
                <w:rFonts w:ascii="宋体" w:hAnsi="宋体" w:cs="宋体" w:hint="eastAsia"/>
                <w:sz w:val="24"/>
              </w:rPr>
              <w:t>在线</w:t>
            </w:r>
            <w:r>
              <w:rPr>
                <w:rFonts w:ascii="宋体" w:hAnsi="宋体" w:cs="宋体"/>
                <w:sz w:val="24"/>
              </w:rPr>
              <w:t>回复：</w:t>
            </w:r>
          </w:p>
          <w:p w14:paraId="652BD541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1、天津港在2025年下半年‌出售所持的‌天津中铁储运有限公司（中铁储运）60股权‌，也是深化路港合作的举措？</w:t>
            </w:r>
          </w:p>
          <w:p w14:paraId="5DA10257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您好，为优化资产结构，聚焦核心主业，防范运营管理风险，公司2025年出售中铁储运有限公司，该公司主要从事煤炭贸易业务。感谢您的关注！</w:t>
            </w:r>
          </w:p>
          <w:p w14:paraId="04E3BABF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、请问总裁，被收购单位在上市公司托管下运营近两年，请问在资产同质化、同一管理模式下如何认定收购资产是优质资产，不惜低于净资产的价格发行股票收购？上市公司资产质量都不被市场认可，请问被收购公司是不是也应按评估价格打折扣？如若不然，是否太双标？</w:t>
            </w:r>
          </w:p>
          <w:p w14:paraId="2F7FDD85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您好，近些年，标的公司不断优化管理，经营情况稳步提升，吞吐量、收入规模、利润规模不断增长。公司将在符合相关规定的前提下，与交易对方协商确定交易价格。感谢您的关注！</w:t>
            </w:r>
          </w:p>
          <w:p w14:paraId="576210A1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3、天津港是否乐见或者无所谓资产注入方案引起的控股股东，GZW、中小投资者多方共输的结果？</w:t>
            </w:r>
          </w:p>
          <w:p w14:paraId="6824DE1B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您好，本次资产重组方案，综合考量减少同业竞争、提升上市公司资产质量与长期经营实力等因素，兼顾各方利益。公司后续将持续夯实经营基础，提升公司经营质效，积极回报投资者。感谢您的关注！</w:t>
            </w:r>
          </w:p>
          <w:p w14:paraId="6969A80B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4、请问购买资产的方案还要多长时间才有具体的结果？</w:t>
            </w:r>
          </w:p>
          <w:p w14:paraId="15609FF7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于2026年7月22日及8月20日先后披露了本次交易的进展公告。截至目前，公司及相关各方正在积极推进本次交易的各项工作。公司将在相关工作完成后，再次召开董事会会议审议本次交易相关事项。请您关注后续公告。感谢您的关注！</w:t>
            </w:r>
          </w:p>
          <w:p w14:paraId="36E584C6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5、这次交易的本质是，二集司与汇盛公司能换多少天津港的股票，那么换取同样多的股份，为什么不提高发行价到每股净资产以上，这样子集团公司可以获得更好的名声，股民会认为是相对于现在的股价溢价发行，表面上大大的利好，有利于提升二级市场股价表现。有利于国有资产保值增值！何乐而不为呢？</w:t>
            </w:r>
          </w:p>
          <w:p w14:paraId="1E2362B1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根据中国证监会相关规定，上市公司发行股份购买资产，发行价格应不低于公司股票市场参考价格的80%，市场参考价格为定价基准日前20、60和120个交易日均价，公司本次发行股份购买资产选取定价基准日前20个交易日均价作为发行价格。感谢您的关注！</w:t>
            </w:r>
          </w:p>
          <w:p w14:paraId="4E8DF412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6、这次收购两家公司，增发股票，价格定4.36元，虽不违法，但有失公允。4.36的价格低于净资产很多，损害了中小股东的利益！在关键股东回避的情况下，您认为投票能通过吗!</w:t>
            </w:r>
          </w:p>
          <w:p w14:paraId="36D9333A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您好，发行价格4.36元为定价基准日前20个交易日的交易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均价。长期以来，公司持续实施现金分红，积极回报投资者。感谢您的关注！</w:t>
            </w:r>
          </w:p>
          <w:p w14:paraId="458F05FF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7、提高发行价，同时提高收购标的资产的对价，这样更易获得普通股民的支持，并有利于提升股票二级市场估值。真的没有必要压低发行价。</w:t>
            </w:r>
          </w:p>
          <w:p w14:paraId="1AE5DDE2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本次发行股份购买资产的发行价格为4.36元/股，发行价格相关信息详见公司披露的《天津港股份有限公司发行股份购买资产暨关联交易预案》。目前有关各方正在积极推进本次资产重组事项。感谢您的关注！</w:t>
            </w:r>
          </w:p>
          <w:p w14:paraId="7F7DDD32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8、公司上半年卖掉铁路代理业务公司也是深化路港合作？</w:t>
            </w:r>
          </w:p>
          <w:p w14:paraId="1A9BCCEA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您好，公司上半年并未出售铁路代理业务公司。感谢您的关注！</w:t>
            </w:r>
          </w:p>
          <w:p w14:paraId="6610E953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9、为什么每一年的利润不少，为什么分红那么少？可以增高分红比例吗？</w:t>
            </w:r>
          </w:p>
          <w:p w14:paraId="31D3F776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您好，公司目前严格按照中国证监会《上市公司监管指引第3号— —上市公司现金分红》、上海证券交易所《上市公司现金分红指 引》等相关监管规则要求，开展公司现金分红的相关工作。《公司章程》明确了利润分配的基本原则、具体政策、审议程序及实施等几项内容。2026年6月，公司完成派发2025年度现金红利2.95亿元。公司的利润分配政策保持连续性和稳定性前提下，将兼顾公司的长远利益、全体股东的整体利益及公司的可持续发展。感谢您的关注！</w:t>
            </w:r>
          </w:p>
          <w:p w14:paraId="2BC92955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10、港口衍生的货运代理、船舶配套服务板块，如何依托码头主业扩大独立市场化获客能力？</w:t>
            </w:r>
          </w:p>
          <w:p w14:paraId="5F4375F2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您好，公司依托天津港海陆双向枢纽优势，叠加智慧零碳码头与京津冀协同龙头地位，积极拓展供应链服务。感谢您的关注！</w:t>
            </w:r>
          </w:p>
          <w:p w14:paraId="3A10BD79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11、请向控股股东天津港集团问询，如生成制造ART无人智能运输集卡这类新质生产力资产，是否要捂到“熟透了”才会注入上市公司？</w:t>
            </w:r>
          </w:p>
          <w:p w14:paraId="2F41AEC3" w14:textId="2103D786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您好，公司目前无生产制造ART无人智能运输集卡业务。我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们会将您的问题向控股股东天津港集团反馈。感谢您的关注！</w:t>
            </w:r>
          </w:p>
          <w:p w14:paraId="05DA4696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12、管理层您好：公司拟4.36元/股发行股份收购二集司、汇盛码头。请问公司是否研究过整合港股天津港发展(03382)的可行性？一次性整合港股平台，可解决A H同业竞争，避免多次增发摊薄股东权益。想了解该方案与分步注入资产两种路径分别存在哪些难点？谢谢。</w:t>
            </w:r>
          </w:p>
          <w:p w14:paraId="21D29082" w14:textId="63647632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</w:t>
            </w:r>
            <w:r w:rsidR="00D91C80"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A股和港股同业竞争已解决，目前上市公司与天津港发展在装卸及物流业务领域不存在同业竞争。感谢您的关注！</w:t>
            </w:r>
          </w:p>
          <w:p w14:paraId="25FE7E8E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13、拟注入资产按评估总价值增发股份注入，增发的每股价格高低不会涉及国有资产流失，天津港集团已经是控股股东，请问天津港集团低价多增发上亿股，是否打算不顾市场对天津港经营理念的不认同，股价大幅低于净资产的客观情况，以后将多增发的股份用于减持，让市值再下一个台阶？天津港愿意斥资5000万增持股份稳定市值，却不愿意以每股净资产作为增发价这种事半功倍的行为来稳定市值？</w:t>
            </w:r>
          </w:p>
          <w:p w14:paraId="2F49D153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您好，本次发行定价严格依照《上市公司重大资产重组管理办法》执行，以市场参考价为基础确定。天津港集团认购的新增股份将严格履行法定锁定承诺。上市公司 5000 万元增持与发行股份购买资产分属不同事项，适用不同监管规则。公司将持续深耕主业，提升内在价值，维护全体股东利益。感谢您的关注！</w:t>
            </w:r>
          </w:p>
          <w:p w14:paraId="3DF0186C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14、北方风电装备大件货物出运量提升，大件装卸作业，目前存在哪些产能与作业约束？</w:t>
            </w:r>
          </w:p>
          <w:p w14:paraId="3EE5B4B6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天津港地理位置优越，交通运输便利，风电设备作为港口重要大件货类之一，充分发挥天津港口硬件优势，在风电设备作业方面要开展优服举措，不断优化作业工艺，保证现场作业质量、效率和安全。感谢您的关注！</w:t>
            </w:r>
          </w:p>
          <w:p w14:paraId="0D527CEB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15、资产重组完成并入新码头资产，不同货种泊位之间，内部如何做作业流程与人员体系整合？</w:t>
            </w:r>
          </w:p>
          <w:p w14:paraId="308EEBD5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您好，公司将在生产管理、资源调配、业务协同等方面进行综合考量，持续提升新注入码头资产盈利能力。感谢您的关注！</w:t>
            </w:r>
          </w:p>
          <w:p w14:paraId="75FA2783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16、很想知道购买资产置入公司一事，投资者反应很强烈，主要在是否影响将来摊薄公司的利润，希望方案有助解决这些疑难问题，请详细说明</w:t>
            </w:r>
          </w:p>
          <w:p w14:paraId="18CAC454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根据已披露的预案，本次交易注入优质资产，有助于提升公司盈利能力，有助于解决同业竞争问题，本次交易完成后，公司将对标的公司统一管理，着力推进业务整合，整合双方现有的业务资源，充分共享协同，长期提升中小股东利益。本次交易相关审计和评估工作尚未完成。目前有关各方正在积极推进本次重大资产重组事项。感谢您的关注！</w:t>
            </w:r>
          </w:p>
          <w:p w14:paraId="35DA882F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17、请向控股股东天津港集团问询，如生产制造ART无人智能运输集卡这类新质生产力资产，是否要捂到“熟透了”才会注入上市公司？</w:t>
            </w:r>
          </w:p>
          <w:p w14:paraId="1BA7395C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您好，公司目前无生产制造ART无人智能运输集卡业务。我们会将您的问题向控股股东天津港集团反馈。感谢您的关注！</w:t>
            </w:r>
          </w:p>
          <w:p w14:paraId="7950406E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18、港区后续泊位、堆场改造升级，立项阶段，会如何权衡货种长期前景和短期资本回报？</w:t>
            </w:r>
          </w:p>
          <w:p w14:paraId="16C4BD24" w14:textId="5F39D062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港区既有泊位、堆场改造升级工程，属于港口重资产改造类项目，具有投资规模较大、建设周期相对可控、运营回报周期长的特点。项目立项论证过程中，需要统筹平衡“货种长期发展前景”与“项目短期资本回报水平”两个方面。天津港在进行堆场及泊位改造，是经过对未来发展的充分研究分析，确保天津港能适应承接国内外发展形势，满足北方国际航运枢纽定位。感谢您的关注！</w:t>
            </w:r>
          </w:p>
          <w:p w14:paraId="1498C740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19、运波总裁好，根据《上市公司国有股权监督管理办法》（GZ委、CZ部、证监会令第36号）第三十二条规定，国有股东非公开（包括公开）协议转让上市公司股份的价格，不得低于以下两者中的较高者：</w:t>
            </w:r>
            <w:r>
              <w:rPr>
                <w:rFonts w:ascii="宋体" w:hAnsi="宋体"/>
                <w:b/>
                <w:sz w:val="24"/>
                <w:szCs w:val="24"/>
              </w:rPr>
              <w:br/>
              <w:t>1. 提示性公告日前30个交易日的每日加权平均价格的算术平均值 123；2. 最近一个会计年度上市公司经审计的每股净资产值。参考案例（厦门港务），而贵司增发股票价格</w:t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大幅低于净资产，请给出说明，谢谢。</w:t>
            </w:r>
          </w:p>
          <w:p w14:paraId="4420AC6E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根据已披露的预案，本次发行股份的价格为4.36元/股，不低于定价基准日前20个交易日、60个交易日或者120个交易日公司股票交易均价的80%,发行定价符合《上市公司重大资产重组管理办法》关于“发行价格不低于市场参考价80%”的规定，本次交易发行价格低于上市公司每股净资产对本次交易不构成障碍。目前有关各方正在积极推进本次重大资产重组事项，敬请您关注公司重组进展公告，并注意投资风险。感谢您的关注！</w:t>
            </w:r>
          </w:p>
          <w:p w14:paraId="3483CB0F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20、对接雄安新区货物出港需求，在集疏运组织、堆场配套方面，有哪些定制化运营举措？</w:t>
            </w:r>
          </w:p>
          <w:p w14:paraId="3F11C2C9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深入落实国家战略，主动服务雄安新区建设，抢抓发展机遇，设立雄安新区服务中心，开通天津港服务雄安新区绿色通道，在码头集疏运机力保障、场地资源计划以及业务手续办理等方面提供支持，服务新区企业货物进出口需求，打造雄安新区出海口。感谢您的关注！</w:t>
            </w:r>
          </w:p>
          <w:p w14:paraId="276A65AC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21、港区机械电动化、岸电改造持续投入，除政策合规外，内部测算多久可以实现成本回收？</w:t>
            </w:r>
          </w:p>
          <w:p w14:paraId="37CB4A5B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 港区机械电动化、岸电改造项目受设备类型、投资金额等因素影响，回收期存在差异。感谢您的关注！</w:t>
            </w:r>
          </w:p>
          <w:p w14:paraId="0CF05ADB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22、无水港网点布局持续铺开，部分内陆节点效益分化，公司对低效网点会采取怎样的调整策略？</w:t>
            </w:r>
          </w:p>
          <w:p w14:paraId="7BDA3635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您好，公司建立了评估机制，根据评估结果，淘汰市场作用不明显的低效网点，同时根据市场的需要持续拓展新的网点布局，实现动态调整。感谢您的关注！</w:t>
            </w:r>
          </w:p>
          <w:p w14:paraId="7D5E875C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23、港内冷链仓储业务持续拓展，面向北方生鲜、食品加工企业，后续提升盈利的路径是什么？</w:t>
            </w:r>
          </w:p>
          <w:p w14:paraId="2E7BDB38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您好，公司立足现有冷链仓储基础，加强与周边冷链市场主体的联动协同，依托天津港高效通关、便捷物流、完善配套的核心优势，持续延伸冷链物流产业链。感谢您的关注！</w:t>
            </w:r>
          </w:p>
          <w:p w14:paraId="6095C47D" w14:textId="538AFFA3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24、环渤海港口货类同质化竞争加剧，公司如何通过全程物</w:t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流服务，留住腹地本土制造业货源？</w:t>
            </w:r>
          </w:p>
          <w:p w14:paraId="6C9FE4BF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您好，面对市场竞争，公司全力做好市场开发工作，通过拓展班列项目、推动港航合作、深化路港合作、用好政策支持等方式，提升货源争揽能力。感谢您的关注！</w:t>
            </w:r>
          </w:p>
          <w:p w14:paraId="4D175E75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25、件杂货、钢材类货种波动较大，公司如何通过货种结构调配，平滑单货种周期带来的业绩扰动？</w:t>
            </w:r>
          </w:p>
          <w:p w14:paraId="148F9E13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作为综合性港口，主营业务包括装卸、销售、物流和港口综合配套服务等，拥有集装箱、矿石、煤炭、原油及制品、钢材、焦炭、滚装汽车、粮食、化肥、大型设备等各货类，港口功能齐全。感谢您的关注！</w:t>
            </w:r>
          </w:p>
          <w:p w14:paraId="64B00422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26、怎么看待十来年利润不增反降这个问题？</w:t>
            </w:r>
          </w:p>
          <w:p w14:paraId="4F9B8642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您好，公司业绩受市场环境等多方面因素影响，公司致力持续于提升经营管理水平，积极拓展市场业务，提升公司价值。近年来，公司业绩持续增长。感谢您的关注！</w:t>
            </w:r>
          </w:p>
          <w:p w14:paraId="1C7A8020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27、就算收购的资产赢利能力强一点，收购后需要多少年才能弥补回被稀释掉的每股净资产、收益率？十年还是廿年？？</w:t>
            </w:r>
          </w:p>
          <w:p w14:paraId="2291FF8D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公司每股净资产、收益率受多重因素影响。本次交易，公司收购资产赢利情况较好的公司，有利于公司长期发展。近年来，公司通过提升经营业绩、剥离低效资产等方式改善每股净资产、收益率等指标。感谢您的关注！</w:t>
            </w:r>
          </w:p>
          <w:p w14:paraId="56059957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28、增发低于净资产太多，请调整一下</w:t>
            </w:r>
          </w:p>
          <w:p w14:paraId="30C72EED" w14:textId="64600ACB" w:rsidR="00D91C80" w:rsidRDefault="00000000" w:rsidP="00D91C8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根据中国证监会相关规定，上市公司发行股份购买资产，发行价格应不低于公司股票市场参考价格的80%，市场参考价格为定价基准日前20、60和120个交易日均价，公司本次发行股份购买资产选取定价基准日前20个交易日均价作为发行价格。公司在选取发行价格时考虑到了公司股价破净的情况，因此，选取了市场参考价格作为发行价格。感谢您的关注！</w:t>
            </w:r>
          </w:p>
          <w:p w14:paraId="208B6854" w14:textId="77777777" w:rsidR="004F5317" w:rsidRDefault="00000000">
            <w:pPr>
              <w:pStyle w:val="Style6"/>
              <w:spacing w:line="460" w:lineRule="exact"/>
              <w:ind w:left="413" w:firstLineChars="0" w:firstLine="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29、收购一事最新进展情况</w:t>
            </w:r>
          </w:p>
          <w:p w14:paraId="1F2E1524" w14:textId="77777777" w:rsidR="004F5317" w:rsidRDefault="0000000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您好，为筹划本次交易相关事项，公司股票自2026年6月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9日开市起停牌。2026年6月22日，公司召开十一届六次临时董事会审议并通过了《关于公司发行股份购买资产暨关联交易具体方案的议案》等本次交易相关议案，并对外披露了交易预案。经公司向上海证券交易所申请，公司股票于2026年6月23日开市起复牌。公司于2026年7月22日及8月20日先后披露了本次交易的进展公告。截至目前，公司及相关各方正在积极推进本次交易的各项工作。公司将在相关工作完成后，再次召开董事会会议审议本次交易相关事项。感谢您的关注！</w:t>
            </w:r>
          </w:p>
          <w:p w14:paraId="37012E14" w14:textId="77777777" w:rsidR="004F5317" w:rsidRDefault="004F5317">
            <w:pPr>
              <w:adjustRightInd w:val="0"/>
              <w:snapToGrid w:val="0"/>
              <w:spacing w:line="500" w:lineRule="exac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</w:p>
        </w:tc>
      </w:tr>
      <w:tr w:rsidR="004F5317" w14:paraId="1DD7680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1F3A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附件清单（如有）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B08A" w14:textId="77777777" w:rsidR="004F5317" w:rsidRDefault="004F5317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</w:tr>
      <w:tr w:rsidR="004F5317" w14:paraId="10D96047" w14:textId="77777777" w:rsidTr="000952CC">
        <w:trPr>
          <w:trHeight w:val="4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18AC" w14:textId="77777777" w:rsidR="004F531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9AA" w14:textId="5480796B" w:rsidR="004F5317" w:rsidRDefault="00000000" w:rsidP="000952CC">
            <w:pPr>
              <w:spacing w:line="420" w:lineRule="exact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2026-09-03</w:t>
            </w:r>
          </w:p>
        </w:tc>
      </w:tr>
    </w:tbl>
    <w:p w14:paraId="7E4F3E75" w14:textId="77777777" w:rsidR="004F5317" w:rsidRDefault="004F5317"/>
    <w:sectPr w:rsidR="004F53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8EFB" w14:textId="77777777" w:rsidR="00E929DA" w:rsidRDefault="00E929DA">
      <w:r>
        <w:separator/>
      </w:r>
    </w:p>
  </w:endnote>
  <w:endnote w:type="continuationSeparator" w:id="0">
    <w:p w14:paraId="2F6531A1" w14:textId="77777777" w:rsidR="00E929DA" w:rsidRDefault="00E9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BEAA" w14:textId="77777777" w:rsidR="00E929DA" w:rsidRDefault="00E929DA">
      <w:r>
        <w:separator/>
      </w:r>
    </w:p>
  </w:footnote>
  <w:footnote w:type="continuationSeparator" w:id="0">
    <w:p w14:paraId="0B513895" w14:textId="77777777" w:rsidR="00E929DA" w:rsidRDefault="00E92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76F2F"/>
    <w:rsid w:val="0009298A"/>
    <w:rsid w:val="000952CC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873A2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4F5317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29C6"/>
    <w:rsid w:val="00993BDD"/>
    <w:rsid w:val="009A6DFB"/>
    <w:rsid w:val="009B1738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54D73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E4E2D"/>
    <w:rsid w:val="00CF565C"/>
    <w:rsid w:val="00D016A3"/>
    <w:rsid w:val="00D512E3"/>
    <w:rsid w:val="00D602C9"/>
    <w:rsid w:val="00D91C80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929DA"/>
    <w:rsid w:val="00EA5103"/>
    <w:rsid w:val="00EA6FB9"/>
    <w:rsid w:val="00EB5E6A"/>
    <w:rsid w:val="00EC2AD7"/>
    <w:rsid w:val="00ED20CF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1B2418A5"/>
    <w:rsid w:val="1FBFC074"/>
    <w:rsid w:val="36FB9E1F"/>
    <w:rsid w:val="3BFA3B96"/>
    <w:rsid w:val="3CEF3472"/>
    <w:rsid w:val="3EFF16E9"/>
    <w:rsid w:val="77CF73AC"/>
    <w:rsid w:val="78FF0116"/>
    <w:rsid w:val="B7DDD54D"/>
    <w:rsid w:val="E3FFE6ED"/>
    <w:rsid w:val="F5DB8A63"/>
    <w:rsid w:val="F797912E"/>
    <w:rsid w:val="FE7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15790"/>
  <w15:docId w15:val="{2844EC70-9E4B-44B4-8503-B96ABB67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0">
    <w:name w:val="Char Char Char"/>
    <w:basedOn w:val="a"/>
    <w:qFormat/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2601</Words>
  <Characters>2681</Characters>
  <Application>Microsoft Office Word</Application>
  <DocSecurity>0</DocSecurity>
  <Lines>127</Lines>
  <Paragraphs>85</Paragraphs>
  <ScaleCrop>false</ScaleCrop>
  <Company>微软中国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镇 张</cp:lastModifiedBy>
  <cp:revision>5</cp:revision>
  <cp:lastPrinted>2014-02-21T05:34:00Z</cp:lastPrinted>
  <dcterms:created xsi:type="dcterms:W3CDTF">2026-09-04T01:47:00Z</dcterms:created>
  <dcterms:modified xsi:type="dcterms:W3CDTF">2026-09-04T01:59:00Z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