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DC745F">
      <w:pPr>
        <w:spacing w:before="156" w:beforeLines="50" w:after="156" w:afterLines="50" w:line="400" w:lineRule="exact"/>
        <w:jc w:val="center"/>
        <w:rPr>
          <w:rFonts w:hint="eastAsia" w:ascii="宋体" w:hAnsi="宋体"/>
          <w:b/>
          <w:bCs/>
          <w:iCs/>
          <w:color w:val="FF0000"/>
          <w:sz w:val="28"/>
          <w:szCs w:val="24"/>
        </w:rPr>
      </w:pPr>
      <w:r>
        <w:rPr>
          <w:rFonts w:hint="eastAsia" w:ascii="宋体" w:hAnsi="宋体"/>
          <w:b/>
          <w:bCs/>
          <w:iCs/>
          <w:color w:val="FF0000"/>
          <w:sz w:val="28"/>
          <w:szCs w:val="24"/>
        </w:rPr>
        <w:t>广东天安新材料</w:t>
      </w:r>
      <w:r>
        <w:rPr>
          <w:rFonts w:ascii="宋体" w:hAnsi="宋体"/>
          <w:b/>
          <w:bCs/>
          <w:iCs/>
          <w:color w:val="FF0000"/>
          <w:sz w:val="28"/>
          <w:szCs w:val="24"/>
        </w:rPr>
        <w:t>股份有限公司</w:t>
      </w:r>
    </w:p>
    <w:p w14:paraId="2F692872">
      <w:pPr>
        <w:spacing w:before="156" w:beforeLines="50" w:after="156" w:afterLines="50" w:line="400" w:lineRule="exact"/>
        <w:jc w:val="center"/>
        <w:rPr>
          <w:rFonts w:hint="eastAsia" w:ascii="宋体" w:hAnsi="宋体"/>
          <w:b/>
          <w:bCs/>
          <w:iCs/>
          <w:color w:val="FF0000"/>
          <w:sz w:val="28"/>
          <w:szCs w:val="24"/>
        </w:rPr>
      </w:pPr>
      <w:r>
        <w:rPr>
          <w:rFonts w:hint="eastAsia" w:ascii="宋体" w:hAnsi="宋体"/>
          <w:b/>
          <w:bCs/>
          <w:iCs/>
          <w:color w:val="FF0000"/>
          <w:sz w:val="28"/>
          <w:szCs w:val="24"/>
        </w:rPr>
        <w:t>投资者关系活动记录表</w:t>
      </w:r>
    </w:p>
    <w:p w14:paraId="70415F46">
      <w:pPr>
        <w:spacing w:line="400" w:lineRule="exact"/>
        <w:rPr>
          <w:rFonts w:hint="eastAsia" w:ascii="宋体" w:hAnsi="宋体" w:eastAsia="宋体"/>
          <w:bCs/>
          <w:iCs/>
          <w:sz w:val="24"/>
          <w:szCs w:val="24"/>
          <w:lang w:eastAsia="zh-CN"/>
        </w:rPr>
      </w:pPr>
      <w:r>
        <w:rPr>
          <w:rFonts w:hint="eastAsia" w:ascii="宋体" w:hAnsi="宋体"/>
          <w:bCs/>
          <w:iCs/>
          <w:sz w:val="24"/>
          <w:szCs w:val="24"/>
        </w:rPr>
        <w:t xml:space="preserve">                                                   编号：</w:t>
      </w:r>
      <w:r>
        <w:rPr>
          <w:rFonts w:ascii="宋体" w:hAnsi="宋体"/>
          <w:bCs/>
          <w:iCs/>
          <w:sz w:val="24"/>
          <w:szCs w:val="24"/>
        </w:rPr>
        <w:t>TA</w:t>
      </w:r>
      <w:r>
        <w:rPr>
          <w:rFonts w:hint="eastAsia" w:ascii="宋体" w:hAnsi="宋体"/>
          <w:bCs/>
          <w:iCs/>
          <w:sz w:val="24"/>
          <w:szCs w:val="24"/>
        </w:rPr>
        <w:t>202</w:t>
      </w:r>
      <w:r>
        <w:rPr>
          <w:rFonts w:hint="eastAsia" w:ascii="宋体" w:hAnsi="宋体"/>
          <w:bCs/>
          <w:iCs/>
          <w:sz w:val="24"/>
          <w:szCs w:val="24"/>
          <w:lang w:val="en-US" w:eastAsia="zh-CN"/>
        </w:rPr>
        <w:t>6</w:t>
      </w:r>
      <w:r>
        <w:rPr>
          <w:rFonts w:hint="eastAsia" w:ascii="宋体" w:hAnsi="宋体"/>
          <w:bCs/>
          <w:iCs/>
          <w:sz w:val="24"/>
          <w:szCs w:val="24"/>
        </w:rPr>
        <w:t>-00</w:t>
      </w:r>
      <w:r>
        <w:rPr>
          <w:rFonts w:hint="eastAsia" w:ascii="宋体" w:hAnsi="宋体"/>
          <w:bCs/>
          <w:iCs/>
          <w:sz w:val="24"/>
          <w:szCs w:val="24"/>
          <w:lang w:val="en-US" w:eastAsia="zh-CN"/>
        </w:rPr>
        <w:t>3</w:t>
      </w:r>
    </w:p>
    <w:tbl>
      <w:tblPr>
        <w:tblStyle w:val="6"/>
        <w:tblW w:w="76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5"/>
        <w:gridCol w:w="6308"/>
      </w:tblGrid>
      <w:tr w14:paraId="09D06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shd w:val="clear" w:color="auto" w:fill="auto"/>
            <w:vAlign w:val="center"/>
          </w:tcPr>
          <w:p w14:paraId="16F0F3AC">
            <w:pPr>
              <w:spacing w:line="480" w:lineRule="atLeast"/>
              <w:jc w:val="both"/>
              <w:rPr>
                <w:rFonts w:hint="eastAsia" w:ascii="宋体" w:hAnsi="宋体"/>
                <w:b/>
                <w:bCs/>
                <w:iCs/>
                <w:sz w:val="24"/>
                <w:szCs w:val="24"/>
              </w:rPr>
            </w:pPr>
            <w:r>
              <w:rPr>
                <w:rFonts w:hint="eastAsia" w:ascii="宋体" w:hAnsi="宋体"/>
                <w:b/>
                <w:bCs/>
                <w:iCs/>
                <w:sz w:val="24"/>
                <w:szCs w:val="24"/>
              </w:rPr>
              <w:t>投资者关系活动类别</w:t>
            </w:r>
          </w:p>
          <w:p w14:paraId="34C0CF0C">
            <w:pPr>
              <w:spacing w:line="480" w:lineRule="atLeast"/>
              <w:jc w:val="both"/>
              <w:rPr>
                <w:rFonts w:hint="eastAsia" w:ascii="宋体" w:hAnsi="宋体"/>
                <w:b/>
                <w:bCs/>
                <w:iCs/>
                <w:sz w:val="24"/>
                <w:szCs w:val="24"/>
              </w:rPr>
            </w:pPr>
          </w:p>
        </w:tc>
        <w:tc>
          <w:tcPr>
            <w:tcW w:w="6308" w:type="dxa"/>
            <w:shd w:val="clear" w:color="auto" w:fill="auto"/>
          </w:tcPr>
          <w:p w14:paraId="63D3D6B9">
            <w:pPr>
              <w:spacing w:line="480" w:lineRule="atLeast"/>
              <w:rPr>
                <w:rFonts w:hint="eastAsia" w:ascii="宋体" w:hAnsi="宋体"/>
                <w:bCs/>
                <w:iCs/>
                <w:sz w:val="24"/>
                <w:szCs w:val="24"/>
              </w:rPr>
            </w:pPr>
            <w:r>
              <w:rPr>
                <w:rFonts w:hint="eastAsia" w:ascii="宋体" w:hAnsi="宋体"/>
                <w:bCs/>
                <w:iCs/>
                <w:sz w:val="24"/>
                <w:szCs w:val="24"/>
              </w:rPr>
              <w:t>√</w:t>
            </w:r>
            <w:r>
              <w:rPr>
                <w:rFonts w:hint="eastAsia" w:ascii="宋体" w:hAnsi="宋体"/>
                <w:sz w:val="24"/>
                <w:szCs w:val="24"/>
              </w:rPr>
              <w:t xml:space="preserve">特定对象调研        </w:t>
            </w:r>
            <w:r>
              <w:rPr>
                <w:rFonts w:hint="eastAsia" w:ascii="宋体" w:hAnsi="宋体"/>
                <w:bCs/>
                <w:iCs/>
                <w:sz w:val="24"/>
                <w:szCs w:val="24"/>
              </w:rPr>
              <w:t>□</w:t>
            </w:r>
            <w:r>
              <w:rPr>
                <w:rFonts w:hint="eastAsia" w:ascii="宋体" w:hAnsi="宋体"/>
                <w:sz w:val="24"/>
                <w:szCs w:val="24"/>
              </w:rPr>
              <w:t>分析师会议</w:t>
            </w:r>
          </w:p>
          <w:p w14:paraId="50E16F77">
            <w:pPr>
              <w:spacing w:line="480" w:lineRule="atLeast"/>
              <w:rPr>
                <w:rFonts w:hint="eastAsia" w:ascii="宋体" w:hAnsi="宋体"/>
                <w:bCs/>
                <w:iCs/>
                <w:sz w:val="24"/>
                <w:szCs w:val="24"/>
              </w:rPr>
            </w:pPr>
            <w:r>
              <w:rPr>
                <w:rFonts w:hint="eastAsia" w:ascii="宋体" w:hAnsi="宋体"/>
                <w:bCs/>
                <w:iCs/>
                <w:sz w:val="24"/>
                <w:szCs w:val="24"/>
              </w:rPr>
              <w:t>□</w:t>
            </w:r>
            <w:r>
              <w:rPr>
                <w:rFonts w:hint="eastAsia" w:ascii="宋体" w:hAnsi="宋体"/>
                <w:sz w:val="24"/>
                <w:szCs w:val="24"/>
              </w:rPr>
              <w:t xml:space="preserve">媒体采访            </w:t>
            </w:r>
            <w:r>
              <w:rPr>
                <w:rFonts w:hint="eastAsia" w:ascii="宋体" w:hAnsi="宋体"/>
                <w:bCs/>
                <w:iCs/>
                <w:sz w:val="24"/>
                <w:szCs w:val="24"/>
              </w:rPr>
              <w:t>□</w:t>
            </w:r>
            <w:r>
              <w:rPr>
                <w:rFonts w:hint="eastAsia" w:ascii="宋体" w:hAnsi="宋体"/>
                <w:sz w:val="24"/>
                <w:szCs w:val="24"/>
              </w:rPr>
              <w:t>业绩说明会</w:t>
            </w:r>
          </w:p>
          <w:p w14:paraId="737E1686">
            <w:pPr>
              <w:spacing w:line="480" w:lineRule="atLeast"/>
              <w:rPr>
                <w:rFonts w:hint="eastAsia" w:ascii="宋体" w:hAnsi="宋体"/>
                <w:bCs/>
                <w:iCs/>
                <w:sz w:val="24"/>
                <w:szCs w:val="24"/>
              </w:rPr>
            </w:pPr>
            <w:r>
              <w:rPr>
                <w:rFonts w:hint="eastAsia" w:ascii="宋体" w:hAnsi="宋体"/>
                <w:bCs/>
                <w:iCs/>
                <w:sz w:val="24"/>
                <w:szCs w:val="24"/>
              </w:rPr>
              <w:t>□</w:t>
            </w:r>
            <w:r>
              <w:rPr>
                <w:rFonts w:hint="eastAsia" w:ascii="宋体" w:hAnsi="宋体"/>
                <w:sz w:val="24"/>
                <w:szCs w:val="24"/>
              </w:rPr>
              <w:t xml:space="preserve">新闻发布会 </w:t>
            </w:r>
            <w:r>
              <w:rPr>
                <w:rFonts w:hint="eastAsia" w:ascii="宋体" w:hAnsi="宋体"/>
                <w:sz w:val="24"/>
                <w:szCs w:val="24"/>
                <w:lang w:val="en-US" w:eastAsia="zh-CN"/>
              </w:rPr>
              <w:t xml:space="preserve"> </w:t>
            </w:r>
            <w:r>
              <w:rPr>
                <w:rFonts w:hint="eastAsia" w:ascii="宋体" w:hAnsi="宋体"/>
                <w:sz w:val="24"/>
                <w:szCs w:val="24"/>
              </w:rPr>
              <w:t xml:space="preserve">        □路演活动</w:t>
            </w:r>
          </w:p>
          <w:p w14:paraId="4732FAE8">
            <w:pPr>
              <w:tabs>
                <w:tab w:val="left" w:pos="2805"/>
                <w:tab w:val="center" w:pos="3199"/>
              </w:tabs>
              <w:spacing w:line="480" w:lineRule="atLeast"/>
              <w:rPr>
                <w:rFonts w:hint="eastAsia" w:ascii="宋体" w:hAnsi="宋体" w:eastAsia="宋体"/>
                <w:bCs/>
                <w:iCs/>
                <w:sz w:val="24"/>
                <w:szCs w:val="24"/>
                <w:lang w:val="en-US" w:eastAsia="zh-CN"/>
              </w:rPr>
            </w:pPr>
            <w:r>
              <w:rPr>
                <w:rFonts w:hint="eastAsia" w:ascii="宋体" w:hAnsi="宋体"/>
                <w:sz w:val="24"/>
                <w:szCs w:val="24"/>
              </w:rPr>
              <w:t>□现场参观</w:t>
            </w:r>
            <w:r>
              <w:rPr>
                <w:rFonts w:hint="eastAsia" w:ascii="宋体" w:hAnsi="宋体"/>
                <w:bCs/>
                <w:iCs/>
                <w:sz w:val="24"/>
                <w:szCs w:val="24"/>
              </w:rPr>
              <w:t xml:space="preserve">            √其他</w:t>
            </w:r>
          </w:p>
        </w:tc>
      </w:tr>
      <w:tr w14:paraId="051E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shd w:val="clear" w:color="auto" w:fill="auto"/>
            <w:vAlign w:val="center"/>
          </w:tcPr>
          <w:p w14:paraId="1A7BBD2E">
            <w:pPr>
              <w:spacing w:line="480" w:lineRule="atLeast"/>
              <w:jc w:val="both"/>
              <w:rPr>
                <w:rFonts w:hint="eastAsia" w:ascii="宋体" w:hAnsi="宋体"/>
                <w:b/>
                <w:bCs/>
                <w:iCs/>
                <w:sz w:val="24"/>
                <w:szCs w:val="24"/>
              </w:rPr>
            </w:pPr>
            <w:r>
              <w:rPr>
                <w:rFonts w:hint="eastAsia" w:ascii="宋体" w:hAnsi="宋体"/>
                <w:b/>
                <w:bCs/>
                <w:iCs/>
                <w:sz w:val="24"/>
                <w:szCs w:val="24"/>
              </w:rPr>
              <w:t>参与单位名称</w:t>
            </w:r>
          </w:p>
        </w:tc>
        <w:tc>
          <w:tcPr>
            <w:tcW w:w="6308" w:type="dxa"/>
            <w:shd w:val="clear" w:color="auto" w:fill="auto"/>
            <w:vAlign w:val="center"/>
          </w:tcPr>
          <w:p w14:paraId="18155306">
            <w:pPr>
              <w:spacing w:line="480" w:lineRule="atLeast"/>
              <w:jc w:val="both"/>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eastAsia="zh-CN"/>
              </w:rPr>
              <w:t>（</w:t>
            </w:r>
            <w:r>
              <w:rPr>
                <w:rFonts w:hint="eastAsia" w:asciiTheme="minorEastAsia" w:hAnsiTheme="minorEastAsia" w:eastAsiaTheme="minorEastAsia"/>
                <w:sz w:val="24"/>
                <w:szCs w:val="24"/>
                <w:lang w:val="en-US" w:eastAsia="zh-CN"/>
              </w:rPr>
              <w:t>排名不分先后</w:t>
            </w:r>
            <w:r>
              <w:rPr>
                <w:rFonts w:hint="eastAsia" w:asciiTheme="minorEastAsia" w:hAnsiTheme="minorEastAsia" w:eastAsiaTheme="minorEastAsia"/>
                <w:sz w:val="24"/>
                <w:szCs w:val="24"/>
                <w:lang w:eastAsia="zh-CN"/>
              </w:rPr>
              <w:t>）申万宏源、东方证券、光大证券、中泰证券、浙商证券、财通证券、东北证券、华安证券、天风证券、开源证券、华夏理财、人保养老、富国基金、嘉实基金、交银施罗德基金、华宝兴业基金、摩根士丹利基金、长城基金、韩国投资信托、银河基金、圆信永丰基金、泰信基金、天治基金、华美国际投资、巨杉资管、上海呈瑞投资、上海睿亿投资、碧云资本、度势投资、中兰私募</w:t>
            </w:r>
          </w:p>
        </w:tc>
      </w:tr>
      <w:tr w14:paraId="3E711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shd w:val="clear" w:color="auto" w:fill="auto"/>
            <w:vAlign w:val="center"/>
          </w:tcPr>
          <w:p w14:paraId="07EB9D8B">
            <w:pPr>
              <w:spacing w:line="480" w:lineRule="atLeast"/>
              <w:jc w:val="both"/>
              <w:rPr>
                <w:rFonts w:hint="eastAsia" w:ascii="宋体" w:hAnsi="宋体"/>
                <w:b/>
                <w:bCs/>
                <w:iCs/>
                <w:sz w:val="24"/>
                <w:szCs w:val="24"/>
              </w:rPr>
            </w:pPr>
            <w:r>
              <w:rPr>
                <w:rFonts w:hint="eastAsia" w:ascii="宋体" w:hAnsi="宋体"/>
                <w:b/>
                <w:bCs/>
                <w:iCs/>
                <w:sz w:val="24"/>
                <w:szCs w:val="24"/>
              </w:rPr>
              <w:t>时间</w:t>
            </w:r>
          </w:p>
        </w:tc>
        <w:tc>
          <w:tcPr>
            <w:tcW w:w="6308" w:type="dxa"/>
            <w:shd w:val="clear" w:color="auto" w:fill="auto"/>
            <w:vAlign w:val="center"/>
          </w:tcPr>
          <w:p w14:paraId="750791CB">
            <w:pPr>
              <w:spacing w:line="480" w:lineRule="atLeast"/>
              <w:jc w:val="both"/>
              <w:rPr>
                <w:rFonts w:hint="default" w:ascii="宋体" w:hAnsi="宋体" w:eastAsia="宋体"/>
                <w:bCs/>
                <w:iCs/>
                <w:sz w:val="24"/>
                <w:szCs w:val="24"/>
                <w:lang w:val="en-US" w:eastAsia="zh-CN"/>
              </w:rPr>
            </w:pPr>
            <w:r>
              <w:rPr>
                <w:rFonts w:hint="eastAsia" w:ascii="宋体" w:hAnsi="宋体"/>
                <w:bCs/>
                <w:iCs/>
                <w:sz w:val="24"/>
                <w:szCs w:val="24"/>
              </w:rPr>
              <w:t>202</w:t>
            </w:r>
            <w:r>
              <w:rPr>
                <w:rFonts w:hint="eastAsia" w:ascii="宋体" w:hAnsi="宋体"/>
                <w:bCs/>
                <w:iCs/>
                <w:sz w:val="24"/>
                <w:szCs w:val="24"/>
                <w:lang w:val="en-US" w:eastAsia="zh-CN"/>
              </w:rPr>
              <w:t>6</w:t>
            </w:r>
            <w:r>
              <w:rPr>
                <w:rFonts w:hint="eastAsia" w:ascii="宋体" w:hAnsi="宋体"/>
                <w:bCs/>
                <w:iCs/>
                <w:sz w:val="24"/>
                <w:szCs w:val="24"/>
              </w:rPr>
              <w:t>年</w:t>
            </w:r>
            <w:r>
              <w:rPr>
                <w:rFonts w:hint="eastAsia" w:ascii="宋体" w:hAnsi="宋体"/>
                <w:bCs/>
                <w:iCs/>
                <w:sz w:val="24"/>
                <w:szCs w:val="24"/>
                <w:lang w:val="en-US" w:eastAsia="zh-CN"/>
              </w:rPr>
              <w:t>9</w:t>
            </w:r>
            <w:r>
              <w:rPr>
                <w:rFonts w:hint="eastAsia" w:ascii="宋体" w:hAnsi="宋体"/>
                <w:bCs/>
                <w:iCs/>
                <w:sz w:val="24"/>
                <w:szCs w:val="24"/>
              </w:rPr>
              <w:t>月</w:t>
            </w:r>
            <w:r>
              <w:rPr>
                <w:rFonts w:hint="eastAsia" w:ascii="宋体" w:hAnsi="宋体"/>
                <w:bCs/>
                <w:iCs/>
                <w:sz w:val="24"/>
                <w:szCs w:val="24"/>
                <w:lang w:val="en-US" w:eastAsia="zh-CN"/>
              </w:rPr>
              <w:t>2</w:t>
            </w:r>
            <w:bookmarkStart w:id="0" w:name="_GoBack"/>
            <w:bookmarkEnd w:id="0"/>
            <w:r>
              <w:rPr>
                <w:rFonts w:hint="eastAsia" w:ascii="宋体" w:hAnsi="宋体"/>
                <w:bCs/>
                <w:iCs/>
                <w:sz w:val="24"/>
                <w:szCs w:val="24"/>
              </w:rPr>
              <w:t>日</w:t>
            </w:r>
          </w:p>
        </w:tc>
      </w:tr>
      <w:tr w14:paraId="61A58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shd w:val="clear" w:color="auto" w:fill="auto"/>
            <w:vAlign w:val="center"/>
          </w:tcPr>
          <w:p w14:paraId="129AC241">
            <w:pPr>
              <w:spacing w:line="480" w:lineRule="atLeast"/>
              <w:jc w:val="both"/>
              <w:rPr>
                <w:rFonts w:hint="eastAsia" w:ascii="宋体" w:hAnsi="宋体"/>
                <w:b/>
                <w:bCs/>
                <w:iCs/>
                <w:sz w:val="24"/>
                <w:szCs w:val="24"/>
              </w:rPr>
            </w:pPr>
            <w:r>
              <w:rPr>
                <w:rFonts w:hint="eastAsia" w:ascii="宋体" w:hAnsi="宋体"/>
                <w:b/>
                <w:bCs/>
                <w:iCs/>
                <w:sz w:val="24"/>
                <w:szCs w:val="24"/>
              </w:rPr>
              <w:t>地点</w:t>
            </w:r>
          </w:p>
        </w:tc>
        <w:tc>
          <w:tcPr>
            <w:tcW w:w="6308" w:type="dxa"/>
            <w:shd w:val="clear" w:color="auto" w:fill="auto"/>
            <w:vAlign w:val="center"/>
          </w:tcPr>
          <w:p w14:paraId="5DDE344E">
            <w:pPr>
              <w:spacing w:line="480" w:lineRule="atLeast"/>
              <w:jc w:val="both"/>
              <w:rPr>
                <w:rFonts w:hint="default" w:ascii="宋体" w:hAnsi="宋体"/>
                <w:bCs/>
                <w:iCs/>
                <w:sz w:val="24"/>
                <w:szCs w:val="24"/>
                <w:lang w:val="en-US" w:eastAsia="zh-CN"/>
              </w:rPr>
            </w:pPr>
            <w:r>
              <w:rPr>
                <w:rFonts w:hint="eastAsia" w:ascii="宋体" w:hAnsi="宋体"/>
                <w:bCs/>
                <w:iCs/>
                <w:sz w:val="24"/>
                <w:szCs w:val="24"/>
                <w:lang w:val="en-US" w:eastAsia="zh-CN"/>
              </w:rPr>
              <w:t>线上电话会议</w:t>
            </w:r>
          </w:p>
        </w:tc>
      </w:tr>
      <w:tr w14:paraId="0CD86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shd w:val="clear" w:color="auto" w:fill="auto"/>
            <w:vAlign w:val="center"/>
          </w:tcPr>
          <w:p w14:paraId="25C337B3">
            <w:pPr>
              <w:spacing w:line="480" w:lineRule="atLeast"/>
              <w:jc w:val="both"/>
              <w:rPr>
                <w:rFonts w:hint="eastAsia" w:ascii="宋体" w:hAnsi="宋体"/>
                <w:b/>
                <w:bCs/>
                <w:iCs/>
                <w:sz w:val="24"/>
                <w:szCs w:val="24"/>
              </w:rPr>
            </w:pPr>
            <w:r>
              <w:rPr>
                <w:rFonts w:hint="eastAsia" w:ascii="宋体" w:hAnsi="宋体"/>
                <w:b/>
                <w:bCs/>
                <w:iCs/>
                <w:sz w:val="24"/>
                <w:szCs w:val="24"/>
              </w:rPr>
              <w:t>上市公司接待人员姓名</w:t>
            </w:r>
          </w:p>
        </w:tc>
        <w:tc>
          <w:tcPr>
            <w:tcW w:w="6308" w:type="dxa"/>
            <w:shd w:val="clear" w:color="auto" w:fill="auto"/>
            <w:vAlign w:val="center"/>
          </w:tcPr>
          <w:p w14:paraId="727BB90B">
            <w:pPr>
              <w:spacing w:line="480" w:lineRule="atLeast"/>
              <w:jc w:val="both"/>
              <w:rPr>
                <w:rFonts w:hint="eastAsia" w:ascii="宋体" w:hAnsi="宋体"/>
                <w:bCs/>
                <w:iCs/>
                <w:sz w:val="24"/>
                <w:szCs w:val="24"/>
              </w:rPr>
            </w:pPr>
            <w:r>
              <w:rPr>
                <w:rFonts w:hint="eastAsia" w:ascii="宋体" w:hAnsi="宋体"/>
                <w:bCs/>
                <w:iCs/>
                <w:sz w:val="24"/>
                <w:szCs w:val="24"/>
              </w:rPr>
              <w:t>董事长、总经理吴启超</w:t>
            </w:r>
          </w:p>
          <w:p w14:paraId="274BA4E5">
            <w:pPr>
              <w:spacing w:line="480" w:lineRule="atLeast"/>
              <w:jc w:val="both"/>
              <w:rPr>
                <w:rFonts w:hint="eastAsia" w:ascii="宋体" w:hAnsi="宋体"/>
                <w:bCs/>
                <w:iCs/>
                <w:sz w:val="24"/>
                <w:szCs w:val="24"/>
              </w:rPr>
            </w:pPr>
            <w:r>
              <w:rPr>
                <w:rFonts w:hint="eastAsia" w:ascii="宋体" w:hAnsi="宋体"/>
                <w:bCs/>
                <w:iCs/>
                <w:sz w:val="24"/>
                <w:szCs w:val="24"/>
              </w:rPr>
              <w:t>副总经理、财务总监刘巧云</w:t>
            </w:r>
          </w:p>
          <w:p w14:paraId="5AC0C5BF">
            <w:pPr>
              <w:spacing w:line="480" w:lineRule="atLeast"/>
              <w:jc w:val="both"/>
              <w:rPr>
                <w:rFonts w:hint="eastAsia" w:ascii="宋体" w:hAnsi="宋体"/>
                <w:bCs/>
                <w:iCs/>
                <w:sz w:val="24"/>
                <w:szCs w:val="24"/>
              </w:rPr>
            </w:pPr>
            <w:r>
              <w:rPr>
                <w:rFonts w:hint="eastAsia" w:ascii="宋体" w:hAnsi="宋体"/>
                <w:bCs/>
                <w:iCs/>
                <w:sz w:val="24"/>
                <w:szCs w:val="24"/>
              </w:rPr>
              <w:t>副总经理、董事会秘书曾艳华</w:t>
            </w:r>
          </w:p>
        </w:tc>
      </w:tr>
      <w:tr w14:paraId="11841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7" w:hRule="atLeast"/>
          <w:jc w:val="center"/>
        </w:trPr>
        <w:tc>
          <w:tcPr>
            <w:tcW w:w="1365" w:type="dxa"/>
            <w:shd w:val="clear" w:color="auto" w:fill="auto"/>
            <w:vAlign w:val="center"/>
          </w:tcPr>
          <w:p w14:paraId="65C3D4FB">
            <w:pPr>
              <w:spacing w:line="480" w:lineRule="atLeast"/>
              <w:jc w:val="both"/>
              <w:rPr>
                <w:rFonts w:hint="eastAsia" w:ascii="宋体" w:hAnsi="宋体"/>
                <w:b/>
                <w:bCs/>
                <w:iCs/>
                <w:sz w:val="24"/>
                <w:szCs w:val="24"/>
              </w:rPr>
            </w:pPr>
            <w:r>
              <w:rPr>
                <w:rFonts w:hint="eastAsia" w:ascii="宋体" w:hAnsi="宋体"/>
                <w:b/>
                <w:bCs/>
                <w:iCs/>
                <w:sz w:val="24"/>
                <w:szCs w:val="24"/>
              </w:rPr>
              <w:t>投资者关系活动主要内容介绍</w:t>
            </w:r>
          </w:p>
          <w:p w14:paraId="24CE7D0C">
            <w:pPr>
              <w:spacing w:line="480" w:lineRule="atLeast"/>
              <w:jc w:val="both"/>
              <w:rPr>
                <w:rFonts w:hint="eastAsia" w:ascii="宋体" w:hAnsi="宋体"/>
                <w:b/>
                <w:bCs/>
                <w:iCs/>
                <w:sz w:val="24"/>
                <w:szCs w:val="24"/>
              </w:rPr>
            </w:pPr>
          </w:p>
        </w:tc>
        <w:tc>
          <w:tcPr>
            <w:tcW w:w="6308" w:type="dxa"/>
            <w:shd w:val="clear" w:color="auto" w:fill="auto"/>
            <w:vAlign w:val="center"/>
          </w:tcPr>
          <w:p w14:paraId="61A53F82">
            <w:pPr>
              <w:pStyle w:val="10"/>
              <w:keepNext w:val="0"/>
              <w:keepLines w:val="0"/>
              <w:pageBreakBefore w:val="0"/>
              <w:widowControl/>
              <w:numPr>
                <w:ilvl w:val="0"/>
                <w:numId w:val="1"/>
              </w:numPr>
              <w:kinsoku/>
              <w:wordWrap/>
              <w:overflowPunct/>
              <w:topLinePunct w:val="0"/>
              <w:autoSpaceDE/>
              <w:autoSpaceDN/>
              <w:bidi w:val="0"/>
              <w:adjustRightInd/>
              <w:snapToGrid/>
              <w:spacing w:line="360" w:lineRule="auto"/>
              <w:ind w:firstLineChars="0"/>
              <w:jc w:val="both"/>
              <w:textAlignment w:val="auto"/>
              <w:rPr>
                <w:b/>
                <w:sz w:val="24"/>
                <w:szCs w:val="24"/>
              </w:rPr>
            </w:pPr>
            <w:r>
              <w:rPr>
                <w:rFonts w:hint="eastAsia"/>
                <w:b/>
                <w:sz w:val="24"/>
                <w:szCs w:val="24"/>
              </w:rPr>
              <w:t>公司基本情况介绍；</w:t>
            </w:r>
          </w:p>
          <w:p w14:paraId="6550C831">
            <w:pPr>
              <w:pStyle w:val="10"/>
              <w:keepNext w:val="0"/>
              <w:keepLines w:val="0"/>
              <w:pageBreakBefore w:val="0"/>
              <w:widowControl/>
              <w:numPr>
                <w:ilvl w:val="0"/>
                <w:numId w:val="1"/>
              </w:numPr>
              <w:kinsoku/>
              <w:wordWrap/>
              <w:overflowPunct/>
              <w:topLinePunct w:val="0"/>
              <w:autoSpaceDE/>
              <w:autoSpaceDN/>
              <w:bidi w:val="0"/>
              <w:adjustRightInd/>
              <w:snapToGrid/>
              <w:spacing w:line="360" w:lineRule="auto"/>
              <w:ind w:firstLineChars="0"/>
              <w:jc w:val="both"/>
              <w:textAlignment w:val="auto"/>
              <w:rPr>
                <w:b/>
                <w:sz w:val="24"/>
                <w:szCs w:val="24"/>
              </w:rPr>
            </w:pPr>
            <w:r>
              <w:rPr>
                <w:rFonts w:hint="eastAsia"/>
                <w:b/>
                <w:sz w:val="24"/>
                <w:szCs w:val="24"/>
              </w:rPr>
              <w:t>与投资者进行交流，主要内容如下：</w:t>
            </w:r>
          </w:p>
          <w:p w14:paraId="48711F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b/>
                <w:sz w:val="24"/>
                <w:szCs w:val="24"/>
              </w:rPr>
            </w:pPr>
            <w:r>
              <w:rPr>
                <w:rFonts w:hint="eastAsia"/>
                <w:b/>
                <w:sz w:val="24"/>
                <w:szCs w:val="24"/>
              </w:rPr>
              <w:t>（一）2026年</w:t>
            </w:r>
            <w:r>
              <w:rPr>
                <w:rFonts w:hint="eastAsia"/>
                <w:b/>
                <w:sz w:val="24"/>
                <w:szCs w:val="24"/>
                <w:lang w:val="en-US" w:eastAsia="zh-CN"/>
              </w:rPr>
              <w:t>半年度</w:t>
            </w:r>
            <w:r>
              <w:rPr>
                <w:rFonts w:hint="eastAsia"/>
                <w:b/>
                <w:sz w:val="24"/>
                <w:szCs w:val="24"/>
              </w:rPr>
              <w:t>公司主要经营情况</w:t>
            </w:r>
          </w:p>
          <w:p w14:paraId="35B704E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eastAsia="宋体"/>
                <w:b w:val="0"/>
                <w:bCs/>
                <w:sz w:val="24"/>
                <w:szCs w:val="24"/>
                <w:lang w:eastAsia="zh-CN"/>
              </w:rPr>
            </w:pPr>
            <w:r>
              <w:rPr>
                <w:rFonts w:hint="eastAsia" w:eastAsia="宋体"/>
                <w:b w:val="0"/>
                <w:bCs/>
                <w:sz w:val="24"/>
                <w:szCs w:val="24"/>
                <w:lang w:eastAsia="zh-CN"/>
              </w:rPr>
              <w:t>2026年上半年，公司持续聚焦高分子复合饰面材料与建筑陶瓷两大核心业务，围绕“旧改、出海、新经济”三大战略方向，纵深推进泛家居生态圈建设：以工业化内装产品体系深耕存量旧改市场，以涵盖产品、服务、品牌、技术的全体系模式加速海外布局，同时积极拥抱新经济，拓展新质生产力产业赛道，致力构建高科技、高效能、高质量的发展路径，推动集团产业行稳致远。2026年上半年，公司实现营业收入128,396.87万元，同比下降11.05%，归属于上市公司股东的净利润3,348.08万元，同比下降46.15%，归属于上市公司股东的扣除非经常性损益的净利润为2,646.26万元，同比下降55.97%。受行业整体承压及消费疲软等影响，公司主要产品汽车内饰饰面材料和建筑陶瓷营业收入同比下降7.46%和20.08%。同时，受国际地缘政治局势影响，主要原材料树脂粉、增塑剂采购均价同比分别上涨7.83%和4.20%，综合影响下，主营业务毛利率收窄，同比下降3.08%，毛利和利润总额下滑。</w:t>
            </w:r>
          </w:p>
          <w:p w14:paraId="5C956FBD">
            <w:pPr>
              <w:keepNext w:val="0"/>
              <w:keepLines w:val="0"/>
              <w:pageBreakBefore w:val="0"/>
              <w:widowControl/>
              <w:kinsoku/>
              <w:wordWrap/>
              <w:overflowPunct/>
              <w:topLinePunct w:val="0"/>
              <w:autoSpaceDE/>
              <w:autoSpaceDN/>
              <w:bidi w:val="0"/>
              <w:adjustRightInd/>
              <w:snapToGrid/>
              <w:spacing w:line="360" w:lineRule="auto"/>
              <w:jc w:val="both"/>
              <w:textAlignment w:val="auto"/>
              <w:rPr>
                <w:sz w:val="24"/>
                <w:szCs w:val="24"/>
              </w:rPr>
            </w:pPr>
            <w:r>
              <w:rPr>
                <w:rFonts w:hint="eastAsia"/>
                <w:b/>
                <w:sz w:val="24"/>
                <w:szCs w:val="24"/>
              </w:rPr>
              <w:t>（</w:t>
            </w:r>
            <w:r>
              <w:rPr>
                <w:rFonts w:hint="eastAsia"/>
                <w:b/>
                <w:sz w:val="24"/>
                <w:szCs w:val="24"/>
                <w:lang w:val="en-US" w:eastAsia="zh-CN"/>
              </w:rPr>
              <w:t>二</w:t>
            </w:r>
            <w:r>
              <w:rPr>
                <w:rFonts w:hint="eastAsia"/>
                <w:b/>
                <w:sz w:val="24"/>
                <w:szCs w:val="24"/>
              </w:rPr>
              <w:t>）提问交流环节：</w:t>
            </w:r>
          </w:p>
          <w:p w14:paraId="7DC7C50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eastAsia="宋体"/>
                <w:sz w:val="24"/>
                <w:szCs w:val="24"/>
                <w:lang w:val="en-US" w:eastAsia="zh-CN"/>
              </w:rPr>
            </w:pPr>
            <w:r>
              <w:rPr>
                <w:rFonts w:hint="eastAsia"/>
                <w:sz w:val="24"/>
                <w:szCs w:val="24"/>
              </w:rPr>
              <w:t>1、面对现实经营压力，公司有何应对举措？</w:t>
            </w:r>
          </w:p>
          <w:p w14:paraId="31AC1E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rPr>
            </w:pPr>
            <w:r>
              <w:rPr>
                <w:rFonts w:hint="eastAsia"/>
                <w:sz w:val="24"/>
                <w:szCs w:val="24"/>
              </w:rPr>
              <w:t>答：</w:t>
            </w:r>
            <w:r>
              <w:rPr>
                <w:sz w:val="24"/>
                <w:szCs w:val="24"/>
              </w:rPr>
              <w:t xml:space="preserve"> </w:t>
            </w:r>
            <w:r>
              <w:rPr>
                <w:rFonts w:hint="eastAsia"/>
                <w:sz w:val="24"/>
                <w:szCs w:val="24"/>
              </w:rPr>
              <w:t>面对现实经营压力，公司多措并举改善经营质量、提高经营效益。在高分子复合饰面材料板块，公司不断加强创新研发，高分子功能复合饰面材料及汽车内饰件中试平台成功获批为佛山市中试平台，为高分子新材料落地量产筑牢根基；巩固已有客户的合作关系，持续开拓潜在客户，针对客户定制化需求开发产品，推出的“VERA 维然系列”和“CELUX 云皙系列”汽车内饰饰面材料双双摘得“金鳞奖”；同时持续强化产品质量管控体系，完善生产工艺，优化订单结构，聚焦高附加值、高技术含量的订单。在建筑陶瓷板块，鹰牌公司继续深化“陶瓷+大家居”双轨并行战略，推出“蜜蜡石”、“金丝绒”等系列陶瓷新品，同步推进新材品类协同发展；加大与有共同价值观的知名度高的整装公司、设计公司及战略工程渠道伙伴的合作力度，全面推进渠道下沉，重点开拓县级城市空白区域，开发适配县域及乡镇市场的产品，挖掘下沉市场增量空间；不断搭建完善全域新媒体传播矩阵，强化品牌曝光与线上精准引流能力，打通线上引流、线下体验、终端转化的闭环服务的模式。</w:t>
            </w:r>
          </w:p>
          <w:p w14:paraId="2907CFC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sz w:val="24"/>
                <w:szCs w:val="24"/>
              </w:rPr>
            </w:pPr>
          </w:p>
          <w:p w14:paraId="06B701D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rPr>
            </w:pPr>
            <w:r>
              <w:rPr>
                <w:rFonts w:hint="eastAsia"/>
                <w:sz w:val="24"/>
                <w:szCs w:val="24"/>
                <w:lang w:val="en-US" w:eastAsia="zh-CN"/>
              </w:rPr>
              <w:t>2</w:t>
            </w:r>
            <w:r>
              <w:rPr>
                <w:rFonts w:hint="eastAsia"/>
                <w:sz w:val="24"/>
                <w:szCs w:val="24"/>
              </w:rPr>
              <w:t>、关注到公司近期参股了深圳烁光精密，请问</w:t>
            </w:r>
            <w:r>
              <w:rPr>
                <w:rFonts w:hint="eastAsia"/>
                <w:sz w:val="24"/>
                <w:szCs w:val="24"/>
                <w:lang w:val="en-US" w:eastAsia="zh-CN"/>
              </w:rPr>
              <w:t>本次投资背景是什么</w:t>
            </w:r>
            <w:r>
              <w:rPr>
                <w:rFonts w:hint="eastAsia"/>
                <w:sz w:val="24"/>
                <w:szCs w:val="24"/>
                <w:lang w:eastAsia="zh-CN"/>
              </w:rPr>
              <w:t>？</w:t>
            </w:r>
            <w:r>
              <w:rPr>
                <w:rFonts w:hint="eastAsia"/>
                <w:sz w:val="24"/>
                <w:szCs w:val="24"/>
              </w:rPr>
              <w:t>烁光精密的核心技术是什么？</w:t>
            </w:r>
          </w:p>
          <w:p w14:paraId="45C704C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eastAsia"/>
                <w:sz w:val="24"/>
                <w:szCs w:val="24"/>
              </w:rPr>
            </w:pPr>
            <w:r>
              <w:rPr>
                <w:rFonts w:hint="eastAsia"/>
                <w:sz w:val="24"/>
                <w:szCs w:val="24"/>
              </w:rPr>
              <w:t>答：公司紧密围绕新质生产力相关产业方向不断探索和布局</w:t>
            </w:r>
            <w:r>
              <w:rPr>
                <w:rFonts w:hint="eastAsia"/>
                <w:sz w:val="24"/>
                <w:szCs w:val="24"/>
                <w:lang w:eastAsia="zh-CN"/>
              </w:rPr>
              <w:t>，</w:t>
            </w:r>
            <w:r>
              <w:rPr>
                <w:rFonts w:hint="eastAsia"/>
                <w:sz w:val="24"/>
                <w:szCs w:val="24"/>
                <w:lang w:val="en-US" w:eastAsia="zh-CN"/>
              </w:rPr>
              <w:t>通过</w:t>
            </w:r>
            <w:r>
              <w:rPr>
                <w:rFonts w:hint="eastAsia"/>
                <w:sz w:val="24"/>
                <w:szCs w:val="24"/>
              </w:rPr>
              <w:t>全资子公司天安智投参股深圳烁光精密科技有限公司。烁光精密是一家超快激光精密制造赛道的科技型公司，以其自主设计开发的高自由度高精度光学微纳制造系统、配套算法及工艺库为核心技术，聚焦高端光互联器件如高通道V槽、微孔阵列等产品的研发、生产和销售。目前对烁光精密的投资对公司业绩暂不构成重大影响，敬请广大投资者理性决策，注意投资风险。</w:t>
            </w:r>
          </w:p>
          <w:p w14:paraId="3FB0EA29">
            <w:pPr>
              <w:widowControl/>
              <w:spacing w:beforeLines="0" w:afterLines="0" w:line="360" w:lineRule="auto"/>
              <w:ind w:firstLine="480" w:firstLineChars="200"/>
              <w:jc w:val="both"/>
              <w:rPr>
                <w:rFonts w:hint="eastAsia"/>
                <w:sz w:val="24"/>
                <w:szCs w:val="24"/>
                <w:lang w:val="en-US" w:eastAsia="zh-CN"/>
              </w:rPr>
            </w:pPr>
          </w:p>
          <w:p w14:paraId="48E2D030">
            <w:pPr>
              <w:widowControl/>
              <w:spacing w:beforeLines="0" w:afterLines="0" w:line="360" w:lineRule="auto"/>
              <w:ind w:firstLine="480" w:firstLineChars="200"/>
              <w:jc w:val="both"/>
              <w:rPr>
                <w:rFonts w:hint="eastAsia"/>
                <w:sz w:val="24"/>
                <w:szCs w:val="24"/>
              </w:rPr>
            </w:pPr>
            <w:r>
              <w:rPr>
                <w:rFonts w:hint="eastAsia"/>
                <w:sz w:val="24"/>
                <w:szCs w:val="24"/>
                <w:lang w:val="en-US" w:eastAsia="zh-CN"/>
              </w:rPr>
              <w:t>3</w:t>
            </w:r>
            <w:r>
              <w:rPr>
                <w:rFonts w:hint="eastAsia"/>
                <w:sz w:val="24"/>
                <w:szCs w:val="24"/>
              </w:rPr>
              <w:t>、针对存量蓝海，公司有哪些新举措？</w:t>
            </w:r>
          </w:p>
          <w:p w14:paraId="12B6FFE8">
            <w:pPr>
              <w:widowControl/>
              <w:spacing w:beforeLines="0" w:afterLines="0" w:line="360" w:lineRule="auto"/>
              <w:ind w:firstLine="480" w:firstLineChars="200"/>
              <w:jc w:val="both"/>
              <w:rPr>
                <w:rFonts w:hint="eastAsia"/>
                <w:sz w:val="24"/>
                <w:szCs w:val="24"/>
              </w:rPr>
            </w:pPr>
            <w:r>
              <w:rPr>
                <w:rFonts w:hint="eastAsia"/>
                <w:sz w:val="24"/>
                <w:szCs w:val="24"/>
              </w:rPr>
              <w:t>答：公司主动把握存量改造战略机遇，把以车家同源技术为支撑的高环保高品质饰面材料、生产技术和以装配式集成整装技术为基础的空间环保快装解决方案应用在家装和公装领域。鹰牌公司旗下的鹰牌新材以“存量焕新专家”定位，推出硅藻泥科技板、安芯墙板、石晶墙/地板、墙衣、防摔地胶、瓷砖薄贴和家居改色膜等工业化内装产品及装配式交付服务，以“美快好省”的产品体系满足家居快速焕新的需求，同时瞄准保障性住房、商业空间、医院等存量公装空间市场发展蓝海，以环保、便捷、高性价比优势精准匹配公装焕新需求。在渠道拓展上，鹰牌新材推行“1+N+n”的渠道合作模式，以城市经销商为核心，联动区域运营中心店与社区分销店，实现渠道快速下沉与区域资源高效整合，构建起层次分明、覆盖全面的经销网络，并且搭建六大赋能体系，助力经销商稳步开拓存量市场。</w:t>
            </w:r>
          </w:p>
          <w:p w14:paraId="79AB43D5">
            <w:pPr>
              <w:widowControl/>
              <w:spacing w:beforeLines="0" w:afterLines="0" w:line="360" w:lineRule="auto"/>
              <w:ind w:firstLine="480" w:firstLineChars="200"/>
              <w:jc w:val="both"/>
              <w:rPr>
                <w:rFonts w:hint="eastAsia"/>
                <w:sz w:val="24"/>
                <w:szCs w:val="24"/>
              </w:rPr>
            </w:pPr>
          </w:p>
          <w:p w14:paraId="68F53F8B">
            <w:pPr>
              <w:widowControl/>
              <w:spacing w:line="360" w:lineRule="auto"/>
              <w:ind w:firstLine="480" w:firstLineChars="200"/>
              <w:rPr>
                <w:rFonts w:hint="eastAsia"/>
                <w:sz w:val="24"/>
                <w:szCs w:val="24"/>
              </w:rPr>
            </w:pPr>
            <w:r>
              <w:rPr>
                <w:rFonts w:hint="eastAsia"/>
                <w:sz w:val="24"/>
                <w:szCs w:val="24"/>
                <w:lang w:val="en-US" w:eastAsia="zh-CN"/>
              </w:rPr>
              <w:t>4</w:t>
            </w:r>
            <w:r>
              <w:rPr>
                <w:rFonts w:hint="eastAsia"/>
                <w:sz w:val="24"/>
                <w:szCs w:val="24"/>
              </w:rPr>
              <w:t>、公司在推进国际化战略及海外市场布局方面有哪些具体举措和成果？</w:t>
            </w:r>
          </w:p>
          <w:p w14:paraId="2367B20A">
            <w:pPr>
              <w:widowControl/>
              <w:spacing w:beforeLines="0" w:afterLines="0" w:line="360" w:lineRule="auto"/>
              <w:ind w:firstLine="480" w:firstLineChars="200"/>
              <w:jc w:val="both"/>
              <w:rPr>
                <w:rFonts w:hint="eastAsia"/>
                <w:sz w:val="24"/>
                <w:szCs w:val="24"/>
              </w:rPr>
            </w:pPr>
            <w:r>
              <w:rPr>
                <w:rFonts w:hint="eastAsia"/>
                <w:sz w:val="24"/>
                <w:szCs w:val="24"/>
              </w:rPr>
              <w:t>答：公司坚定推进涵盖产品、服务、品牌、技术的全套体系出海，摒弃传统重资产出海模式，聚焦品牌、技术与服务输出。公司搭建起了多平台、多渠道的海外社媒账号矩阵，初步形成内容生产、线上流量运营及订单转化的营销闭环，海外获客效能不断增强；并且针对不同类型市场，进行差异化布局，东南亚、中东等地区新展厅相继落地，同时公司各产品之间的协同效应显现，订单来源及品类结构日趋多元化。2026年上半年，公司瞄准印尼市场新首都建设热潮和基建市场高速扩容的契机，通过海外子公司印尼天瑞装饰，优先选择建筑耐火饰面板材等装配式内装部品部件作为主打产品，以本地化经营模式精准匹配当地市场特性、施工规范和消费者诉求，加强海外项目高效响应和品牌本土化落地。</w:t>
            </w:r>
          </w:p>
          <w:p w14:paraId="3B498AB8">
            <w:pPr>
              <w:widowControl/>
              <w:spacing w:beforeLines="0" w:afterLines="0" w:line="360" w:lineRule="auto"/>
              <w:ind w:firstLine="480" w:firstLineChars="200"/>
              <w:jc w:val="both"/>
              <w:rPr>
                <w:rFonts w:hint="eastAsia"/>
                <w:sz w:val="24"/>
                <w:szCs w:val="24"/>
              </w:rPr>
            </w:pPr>
          </w:p>
          <w:p w14:paraId="58EB2019">
            <w:pPr>
              <w:widowControl/>
              <w:spacing w:line="360" w:lineRule="auto"/>
              <w:ind w:firstLine="480" w:firstLineChars="200"/>
              <w:rPr>
                <w:rFonts w:hint="eastAsia"/>
                <w:sz w:val="24"/>
                <w:szCs w:val="24"/>
              </w:rPr>
            </w:pPr>
            <w:r>
              <w:rPr>
                <w:rFonts w:hint="eastAsia"/>
                <w:sz w:val="24"/>
                <w:szCs w:val="24"/>
                <w:lang w:val="en-US" w:eastAsia="zh-CN"/>
              </w:rPr>
              <w:t>5</w:t>
            </w:r>
            <w:r>
              <w:rPr>
                <w:rFonts w:hint="eastAsia"/>
                <w:sz w:val="24"/>
                <w:szCs w:val="24"/>
              </w:rPr>
              <w:t>、展望未来发展，公司有着怎样的战略布局与规划？</w:t>
            </w:r>
          </w:p>
          <w:p w14:paraId="629F745C">
            <w:pPr>
              <w:widowControl/>
              <w:spacing w:beforeLines="0" w:afterLines="0" w:line="360" w:lineRule="auto"/>
              <w:ind w:firstLine="480" w:firstLineChars="200"/>
              <w:jc w:val="both"/>
              <w:rPr>
                <w:rFonts w:hint="eastAsia" w:eastAsia="宋体"/>
                <w:sz w:val="24"/>
                <w:szCs w:val="24"/>
                <w:lang w:val="en-US" w:eastAsia="zh-CN"/>
              </w:rPr>
            </w:pPr>
            <w:r>
              <w:rPr>
                <w:rFonts w:hint="eastAsia"/>
                <w:sz w:val="24"/>
                <w:szCs w:val="24"/>
              </w:rPr>
              <w:t>答：未来，公司将继续夯实高分子复合饰面材料与建筑陶瓷两大核心业务，围绕“旧改、出海、新经济”三大战略方向，紧抓国内城市更新、老旧小区改造、保障性住房建设等政策机遇；加快海外布局，实现产品、服务、品牌、技术的全体系出海；不断推动新经济与传统产业深度融合，积极培育新的业绩增长点，推动公司高质量发展。</w:t>
            </w:r>
          </w:p>
          <w:p w14:paraId="018E24F4">
            <w:pPr>
              <w:widowControl/>
              <w:spacing w:beforeLines="0" w:afterLines="0" w:line="360" w:lineRule="auto"/>
              <w:ind w:firstLine="480" w:firstLineChars="200"/>
              <w:jc w:val="both"/>
              <w:rPr>
                <w:rFonts w:hint="eastAsia"/>
                <w:sz w:val="24"/>
                <w:szCs w:val="24"/>
              </w:rPr>
            </w:pPr>
          </w:p>
        </w:tc>
      </w:tr>
      <w:tr w14:paraId="623B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shd w:val="clear" w:color="auto" w:fill="auto"/>
            <w:vAlign w:val="center"/>
          </w:tcPr>
          <w:p w14:paraId="2CBAFEF1">
            <w:pPr>
              <w:spacing w:line="480" w:lineRule="atLeast"/>
              <w:jc w:val="both"/>
              <w:rPr>
                <w:rFonts w:hint="eastAsia" w:ascii="宋体" w:hAnsi="宋体"/>
                <w:b/>
                <w:bCs/>
                <w:iCs/>
                <w:sz w:val="24"/>
                <w:szCs w:val="24"/>
              </w:rPr>
            </w:pPr>
            <w:r>
              <w:rPr>
                <w:rFonts w:hint="eastAsia" w:ascii="宋体" w:hAnsi="宋体"/>
                <w:b/>
                <w:bCs/>
                <w:iCs/>
                <w:sz w:val="24"/>
                <w:szCs w:val="24"/>
              </w:rPr>
              <w:t>附件清单</w:t>
            </w:r>
          </w:p>
          <w:p w14:paraId="14C10D9E">
            <w:pPr>
              <w:spacing w:line="480" w:lineRule="atLeast"/>
              <w:jc w:val="both"/>
              <w:rPr>
                <w:rFonts w:hint="eastAsia" w:ascii="宋体" w:hAnsi="宋体"/>
                <w:b/>
                <w:bCs/>
                <w:iCs/>
                <w:sz w:val="24"/>
                <w:szCs w:val="24"/>
              </w:rPr>
            </w:pPr>
            <w:r>
              <w:rPr>
                <w:rFonts w:hint="eastAsia" w:ascii="宋体" w:hAnsi="宋体"/>
                <w:b/>
                <w:bCs/>
                <w:iCs/>
                <w:sz w:val="24"/>
                <w:szCs w:val="24"/>
              </w:rPr>
              <w:t>（如有）</w:t>
            </w:r>
          </w:p>
        </w:tc>
        <w:tc>
          <w:tcPr>
            <w:tcW w:w="6308" w:type="dxa"/>
            <w:shd w:val="clear" w:color="auto" w:fill="auto"/>
            <w:vAlign w:val="center"/>
          </w:tcPr>
          <w:p w14:paraId="4D3415FA">
            <w:pPr>
              <w:spacing w:line="480" w:lineRule="atLeast"/>
              <w:jc w:val="both"/>
              <w:rPr>
                <w:rFonts w:hint="eastAsia" w:ascii="宋体" w:hAnsi="宋体"/>
                <w:bCs/>
                <w:iCs/>
                <w:sz w:val="24"/>
                <w:szCs w:val="24"/>
              </w:rPr>
            </w:pPr>
            <w:r>
              <w:rPr>
                <w:rFonts w:ascii="宋体" w:hAnsi="宋体"/>
                <w:bCs/>
                <w:iCs/>
                <w:sz w:val="24"/>
                <w:szCs w:val="24"/>
              </w:rPr>
              <w:t>无</w:t>
            </w:r>
          </w:p>
        </w:tc>
      </w:tr>
      <w:tr w14:paraId="719AC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5" w:type="dxa"/>
            <w:shd w:val="clear" w:color="auto" w:fill="auto"/>
            <w:vAlign w:val="center"/>
          </w:tcPr>
          <w:p w14:paraId="32A9BB6F">
            <w:pPr>
              <w:spacing w:line="480" w:lineRule="atLeast"/>
              <w:jc w:val="both"/>
              <w:rPr>
                <w:rFonts w:hint="eastAsia" w:ascii="宋体" w:hAnsi="宋体"/>
                <w:b/>
                <w:bCs/>
                <w:iCs/>
                <w:sz w:val="24"/>
                <w:szCs w:val="24"/>
              </w:rPr>
            </w:pPr>
            <w:r>
              <w:rPr>
                <w:rFonts w:hint="eastAsia" w:ascii="宋体" w:hAnsi="宋体"/>
                <w:b/>
                <w:bCs/>
                <w:iCs/>
                <w:sz w:val="24"/>
                <w:szCs w:val="24"/>
              </w:rPr>
              <w:t>日期</w:t>
            </w:r>
          </w:p>
        </w:tc>
        <w:tc>
          <w:tcPr>
            <w:tcW w:w="6308" w:type="dxa"/>
            <w:shd w:val="clear" w:color="auto" w:fill="auto"/>
            <w:vAlign w:val="center"/>
          </w:tcPr>
          <w:p w14:paraId="3488726F">
            <w:pPr>
              <w:spacing w:line="480" w:lineRule="atLeast"/>
              <w:jc w:val="both"/>
              <w:rPr>
                <w:rFonts w:hint="eastAsia" w:ascii="宋体" w:hAnsi="宋体"/>
                <w:bCs/>
                <w:iCs/>
                <w:sz w:val="24"/>
                <w:szCs w:val="24"/>
              </w:rPr>
            </w:pPr>
            <w:r>
              <w:rPr>
                <w:rFonts w:hint="eastAsia" w:ascii="宋体" w:hAnsi="宋体"/>
                <w:bCs/>
                <w:iCs/>
                <w:sz w:val="24"/>
                <w:szCs w:val="24"/>
              </w:rPr>
              <w:t>202</w:t>
            </w:r>
            <w:r>
              <w:rPr>
                <w:rFonts w:hint="eastAsia" w:ascii="宋体" w:hAnsi="宋体"/>
                <w:bCs/>
                <w:iCs/>
                <w:sz w:val="24"/>
                <w:szCs w:val="24"/>
                <w:lang w:val="en-US" w:eastAsia="zh-CN"/>
              </w:rPr>
              <w:t>6</w:t>
            </w:r>
            <w:r>
              <w:rPr>
                <w:rFonts w:hint="eastAsia" w:ascii="宋体" w:hAnsi="宋体"/>
                <w:bCs/>
                <w:iCs/>
                <w:sz w:val="24"/>
                <w:szCs w:val="24"/>
              </w:rPr>
              <w:t>年</w:t>
            </w:r>
            <w:r>
              <w:rPr>
                <w:rFonts w:hint="eastAsia" w:ascii="宋体" w:hAnsi="宋体"/>
                <w:bCs/>
                <w:iCs/>
                <w:sz w:val="24"/>
                <w:szCs w:val="24"/>
                <w:lang w:val="en-US" w:eastAsia="zh-CN"/>
              </w:rPr>
              <w:t>9</w:t>
            </w:r>
            <w:r>
              <w:rPr>
                <w:rFonts w:hint="eastAsia" w:ascii="宋体" w:hAnsi="宋体"/>
                <w:bCs/>
                <w:iCs/>
                <w:sz w:val="24"/>
                <w:szCs w:val="24"/>
              </w:rPr>
              <w:t>月</w:t>
            </w:r>
            <w:r>
              <w:rPr>
                <w:rFonts w:hint="eastAsia" w:ascii="宋体" w:hAnsi="宋体"/>
                <w:bCs/>
                <w:iCs/>
                <w:sz w:val="24"/>
                <w:szCs w:val="24"/>
                <w:lang w:val="en-US" w:eastAsia="zh-CN"/>
              </w:rPr>
              <w:t>4</w:t>
            </w:r>
            <w:r>
              <w:rPr>
                <w:rFonts w:hint="eastAsia" w:ascii="宋体" w:hAnsi="宋体"/>
                <w:bCs/>
                <w:iCs/>
                <w:sz w:val="24"/>
                <w:szCs w:val="24"/>
              </w:rPr>
              <w:t>日</w:t>
            </w:r>
          </w:p>
        </w:tc>
      </w:tr>
    </w:tbl>
    <w:p w14:paraId="5B12D23E"/>
    <w:sectPr>
      <w:headerReference r:id="rId3" w:type="default"/>
      <w:pgSz w:w="11907" w:h="16839"/>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392EF">
    <w:pPr>
      <w:pStyle w:val="4"/>
      <w:rPr>
        <w:rFonts w:hint="eastAsia" w:ascii="宋体" w:hAnsi="宋体"/>
        <w:bCs/>
        <w:iCs/>
        <w:sz w:val="21"/>
        <w:szCs w:val="21"/>
      </w:rPr>
    </w:pPr>
    <w:r>
      <w:rPr>
        <w:rFonts w:hint="eastAsia" w:ascii="宋体" w:hAnsi="宋体"/>
        <w:bCs/>
        <w:iCs/>
        <w:sz w:val="21"/>
        <w:szCs w:val="21"/>
      </w:rPr>
      <w:t>证券代码：60</w:t>
    </w:r>
    <w:r>
      <w:rPr>
        <w:rFonts w:ascii="宋体" w:hAnsi="宋体"/>
        <w:bCs/>
        <w:iCs/>
        <w:sz w:val="21"/>
        <w:szCs w:val="21"/>
      </w:rPr>
      <w:t>3</w:t>
    </w:r>
    <w:r>
      <w:rPr>
        <w:rFonts w:hint="eastAsia" w:ascii="宋体" w:hAnsi="宋体"/>
        <w:bCs/>
        <w:iCs/>
        <w:sz w:val="21"/>
        <w:szCs w:val="21"/>
      </w:rPr>
      <w:t xml:space="preserve">725  </w:t>
    </w:r>
    <w:r>
      <w:rPr>
        <w:rFonts w:ascii="宋体" w:hAnsi="宋体"/>
        <w:bCs/>
        <w:iCs/>
        <w:sz w:val="21"/>
        <w:szCs w:val="21"/>
      </w:rPr>
      <w:t xml:space="preserve">                         </w:t>
    </w:r>
    <w:r>
      <w:rPr>
        <w:rFonts w:hint="eastAsia" w:ascii="宋体" w:hAnsi="宋体"/>
        <w:bCs/>
        <w:iCs/>
        <w:sz w:val="21"/>
        <w:szCs w:val="21"/>
      </w:rPr>
      <w:t xml:space="preserve">         证券简称：天安新材</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A57A49"/>
    <w:multiLevelType w:val="multilevel"/>
    <w:tmpl w:val="5CA57A49"/>
    <w:lvl w:ilvl="0" w:tentative="0">
      <w:start w:val="1"/>
      <w:numFmt w:val="japaneseCounting"/>
      <w:lvlText w:val="%1、"/>
      <w:lvlJc w:val="left"/>
      <w:pPr>
        <w:ind w:left="510" w:hanging="51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doNotDisplayPageBoundaries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157FD"/>
    <w:rsid w:val="000245CA"/>
    <w:rsid w:val="000450A9"/>
    <w:rsid w:val="00063073"/>
    <w:rsid w:val="000754B4"/>
    <w:rsid w:val="0007568B"/>
    <w:rsid w:val="00080F2B"/>
    <w:rsid w:val="000849BA"/>
    <w:rsid w:val="000A31DA"/>
    <w:rsid w:val="000A79FB"/>
    <w:rsid w:val="000A7E4A"/>
    <w:rsid w:val="000B1C14"/>
    <w:rsid w:val="000B75A7"/>
    <w:rsid w:val="000D00C7"/>
    <w:rsid w:val="000D3A79"/>
    <w:rsid w:val="000D56FE"/>
    <w:rsid w:val="000F18AF"/>
    <w:rsid w:val="000F4DD6"/>
    <w:rsid w:val="001024E5"/>
    <w:rsid w:val="00106147"/>
    <w:rsid w:val="00113B34"/>
    <w:rsid w:val="00130C40"/>
    <w:rsid w:val="001337F9"/>
    <w:rsid w:val="0013500E"/>
    <w:rsid w:val="001439BE"/>
    <w:rsid w:val="00143F94"/>
    <w:rsid w:val="001502E6"/>
    <w:rsid w:val="00155B3C"/>
    <w:rsid w:val="001722F3"/>
    <w:rsid w:val="00173E13"/>
    <w:rsid w:val="00174F18"/>
    <w:rsid w:val="00175757"/>
    <w:rsid w:val="00192E4E"/>
    <w:rsid w:val="00194834"/>
    <w:rsid w:val="001A467E"/>
    <w:rsid w:val="001B1A53"/>
    <w:rsid w:val="001C3480"/>
    <w:rsid w:val="001C6A4B"/>
    <w:rsid w:val="001D2DB1"/>
    <w:rsid w:val="001D369A"/>
    <w:rsid w:val="001D3916"/>
    <w:rsid w:val="001D4AAE"/>
    <w:rsid w:val="001D6BFE"/>
    <w:rsid w:val="001F10A8"/>
    <w:rsid w:val="001F4DDD"/>
    <w:rsid w:val="00214491"/>
    <w:rsid w:val="00220AEA"/>
    <w:rsid w:val="00225393"/>
    <w:rsid w:val="002312D7"/>
    <w:rsid w:val="00231727"/>
    <w:rsid w:val="00232BC1"/>
    <w:rsid w:val="00246187"/>
    <w:rsid w:val="0025317F"/>
    <w:rsid w:val="00273315"/>
    <w:rsid w:val="002C5EEF"/>
    <w:rsid w:val="002D1265"/>
    <w:rsid w:val="002D200D"/>
    <w:rsid w:val="002D39A7"/>
    <w:rsid w:val="002D7DA7"/>
    <w:rsid w:val="003063E5"/>
    <w:rsid w:val="00312F15"/>
    <w:rsid w:val="00320994"/>
    <w:rsid w:val="003262D5"/>
    <w:rsid w:val="00333001"/>
    <w:rsid w:val="0033336C"/>
    <w:rsid w:val="00340B1B"/>
    <w:rsid w:val="0035062B"/>
    <w:rsid w:val="00352F7F"/>
    <w:rsid w:val="003542D7"/>
    <w:rsid w:val="00364883"/>
    <w:rsid w:val="00371229"/>
    <w:rsid w:val="00374563"/>
    <w:rsid w:val="00395D4D"/>
    <w:rsid w:val="003B1E53"/>
    <w:rsid w:val="003B5E23"/>
    <w:rsid w:val="003E102C"/>
    <w:rsid w:val="003E2689"/>
    <w:rsid w:val="003E59F4"/>
    <w:rsid w:val="003F122F"/>
    <w:rsid w:val="003F4018"/>
    <w:rsid w:val="003F43A4"/>
    <w:rsid w:val="003F4561"/>
    <w:rsid w:val="00404F68"/>
    <w:rsid w:val="00415156"/>
    <w:rsid w:val="004425B5"/>
    <w:rsid w:val="00444B9F"/>
    <w:rsid w:val="00465489"/>
    <w:rsid w:val="00474FCD"/>
    <w:rsid w:val="0047613C"/>
    <w:rsid w:val="00497936"/>
    <w:rsid w:val="004B1A37"/>
    <w:rsid w:val="004B1BED"/>
    <w:rsid w:val="004D363E"/>
    <w:rsid w:val="004E2B0F"/>
    <w:rsid w:val="004F55D1"/>
    <w:rsid w:val="004F612C"/>
    <w:rsid w:val="00512B00"/>
    <w:rsid w:val="005266F5"/>
    <w:rsid w:val="005275C3"/>
    <w:rsid w:val="00532CF0"/>
    <w:rsid w:val="0054754D"/>
    <w:rsid w:val="00547B0C"/>
    <w:rsid w:val="00550366"/>
    <w:rsid w:val="00572AFC"/>
    <w:rsid w:val="005736DE"/>
    <w:rsid w:val="00575FE1"/>
    <w:rsid w:val="005821BB"/>
    <w:rsid w:val="005846A6"/>
    <w:rsid w:val="0058766F"/>
    <w:rsid w:val="0059105E"/>
    <w:rsid w:val="005A47A2"/>
    <w:rsid w:val="005B17F9"/>
    <w:rsid w:val="005C77BC"/>
    <w:rsid w:val="005D293A"/>
    <w:rsid w:val="005E7547"/>
    <w:rsid w:val="005F359B"/>
    <w:rsid w:val="005F503A"/>
    <w:rsid w:val="00611486"/>
    <w:rsid w:val="00612EFB"/>
    <w:rsid w:val="0061358F"/>
    <w:rsid w:val="00613C16"/>
    <w:rsid w:val="00627797"/>
    <w:rsid w:val="00640A3C"/>
    <w:rsid w:val="00642CF8"/>
    <w:rsid w:val="00645FCE"/>
    <w:rsid w:val="006468F7"/>
    <w:rsid w:val="00654A0F"/>
    <w:rsid w:val="00667A84"/>
    <w:rsid w:val="00684FFB"/>
    <w:rsid w:val="00686ADF"/>
    <w:rsid w:val="006870FD"/>
    <w:rsid w:val="006C0777"/>
    <w:rsid w:val="006C2175"/>
    <w:rsid w:val="006D524A"/>
    <w:rsid w:val="006D58E8"/>
    <w:rsid w:val="006E7E43"/>
    <w:rsid w:val="006F0CFA"/>
    <w:rsid w:val="006F0D58"/>
    <w:rsid w:val="006F5D79"/>
    <w:rsid w:val="0072048B"/>
    <w:rsid w:val="00736D7F"/>
    <w:rsid w:val="00752C09"/>
    <w:rsid w:val="00762AF4"/>
    <w:rsid w:val="00774DCC"/>
    <w:rsid w:val="00775F2E"/>
    <w:rsid w:val="007819D5"/>
    <w:rsid w:val="00786334"/>
    <w:rsid w:val="00786BC2"/>
    <w:rsid w:val="007919B0"/>
    <w:rsid w:val="007A786C"/>
    <w:rsid w:val="007C57FF"/>
    <w:rsid w:val="007D371E"/>
    <w:rsid w:val="007E334D"/>
    <w:rsid w:val="007E6C40"/>
    <w:rsid w:val="00807DF7"/>
    <w:rsid w:val="00812FFA"/>
    <w:rsid w:val="00817A24"/>
    <w:rsid w:val="00821EFA"/>
    <w:rsid w:val="008403C3"/>
    <w:rsid w:val="00851660"/>
    <w:rsid w:val="00854131"/>
    <w:rsid w:val="00860925"/>
    <w:rsid w:val="0086439C"/>
    <w:rsid w:val="008713D8"/>
    <w:rsid w:val="00872CDE"/>
    <w:rsid w:val="0087466F"/>
    <w:rsid w:val="00877D67"/>
    <w:rsid w:val="00883B7B"/>
    <w:rsid w:val="008865DC"/>
    <w:rsid w:val="0089641D"/>
    <w:rsid w:val="008A0B53"/>
    <w:rsid w:val="008A17AA"/>
    <w:rsid w:val="008A7858"/>
    <w:rsid w:val="008B255D"/>
    <w:rsid w:val="008F1A7E"/>
    <w:rsid w:val="008F31B0"/>
    <w:rsid w:val="008F3A0C"/>
    <w:rsid w:val="0090042E"/>
    <w:rsid w:val="0091762C"/>
    <w:rsid w:val="009234B9"/>
    <w:rsid w:val="00923FA7"/>
    <w:rsid w:val="00941E2C"/>
    <w:rsid w:val="00947DE7"/>
    <w:rsid w:val="00957F83"/>
    <w:rsid w:val="009648A3"/>
    <w:rsid w:val="0098031D"/>
    <w:rsid w:val="009829C7"/>
    <w:rsid w:val="0099128B"/>
    <w:rsid w:val="00992438"/>
    <w:rsid w:val="00993947"/>
    <w:rsid w:val="009B06B8"/>
    <w:rsid w:val="009B0E89"/>
    <w:rsid w:val="009B52CC"/>
    <w:rsid w:val="009D6411"/>
    <w:rsid w:val="009E11A3"/>
    <w:rsid w:val="009E1A7B"/>
    <w:rsid w:val="009F00AB"/>
    <w:rsid w:val="00A001F8"/>
    <w:rsid w:val="00A0553C"/>
    <w:rsid w:val="00A1617C"/>
    <w:rsid w:val="00A2592E"/>
    <w:rsid w:val="00A34AF5"/>
    <w:rsid w:val="00A374E6"/>
    <w:rsid w:val="00A37B2D"/>
    <w:rsid w:val="00A51181"/>
    <w:rsid w:val="00A607A4"/>
    <w:rsid w:val="00A60AEF"/>
    <w:rsid w:val="00A641FB"/>
    <w:rsid w:val="00A767D4"/>
    <w:rsid w:val="00A7755E"/>
    <w:rsid w:val="00A7759C"/>
    <w:rsid w:val="00A82C5F"/>
    <w:rsid w:val="00A8341B"/>
    <w:rsid w:val="00A90EC7"/>
    <w:rsid w:val="00A91C76"/>
    <w:rsid w:val="00AC0959"/>
    <w:rsid w:val="00AD039E"/>
    <w:rsid w:val="00AD0F41"/>
    <w:rsid w:val="00AE4E56"/>
    <w:rsid w:val="00AF0224"/>
    <w:rsid w:val="00AF7C3D"/>
    <w:rsid w:val="00AF7F31"/>
    <w:rsid w:val="00B0652E"/>
    <w:rsid w:val="00B07A7E"/>
    <w:rsid w:val="00B241D3"/>
    <w:rsid w:val="00B27C5C"/>
    <w:rsid w:val="00B352B6"/>
    <w:rsid w:val="00B37C8E"/>
    <w:rsid w:val="00B37D1E"/>
    <w:rsid w:val="00B504EB"/>
    <w:rsid w:val="00B54BB7"/>
    <w:rsid w:val="00B54D2F"/>
    <w:rsid w:val="00B65713"/>
    <w:rsid w:val="00B7542F"/>
    <w:rsid w:val="00BA1952"/>
    <w:rsid w:val="00BA1A55"/>
    <w:rsid w:val="00BA78D9"/>
    <w:rsid w:val="00BD0516"/>
    <w:rsid w:val="00BD096D"/>
    <w:rsid w:val="00BD2277"/>
    <w:rsid w:val="00C140EC"/>
    <w:rsid w:val="00C17D24"/>
    <w:rsid w:val="00C25E7A"/>
    <w:rsid w:val="00C44A3A"/>
    <w:rsid w:val="00C50940"/>
    <w:rsid w:val="00C52AF1"/>
    <w:rsid w:val="00C56033"/>
    <w:rsid w:val="00C65777"/>
    <w:rsid w:val="00C66E2E"/>
    <w:rsid w:val="00C73448"/>
    <w:rsid w:val="00C84344"/>
    <w:rsid w:val="00CB7B99"/>
    <w:rsid w:val="00CC384A"/>
    <w:rsid w:val="00CD4E73"/>
    <w:rsid w:val="00CD74DE"/>
    <w:rsid w:val="00CF19F9"/>
    <w:rsid w:val="00CF6EB7"/>
    <w:rsid w:val="00D13A50"/>
    <w:rsid w:val="00D1672D"/>
    <w:rsid w:val="00D239AB"/>
    <w:rsid w:val="00D25FC2"/>
    <w:rsid w:val="00D336F2"/>
    <w:rsid w:val="00D35953"/>
    <w:rsid w:val="00D35C2F"/>
    <w:rsid w:val="00D56E9D"/>
    <w:rsid w:val="00D66034"/>
    <w:rsid w:val="00D70F87"/>
    <w:rsid w:val="00D80003"/>
    <w:rsid w:val="00D87A9B"/>
    <w:rsid w:val="00DA1244"/>
    <w:rsid w:val="00DA214C"/>
    <w:rsid w:val="00DA75A1"/>
    <w:rsid w:val="00DB0AE8"/>
    <w:rsid w:val="00DC3BE2"/>
    <w:rsid w:val="00DC6C00"/>
    <w:rsid w:val="00DD2324"/>
    <w:rsid w:val="00DD4F16"/>
    <w:rsid w:val="00DF0471"/>
    <w:rsid w:val="00DF4543"/>
    <w:rsid w:val="00DF7207"/>
    <w:rsid w:val="00DF77E6"/>
    <w:rsid w:val="00E02D30"/>
    <w:rsid w:val="00E0677D"/>
    <w:rsid w:val="00E109A7"/>
    <w:rsid w:val="00E11054"/>
    <w:rsid w:val="00E1547C"/>
    <w:rsid w:val="00E40C1C"/>
    <w:rsid w:val="00E44458"/>
    <w:rsid w:val="00E50677"/>
    <w:rsid w:val="00E52047"/>
    <w:rsid w:val="00E62974"/>
    <w:rsid w:val="00E763EC"/>
    <w:rsid w:val="00E81BEF"/>
    <w:rsid w:val="00E84B35"/>
    <w:rsid w:val="00E906D5"/>
    <w:rsid w:val="00EA058C"/>
    <w:rsid w:val="00EC6CF7"/>
    <w:rsid w:val="00EF2C4F"/>
    <w:rsid w:val="00F006DC"/>
    <w:rsid w:val="00F069B6"/>
    <w:rsid w:val="00F24EE3"/>
    <w:rsid w:val="00F30B51"/>
    <w:rsid w:val="00F46166"/>
    <w:rsid w:val="00F54E81"/>
    <w:rsid w:val="00F564A0"/>
    <w:rsid w:val="00F60C0E"/>
    <w:rsid w:val="00F733B4"/>
    <w:rsid w:val="00F737B7"/>
    <w:rsid w:val="00F77FD2"/>
    <w:rsid w:val="00F82D1E"/>
    <w:rsid w:val="00F83012"/>
    <w:rsid w:val="00F83D23"/>
    <w:rsid w:val="00F85525"/>
    <w:rsid w:val="00F934AD"/>
    <w:rsid w:val="00F96DAA"/>
    <w:rsid w:val="00FA3967"/>
    <w:rsid w:val="00FB5EE6"/>
    <w:rsid w:val="00FC29B2"/>
    <w:rsid w:val="00FC51E6"/>
    <w:rsid w:val="00FD03A8"/>
    <w:rsid w:val="00FD3B33"/>
    <w:rsid w:val="00FD68D8"/>
    <w:rsid w:val="00FF321C"/>
    <w:rsid w:val="01A87AFF"/>
    <w:rsid w:val="01AC619B"/>
    <w:rsid w:val="029E1705"/>
    <w:rsid w:val="02BB6852"/>
    <w:rsid w:val="02E85CA9"/>
    <w:rsid w:val="031418F0"/>
    <w:rsid w:val="03536EC3"/>
    <w:rsid w:val="03681C3C"/>
    <w:rsid w:val="037B54CB"/>
    <w:rsid w:val="04074BD6"/>
    <w:rsid w:val="043B10FF"/>
    <w:rsid w:val="043D7F29"/>
    <w:rsid w:val="046425BE"/>
    <w:rsid w:val="04785EAF"/>
    <w:rsid w:val="04D806FC"/>
    <w:rsid w:val="04F66000"/>
    <w:rsid w:val="05446477"/>
    <w:rsid w:val="05942874"/>
    <w:rsid w:val="059E7392"/>
    <w:rsid w:val="061E65E2"/>
    <w:rsid w:val="06293733"/>
    <w:rsid w:val="068C65AB"/>
    <w:rsid w:val="06C4775E"/>
    <w:rsid w:val="073360BD"/>
    <w:rsid w:val="07397B77"/>
    <w:rsid w:val="074262C5"/>
    <w:rsid w:val="07697D31"/>
    <w:rsid w:val="079923C4"/>
    <w:rsid w:val="07A019A5"/>
    <w:rsid w:val="07A174CB"/>
    <w:rsid w:val="07B228C5"/>
    <w:rsid w:val="07C30AFD"/>
    <w:rsid w:val="07CE3B6C"/>
    <w:rsid w:val="07F7533D"/>
    <w:rsid w:val="08057A5A"/>
    <w:rsid w:val="081F79D3"/>
    <w:rsid w:val="082A74C0"/>
    <w:rsid w:val="08986B20"/>
    <w:rsid w:val="08A74FB5"/>
    <w:rsid w:val="08C16076"/>
    <w:rsid w:val="08F24482"/>
    <w:rsid w:val="09075A53"/>
    <w:rsid w:val="091C4F8C"/>
    <w:rsid w:val="09436A8B"/>
    <w:rsid w:val="0973209F"/>
    <w:rsid w:val="098827C8"/>
    <w:rsid w:val="0A474359"/>
    <w:rsid w:val="0A6B58A5"/>
    <w:rsid w:val="0A7B72A1"/>
    <w:rsid w:val="0AB3379D"/>
    <w:rsid w:val="0B0D1E69"/>
    <w:rsid w:val="0B2746D4"/>
    <w:rsid w:val="0B884C29"/>
    <w:rsid w:val="0C261806"/>
    <w:rsid w:val="0C831895"/>
    <w:rsid w:val="0CC02A05"/>
    <w:rsid w:val="0CC2416B"/>
    <w:rsid w:val="0CC5375D"/>
    <w:rsid w:val="0CDD0FA5"/>
    <w:rsid w:val="0CF46A23"/>
    <w:rsid w:val="0D1E5CB6"/>
    <w:rsid w:val="0D662534"/>
    <w:rsid w:val="0D763030"/>
    <w:rsid w:val="0D8C0298"/>
    <w:rsid w:val="0DAB40F0"/>
    <w:rsid w:val="0DCB0A0E"/>
    <w:rsid w:val="0E1D789D"/>
    <w:rsid w:val="0E2D3866"/>
    <w:rsid w:val="0E682AF0"/>
    <w:rsid w:val="0EC202DE"/>
    <w:rsid w:val="0F0E1ECE"/>
    <w:rsid w:val="0F1D392A"/>
    <w:rsid w:val="0F5355AE"/>
    <w:rsid w:val="0F696B20"/>
    <w:rsid w:val="0FB5289B"/>
    <w:rsid w:val="0FBB2F4F"/>
    <w:rsid w:val="0FCE0E92"/>
    <w:rsid w:val="108C51BC"/>
    <w:rsid w:val="1193257A"/>
    <w:rsid w:val="11AB1672"/>
    <w:rsid w:val="11B00A36"/>
    <w:rsid w:val="11DF30C9"/>
    <w:rsid w:val="12906AB9"/>
    <w:rsid w:val="12B27644"/>
    <w:rsid w:val="12EB7235"/>
    <w:rsid w:val="130D1EB8"/>
    <w:rsid w:val="13631D30"/>
    <w:rsid w:val="1367781A"/>
    <w:rsid w:val="13D529D6"/>
    <w:rsid w:val="141F555F"/>
    <w:rsid w:val="150A2B53"/>
    <w:rsid w:val="151A266A"/>
    <w:rsid w:val="15DB2014"/>
    <w:rsid w:val="15DB629E"/>
    <w:rsid w:val="16337E88"/>
    <w:rsid w:val="163D2AB4"/>
    <w:rsid w:val="16565924"/>
    <w:rsid w:val="165A3666"/>
    <w:rsid w:val="16836428"/>
    <w:rsid w:val="16AE750E"/>
    <w:rsid w:val="170A1403"/>
    <w:rsid w:val="17175A22"/>
    <w:rsid w:val="173043C7"/>
    <w:rsid w:val="17B9468F"/>
    <w:rsid w:val="17D226D6"/>
    <w:rsid w:val="17D82A95"/>
    <w:rsid w:val="17DC77F0"/>
    <w:rsid w:val="18730A0F"/>
    <w:rsid w:val="18D55226"/>
    <w:rsid w:val="18DE3F5F"/>
    <w:rsid w:val="194D300E"/>
    <w:rsid w:val="19A867BE"/>
    <w:rsid w:val="19BD0194"/>
    <w:rsid w:val="19FE21FC"/>
    <w:rsid w:val="1A3C637F"/>
    <w:rsid w:val="1AFF47DC"/>
    <w:rsid w:val="1B1069E9"/>
    <w:rsid w:val="1B2B3823"/>
    <w:rsid w:val="1B3E5305"/>
    <w:rsid w:val="1B733202"/>
    <w:rsid w:val="1B8371BB"/>
    <w:rsid w:val="1C136517"/>
    <w:rsid w:val="1C3B2397"/>
    <w:rsid w:val="1C664547"/>
    <w:rsid w:val="1C6C5EA1"/>
    <w:rsid w:val="1CD51C99"/>
    <w:rsid w:val="1D3A5FA0"/>
    <w:rsid w:val="1D533C1F"/>
    <w:rsid w:val="1E18008F"/>
    <w:rsid w:val="1E182ECA"/>
    <w:rsid w:val="1E5C6EB8"/>
    <w:rsid w:val="1EA062D6"/>
    <w:rsid w:val="1EA336D1"/>
    <w:rsid w:val="1EB17343"/>
    <w:rsid w:val="1EEB7551"/>
    <w:rsid w:val="1F6E1F30"/>
    <w:rsid w:val="1F8A78EA"/>
    <w:rsid w:val="1FD94245"/>
    <w:rsid w:val="20601879"/>
    <w:rsid w:val="20BB0071"/>
    <w:rsid w:val="20DF30E6"/>
    <w:rsid w:val="20F84E09"/>
    <w:rsid w:val="211C2557"/>
    <w:rsid w:val="21333432"/>
    <w:rsid w:val="21B84BEB"/>
    <w:rsid w:val="21E97C4B"/>
    <w:rsid w:val="22205764"/>
    <w:rsid w:val="227418F7"/>
    <w:rsid w:val="22917AEB"/>
    <w:rsid w:val="22FA5320"/>
    <w:rsid w:val="2305495A"/>
    <w:rsid w:val="23137077"/>
    <w:rsid w:val="23284A00"/>
    <w:rsid w:val="23AE6D9F"/>
    <w:rsid w:val="23B31F24"/>
    <w:rsid w:val="23C73B1B"/>
    <w:rsid w:val="23CD7676"/>
    <w:rsid w:val="245F19E8"/>
    <w:rsid w:val="24606A59"/>
    <w:rsid w:val="24961D0D"/>
    <w:rsid w:val="24FA129A"/>
    <w:rsid w:val="25407ECB"/>
    <w:rsid w:val="259734E4"/>
    <w:rsid w:val="25A4045A"/>
    <w:rsid w:val="25EC4202"/>
    <w:rsid w:val="25FD7B6A"/>
    <w:rsid w:val="26275E9D"/>
    <w:rsid w:val="262D3FA9"/>
    <w:rsid w:val="262E03B6"/>
    <w:rsid w:val="26325A66"/>
    <w:rsid w:val="26493BE3"/>
    <w:rsid w:val="26527EB6"/>
    <w:rsid w:val="266F2816"/>
    <w:rsid w:val="267B7D64"/>
    <w:rsid w:val="26871C47"/>
    <w:rsid w:val="269D41C7"/>
    <w:rsid w:val="26A5448A"/>
    <w:rsid w:val="26AB5818"/>
    <w:rsid w:val="26C64400"/>
    <w:rsid w:val="26ED0DC9"/>
    <w:rsid w:val="27092D0A"/>
    <w:rsid w:val="270E64D3"/>
    <w:rsid w:val="27930786"/>
    <w:rsid w:val="279A0157"/>
    <w:rsid w:val="27CC5A46"/>
    <w:rsid w:val="28172612"/>
    <w:rsid w:val="289B0BA8"/>
    <w:rsid w:val="28E6709C"/>
    <w:rsid w:val="28F545CD"/>
    <w:rsid w:val="2912392D"/>
    <w:rsid w:val="29254939"/>
    <w:rsid w:val="293C0E8C"/>
    <w:rsid w:val="29785E86"/>
    <w:rsid w:val="29946A38"/>
    <w:rsid w:val="29CF181E"/>
    <w:rsid w:val="29EC3DAC"/>
    <w:rsid w:val="2A010E51"/>
    <w:rsid w:val="2A264090"/>
    <w:rsid w:val="2A355B25"/>
    <w:rsid w:val="2A5C7555"/>
    <w:rsid w:val="2A62278A"/>
    <w:rsid w:val="2A6C52BE"/>
    <w:rsid w:val="2A8F3DB3"/>
    <w:rsid w:val="2B520958"/>
    <w:rsid w:val="2B6F28F5"/>
    <w:rsid w:val="2B6F55CF"/>
    <w:rsid w:val="2BD466CA"/>
    <w:rsid w:val="2BE02C40"/>
    <w:rsid w:val="2BEB6DE3"/>
    <w:rsid w:val="2C043A01"/>
    <w:rsid w:val="2C3E47E1"/>
    <w:rsid w:val="2C531232"/>
    <w:rsid w:val="2C8903AA"/>
    <w:rsid w:val="2CA07839"/>
    <w:rsid w:val="2D047A30"/>
    <w:rsid w:val="2D134007"/>
    <w:rsid w:val="2D2D6F87"/>
    <w:rsid w:val="2DA76D39"/>
    <w:rsid w:val="2DEC6DA9"/>
    <w:rsid w:val="2E05033D"/>
    <w:rsid w:val="2E2C5491"/>
    <w:rsid w:val="2E8059FB"/>
    <w:rsid w:val="2E962B18"/>
    <w:rsid w:val="2E9D1A0C"/>
    <w:rsid w:val="2F430CE4"/>
    <w:rsid w:val="2F5C0D51"/>
    <w:rsid w:val="2FDA77E1"/>
    <w:rsid w:val="2FEC63AF"/>
    <w:rsid w:val="300C2A60"/>
    <w:rsid w:val="300D72CC"/>
    <w:rsid w:val="303F594F"/>
    <w:rsid w:val="30405223"/>
    <w:rsid w:val="30B978AD"/>
    <w:rsid w:val="31081922"/>
    <w:rsid w:val="314174A5"/>
    <w:rsid w:val="31464ABB"/>
    <w:rsid w:val="3154611C"/>
    <w:rsid w:val="318E3088"/>
    <w:rsid w:val="31A11CF2"/>
    <w:rsid w:val="31A92FFC"/>
    <w:rsid w:val="31BD23A5"/>
    <w:rsid w:val="31C3610C"/>
    <w:rsid w:val="31CD6F8B"/>
    <w:rsid w:val="32084224"/>
    <w:rsid w:val="323E5792"/>
    <w:rsid w:val="32496611"/>
    <w:rsid w:val="32A9089C"/>
    <w:rsid w:val="32B02AEC"/>
    <w:rsid w:val="332E1CAB"/>
    <w:rsid w:val="336E3E55"/>
    <w:rsid w:val="337726A7"/>
    <w:rsid w:val="338D077F"/>
    <w:rsid w:val="33C30645"/>
    <w:rsid w:val="33DE760F"/>
    <w:rsid w:val="34044EE1"/>
    <w:rsid w:val="34207846"/>
    <w:rsid w:val="34B166F0"/>
    <w:rsid w:val="35577297"/>
    <w:rsid w:val="35935DF5"/>
    <w:rsid w:val="35BC359E"/>
    <w:rsid w:val="35E56EAB"/>
    <w:rsid w:val="35FB603C"/>
    <w:rsid w:val="36177626"/>
    <w:rsid w:val="362115CD"/>
    <w:rsid w:val="365E4F6F"/>
    <w:rsid w:val="367125DA"/>
    <w:rsid w:val="36D6243D"/>
    <w:rsid w:val="372F3B75"/>
    <w:rsid w:val="3747259D"/>
    <w:rsid w:val="375A659B"/>
    <w:rsid w:val="37620175"/>
    <w:rsid w:val="37950099"/>
    <w:rsid w:val="379D2F5B"/>
    <w:rsid w:val="37AE4A52"/>
    <w:rsid w:val="38C40AA6"/>
    <w:rsid w:val="38DB60E6"/>
    <w:rsid w:val="39194863"/>
    <w:rsid w:val="39740540"/>
    <w:rsid w:val="397D1296"/>
    <w:rsid w:val="39822409"/>
    <w:rsid w:val="39935037"/>
    <w:rsid w:val="3A045513"/>
    <w:rsid w:val="3A3C4CAD"/>
    <w:rsid w:val="3A576901"/>
    <w:rsid w:val="3A663AD8"/>
    <w:rsid w:val="3B017004"/>
    <w:rsid w:val="3B3140E6"/>
    <w:rsid w:val="3B5953EB"/>
    <w:rsid w:val="3BDC04F6"/>
    <w:rsid w:val="3BF764BC"/>
    <w:rsid w:val="3C522566"/>
    <w:rsid w:val="3C7624CD"/>
    <w:rsid w:val="3CC1149A"/>
    <w:rsid w:val="3D0221DE"/>
    <w:rsid w:val="3D032B65"/>
    <w:rsid w:val="3D7C3859"/>
    <w:rsid w:val="3E0757A8"/>
    <w:rsid w:val="3EE80F60"/>
    <w:rsid w:val="3F073ADC"/>
    <w:rsid w:val="3F251488"/>
    <w:rsid w:val="3F43088C"/>
    <w:rsid w:val="3F8A64BB"/>
    <w:rsid w:val="4027003D"/>
    <w:rsid w:val="40343568"/>
    <w:rsid w:val="404A37EE"/>
    <w:rsid w:val="40642868"/>
    <w:rsid w:val="40793110"/>
    <w:rsid w:val="40D4373D"/>
    <w:rsid w:val="40D5502B"/>
    <w:rsid w:val="41A53138"/>
    <w:rsid w:val="41AB4B00"/>
    <w:rsid w:val="41EA3241"/>
    <w:rsid w:val="42502B41"/>
    <w:rsid w:val="425D1C65"/>
    <w:rsid w:val="4262727B"/>
    <w:rsid w:val="42674EE5"/>
    <w:rsid w:val="42D42037"/>
    <w:rsid w:val="42DC0504"/>
    <w:rsid w:val="42E303BC"/>
    <w:rsid w:val="43103BB7"/>
    <w:rsid w:val="43616E7D"/>
    <w:rsid w:val="43747266"/>
    <w:rsid w:val="438F661B"/>
    <w:rsid w:val="439518B3"/>
    <w:rsid w:val="43B458B4"/>
    <w:rsid w:val="446F063A"/>
    <w:rsid w:val="44B6499C"/>
    <w:rsid w:val="4542345E"/>
    <w:rsid w:val="45570BED"/>
    <w:rsid w:val="45765089"/>
    <w:rsid w:val="458D33AD"/>
    <w:rsid w:val="45AA51C1"/>
    <w:rsid w:val="461F178B"/>
    <w:rsid w:val="462036D5"/>
    <w:rsid w:val="46C24BA5"/>
    <w:rsid w:val="474A3B9E"/>
    <w:rsid w:val="47C003E5"/>
    <w:rsid w:val="47CC58C3"/>
    <w:rsid w:val="483671E0"/>
    <w:rsid w:val="4848391D"/>
    <w:rsid w:val="48BB1493"/>
    <w:rsid w:val="48D16F09"/>
    <w:rsid w:val="48EF7956"/>
    <w:rsid w:val="4A8F0E29"/>
    <w:rsid w:val="4AD056CA"/>
    <w:rsid w:val="4B4B1FAE"/>
    <w:rsid w:val="4BB62FE7"/>
    <w:rsid w:val="4BC87E8A"/>
    <w:rsid w:val="4BE11A5A"/>
    <w:rsid w:val="4C97785C"/>
    <w:rsid w:val="4CA67C81"/>
    <w:rsid w:val="4CEA7E6E"/>
    <w:rsid w:val="4D151ABA"/>
    <w:rsid w:val="4D461C73"/>
    <w:rsid w:val="4E345F70"/>
    <w:rsid w:val="4E946A0E"/>
    <w:rsid w:val="4ECF65DB"/>
    <w:rsid w:val="4EDD2163"/>
    <w:rsid w:val="4F1F277C"/>
    <w:rsid w:val="4FA209F3"/>
    <w:rsid w:val="4FB355BA"/>
    <w:rsid w:val="503404A9"/>
    <w:rsid w:val="50504A55"/>
    <w:rsid w:val="50874A7C"/>
    <w:rsid w:val="50A607F3"/>
    <w:rsid w:val="50B11AF9"/>
    <w:rsid w:val="50D86F9C"/>
    <w:rsid w:val="50EF2A97"/>
    <w:rsid w:val="511856D5"/>
    <w:rsid w:val="51256932"/>
    <w:rsid w:val="51A74EF3"/>
    <w:rsid w:val="523F3135"/>
    <w:rsid w:val="526D18EF"/>
    <w:rsid w:val="52913E6A"/>
    <w:rsid w:val="529C5288"/>
    <w:rsid w:val="529F6FA1"/>
    <w:rsid w:val="52A95399"/>
    <w:rsid w:val="53797153"/>
    <w:rsid w:val="541C54DC"/>
    <w:rsid w:val="548A4FF6"/>
    <w:rsid w:val="54A97595"/>
    <w:rsid w:val="54C448CE"/>
    <w:rsid w:val="54E3249D"/>
    <w:rsid w:val="551663CF"/>
    <w:rsid w:val="5520724E"/>
    <w:rsid w:val="55664241"/>
    <w:rsid w:val="5578402A"/>
    <w:rsid w:val="559612BE"/>
    <w:rsid w:val="55B0580B"/>
    <w:rsid w:val="55E26BF6"/>
    <w:rsid w:val="568357E0"/>
    <w:rsid w:val="56C02A96"/>
    <w:rsid w:val="56FE536D"/>
    <w:rsid w:val="57396CFC"/>
    <w:rsid w:val="57546EDB"/>
    <w:rsid w:val="57696EE6"/>
    <w:rsid w:val="57824451"/>
    <w:rsid w:val="581035A9"/>
    <w:rsid w:val="584063F0"/>
    <w:rsid w:val="58B54151"/>
    <w:rsid w:val="58D44162"/>
    <w:rsid w:val="58F85DEC"/>
    <w:rsid w:val="59013441"/>
    <w:rsid w:val="5909268A"/>
    <w:rsid w:val="59193CBA"/>
    <w:rsid w:val="59853B23"/>
    <w:rsid w:val="5A2E0922"/>
    <w:rsid w:val="5A5B12B5"/>
    <w:rsid w:val="5A997C79"/>
    <w:rsid w:val="5ABA15AB"/>
    <w:rsid w:val="5AD7215D"/>
    <w:rsid w:val="5ADB40AE"/>
    <w:rsid w:val="5B0647F0"/>
    <w:rsid w:val="5B19266E"/>
    <w:rsid w:val="5B8B1199"/>
    <w:rsid w:val="5BB04C2C"/>
    <w:rsid w:val="5BC53F6F"/>
    <w:rsid w:val="5C2313D1"/>
    <w:rsid w:val="5C867FAD"/>
    <w:rsid w:val="5D4810F0"/>
    <w:rsid w:val="5D647EF4"/>
    <w:rsid w:val="5D9407D9"/>
    <w:rsid w:val="5E197728"/>
    <w:rsid w:val="5E3D517E"/>
    <w:rsid w:val="5E4E6523"/>
    <w:rsid w:val="5F2E28C1"/>
    <w:rsid w:val="5F313E05"/>
    <w:rsid w:val="5F4B4EC7"/>
    <w:rsid w:val="5FBC2EAC"/>
    <w:rsid w:val="5FC609F2"/>
    <w:rsid w:val="5FC77BFC"/>
    <w:rsid w:val="60021D65"/>
    <w:rsid w:val="60092CBB"/>
    <w:rsid w:val="606A72E3"/>
    <w:rsid w:val="60DA1A10"/>
    <w:rsid w:val="61355C29"/>
    <w:rsid w:val="614147D4"/>
    <w:rsid w:val="618525F4"/>
    <w:rsid w:val="61B52BB6"/>
    <w:rsid w:val="61E909C7"/>
    <w:rsid w:val="61F665F1"/>
    <w:rsid w:val="622F287E"/>
    <w:rsid w:val="624A590A"/>
    <w:rsid w:val="6256605D"/>
    <w:rsid w:val="62631073"/>
    <w:rsid w:val="62681703"/>
    <w:rsid w:val="627961EF"/>
    <w:rsid w:val="62A63B7B"/>
    <w:rsid w:val="62B72874"/>
    <w:rsid w:val="62C31A1B"/>
    <w:rsid w:val="62F810E9"/>
    <w:rsid w:val="63204010"/>
    <w:rsid w:val="63442359"/>
    <w:rsid w:val="635822A8"/>
    <w:rsid w:val="63F7386F"/>
    <w:rsid w:val="64124205"/>
    <w:rsid w:val="648D1ADE"/>
    <w:rsid w:val="64E8140A"/>
    <w:rsid w:val="64EB1DAA"/>
    <w:rsid w:val="651A2071"/>
    <w:rsid w:val="65C418F3"/>
    <w:rsid w:val="65E120E1"/>
    <w:rsid w:val="660202AA"/>
    <w:rsid w:val="66546D57"/>
    <w:rsid w:val="665713CF"/>
    <w:rsid w:val="66E12EB4"/>
    <w:rsid w:val="66FE4F15"/>
    <w:rsid w:val="670C5884"/>
    <w:rsid w:val="67277FC8"/>
    <w:rsid w:val="67535261"/>
    <w:rsid w:val="677956E9"/>
    <w:rsid w:val="67952A23"/>
    <w:rsid w:val="67A54D96"/>
    <w:rsid w:val="68843049"/>
    <w:rsid w:val="68905759"/>
    <w:rsid w:val="68953657"/>
    <w:rsid w:val="68C44151"/>
    <w:rsid w:val="68EB3277"/>
    <w:rsid w:val="693966D8"/>
    <w:rsid w:val="69450B30"/>
    <w:rsid w:val="695D5F23"/>
    <w:rsid w:val="698A0CE2"/>
    <w:rsid w:val="698E7C07"/>
    <w:rsid w:val="699C2263"/>
    <w:rsid w:val="69FC44B0"/>
    <w:rsid w:val="6A221CCC"/>
    <w:rsid w:val="6AA12AE5"/>
    <w:rsid w:val="6B40356D"/>
    <w:rsid w:val="6B457299"/>
    <w:rsid w:val="6B713F07"/>
    <w:rsid w:val="6B924C11"/>
    <w:rsid w:val="6BF50006"/>
    <w:rsid w:val="6C3D64DF"/>
    <w:rsid w:val="6C511909"/>
    <w:rsid w:val="6CA634AC"/>
    <w:rsid w:val="6CD90324"/>
    <w:rsid w:val="6CEE3336"/>
    <w:rsid w:val="6D257B8B"/>
    <w:rsid w:val="6D400FEB"/>
    <w:rsid w:val="6DE035C6"/>
    <w:rsid w:val="6DEF3809"/>
    <w:rsid w:val="6E0A777F"/>
    <w:rsid w:val="6E0E1190"/>
    <w:rsid w:val="6E427DDD"/>
    <w:rsid w:val="6E527FB0"/>
    <w:rsid w:val="6EC439C2"/>
    <w:rsid w:val="6EE60768"/>
    <w:rsid w:val="6F135C71"/>
    <w:rsid w:val="6F1572A0"/>
    <w:rsid w:val="6F1D0EF1"/>
    <w:rsid w:val="6F467459"/>
    <w:rsid w:val="6F80296B"/>
    <w:rsid w:val="6F8D6EA6"/>
    <w:rsid w:val="6FCF744E"/>
    <w:rsid w:val="6FFB1610"/>
    <w:rsid w:val="700A0487"/>
    <w:rsid w:val="70147D44"/>
    <w:rsid w:val="70430561"/>
    <w:rsid w:val="70FA6D46"/>
    <w:rsid w:val="71213CDA"/>
    <w:rsid w:val="716B31A7"/>
    <w:rsid w:val="717643E7"/>
    <w:rsid w:val="719B1CDE"/>
    <w:rsid w:val="7233722B"/>
    <w:rsid w:val="726273B2"/>
    <w:rsid w:val="72802C82"/>
    <w:rsid w:val="72835DCF"/>
    <w:rsid w:val="72897D89"/>
    <w:rsid w:val="72E2393D"/>
    <w:rsid w:val="72E707EF"/>
    <w:rsid w:val="730B69EF"/>
    <w:rsid w:val="733C6F85"/>
    <w:rsid w:val="73691671"/>
    <w:rsid w:val="738238D4"/>
    <w:rsid w:val="73D9089C"/>
    <w:rsid w:val="747B7BA5"/>
    <w:rsid w:val="7488443F"/>
    <w:rsid w:val="74B9247B"/>
    <w:rsid w:val="75151DA7"/>
    <w:rsid w:val="75463955"/>
    <w:rsid w:val="754F0A25"/>
    <w:rsid w:val="755F4997"/>
    <w:rsid w:val="765468FF"/>
    <w:rsid w:val="76634D94"/>
    <w:rsid w:val="768F7AF6"/>
    <w:rsid w:val="76932DB3"/>
    <w:rsid w:val="76D4314C"/>
    <w:rsid w:val="76F31C74"/>
    <w:rsid w:val="76F53C3E"/>
    <w:rsid w:val="77212C85"/>
    <w:rsid w:val="7744462F"/>
    <w:rsid w:val="77470212"/>
    <w:rsid w:val="7761127E"/>
    <w:rsid w:val="77794C6D"/>
    <w:rsid w:val="781A76D5"/>
    <w:rsid w:val="781D71EE"/>
    <w:rsid w:val="78686692"/>
    <w:rsid w:val="78E21FA1"/>
    <w:rsid w:val="78FD327E"/>
    <w:rsid w:val="79652BD2"/>
    <w:rsid w:val="798E588D"/>
    <w:rsid w:val="7A066163"/>
    <w:rsid w:val="7A2605B3"/>
    <w:rsid w:val="7B0D7956"/>
    <w:rsid w:val="7B393CE7"/>
    <w:rsid w:val="7B742C9F"/>
    <w:rsid w:val="7BEE6EAE"/>
    <w:rsid w:val="7BF5648F"/>
    <w:rsid w:val="7BF62924"/>
    <w:rsid w:val="7C6210BC"/>
    <w:rsid w:val="7C7750F6"/>
    <w:rsid w:val="7C977546"/>
    <w:rsid w:val="7D690EE2"/>
    <w:rsid w:val="7DBD122E"/>
    <w:rsid w:val="7DC15B2F"/>
    <w:rsid w:val="7DC9372F"/>
    <w:rsid w:val="7DDD0F99"/>
    <w:rsid w:val="7DFD162B"/>
    <w:rsid w:val="7E880E0B"/>
    <w:rsid w:val="7ED625A7"/>
    <w:rsid w:val="7F183EFE"/>
    <w:rsid w:val="7F4C0323"/>
    <w:rsid w:val="7F4C4618"/>
    <w:rsid w:val="7F593B0D"/>
    <w:rsid w:val="7F92054D"/>
    <w:rsid w:val="7F9238F9"/>
    <w:rsid w:val="7F9B4CB4"/>
    <w:rsid w:val="7FC7526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customStyle="1" w:styleId="8">
    <w:name w:val="页眉 字符"/>
    <w:basedOn w:val="7"/>
    <w:link w:val="4"/>
    <w:qFormat/>
    <w:uiPriority w:val="99"/>
    <w:rPr>
      <w:rFonts w:ascii="Times New Roman" w:hAnsi="Times New Roman" w:eastAsia="宋体" w:cs="Times New Roman"/>
      <w:sz w:val="18"/>
      <w:szCs w:val="18"/>
    </w:rPr>
  </w:style>
  <w:style w:type="character" w:customStyle="1" w:styleId="9">
    <w:name w:val="页脚 字符"/>
    <w:basedOn w:val="7"/>
    <w:link w:val="3"/>
    <w:qFormat/>
    <w:uiPriority w:val="99"/>
    <w:rPr>
      <w:rFonts w:ascii="Times New Roman" w:hAnsi="Times New Roman"/>
      <w:kern w:val="2"/>
      <w:sz w:val="18"/>
      <w:szCs w:val="18"/>
    </w:rPr>
  </w:style>
  <w:style w:type="paragraph" w:styleId="10">
    <w:name w:val="List Paragraph"/>
    <w:basedOn w:val="1"/>
    <w:qFormat/>
    <w:uiPriority w:val="34"/>
    <w:pPr>
      <w:ind w:firstLine="420" w:firstLineChars="200"/>
    </w:pPr>
    <w:rPr>
      <w:rFonts w:asciiTheme="minorHAnsi" w:hAnsiTheme="minorHAnsi" w:eastAsiaTheme="minorEastAsia" w:cstheme="minorBidi"/>
      <w:szCs w:val="22"/>
    </w:rPr>
  </w:style>
  <w:style w:type="character" w:customStyle="1" w:styleId="11">
    <w:name w:val="批注框文本 字符"/>
    <w:basedOn w:val="7"/>
    <w:link w:val="2"/>
    <w:semiHidden/>
    <w:qFormat/>
    <w:uiPriority w:val="99"/>
    <w:rPr>
      <w:rFonts w:ascii="Times New Roman" w:hAnsi="Times New Roman"/>
      <w:kern w:val="2"/>
      <w:sz w:val="18"/>
      <w:szCs w:val="18"/>
    </w:rPr>
  </w:style>
  <w:style w:type="paragraph" w:customStyle="1" w:styleId="12">
    <w:name w:val="Revision"/>
    <w:hidden/>
    <w:unhideWhenUsed/>
    <w:qFormat/>
    <w:uiPriority w:val="99"/>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2333</Words>
  <Characters>2430</Characters>
  <Lines>1</Lines>
  <Paragraphs>1</Paragraphs>
  <TotalTime>3</TotalTime>
  <ScaleCrop>false</ScaleCrop>
  <LinksUpToDate>false</LinksUpToDate>
  <CharactersWithSpaces>2526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2023-09-22T00:44:00Z</dcterms:created>
  <dc:creator>pc</dc:creator>
  <cp:lastModifiedBy>WZ</cp:lastModifiedBy>
  <cp:lastPrinted>2017-11-06T02:12:00Z</cp:lastPrinted>
  <dcterms:modified xsi:type="dcterms:W3CDTF">2026-09-04T07:44:07Z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0F8B9BFDE05D4B62967F67DD66F7EAE7</vt:lpwstr>
  </property>
  <property fmtid="{D5CDD505-2E9C-101B-9397-08002B2CF9AE}" pid="4" name="KSOTemplateDocerSaveRecord">
    <vt:lpwstr>eyJoZGlkIjoiNzRiY2VlMzRjM2I1YzU5ZGI2MWYwOTkxMDJmNWJjOTEiLCJ1c2VySWQiOiI0MTgwNTk0NTEifQ==</vt:lpwstr>
  </property>
</Properties>
</file>