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9550C">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603459                   </w:t>
      </w:r>
      <w:bookmarkStart w:id="0" w:name="_GoBack"/>
      <w:bookmarkEnd w:id="0"/>
      <w:r>
        <w:rPr>
          <w:color w:val="000000"/>
          <w:sz w:val="24"/>
        </w:rPr>
        <w:t xml:space="preserve">          </w:t>
      </w:r>
      <w:r>
        <w:rPr>
          <w:rFonts w:hAnsi="宋体"/>
          <w:bCs/>
          <w:iCs/>
          <w:color w:val="000000"/>
          <w:sz w:val="24"/>
        </w:rPr>
        <w:t>证券简称：</w:t>
      </w:r>
      <w:r>
        <w:rPr>
          <w:color w:val="000000"/>
          <w:sz w:val="24"/>
        </w:rPr>
        <w:t>红板科技</w:t>
      </w:r>
    </w:p>
    <w:p w14:paraId="754E541F">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江西红板科技股份有限公司</w:t>
      </w:r>
      <w:r>
        <w:rPr>
          <w:rFonts w:hint="eastAsia" w:ascii="宋体" w:hAnsi="宋体"/>
          <w:b/>
          <w:bCs/>
          <w:iCs/>
          <w:color w:val="000000"/>
          <w:sz w:val="32"/>
          <w:szCs w:val="32"/>
        </w:rPr>
        <w:t>投资者关系活动记录表</w:t>
      </w:r>
    </w:p>
    <w:p w14:paraId="4E5CF70F">
      <w:pPr>
        <w:spacing w:line="400" w:lineRule="exact"/>
        <w:rPr>
          <w:rFonts w:hint="default" w:eastAsia="宋体"/>
          <w:bCs/>
          <w:iCs/>
          <w:color w:val="000000"/>
          <w:sz w:val="24"/>
          <w:lang w:val="en-US" w:eastAsia="zh-CN"/>
        </w:rPr>
      </w:pPr>
      <w:r>
        <w:rPr>
          <w:rFonts w:hint="eastAsia" w:ascii="宋体" w:hAnsi="宋体"/>
          <w:bCs/>
          <w:iCs/>
          <w:color w:val="000000"/>
          <w:sz w:val="24"/>
        </w:rPr>
        <w:t xml:space="preserve">                                                     </w:t>
      </w:r>
      <w:r>
        <w:rPr>
          <w:rFonts w:hint="eastAsia" w:ascii="宋体" w:hAnsi="宋体"/>
          <w:bCs/>
          <w:iCs/>
          <w:color w:val="000000"/>
          <w:sz w:val="24"/>
          <w:lang w:val="en-US" w:eastAsia="zh-CN"/>
        </w:rPr>
        <w:t>编号：</w:t>
      </w:r>
      <w:r>
        <w:rPr>
          <w:rFonts w:hint="default" w:ascii="Times New Roman" w:hAnsi="Times New Roman"/>
          <w:bCs/>
          <w:iCs/>
          <w:color w:val="auto"/>
          <w:sz w:val="24"/>
          <w:highlight w:val="none"/>
          <w:lang w:val="en-US" w:eastAsia="zh-CN"/>
        </w:rPr>
        <w:t>2026-00</w:t>
      </w:r>
      <w:r>
        <w:rPr>
          <w:rFonts w:hint="eastAsia"/>
          <w:bCs/>
          <w:iCs/>
          <w:color w:val="auto"/>
          <w:sz w:val="24"/>
          <w:highlight w:val="none"/>
          <w:lang w:val="en-US" w:eastAsia="zh-CN"/>
        </w:rPr>
        <w:t>5</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6664"/>
      </w:tblGrid>
      <w:tr w14:paraId="0152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noWrap w:val="0"/>
            <w:vAlign w:val="center"/>
          </w:tcPr>
          <w:p w14:paraId="6BE0A1D2">
            <w:pPr>
              <w:spacing w:line="420" w:lineRule="exact"/>
              <w:jc w:val="both"/>
              <w:rPr>
                <w:bCs/>
                <w:iCs/>
                <w:color w:val="000000"/>
                <w:kern w:val="0"/>
                <w:sz w:val="24"/>
              </w:rPr>
            </w:pPr>
            <w:r>
              <w:rPr>
                <w:rFonts w:hAnsi="宋体"/>
                <w:bCs/>
                <w:iCs/>
                <w:color w:val="000000"/>
                <w:kern w:val="0"/>
                <w:sz w:val="24"/>
              </w:rPr>
              <w:t>投资者关系活动类别</w:t>
            </w:r>
          </w:p>
          <w:p w14:paraId="0A76B3CA">
            <w:pPr>
              <w:spacing w:line="420" w:lineRule="exact"/>
              <w:jc w:val="both"/>
              <w:rPr>
                <w:bCs/>
                <w:iCs/>
                <w:color w:val="000000"/>
                <w:sz w:val="24"/>
              </w:rPr>
            </w:pPr>
          </w:p>
        </w:tc>
        <w:tc>
          <w:tcPr>
            <w:tcW w:w="3910" w:type="pct"/>
            <w:tcBorders>
              <w:top w:val="single" w:color="auto" w:sz="4" w:space="0"/>
              <w:left w:val="single" w:color="auto" w:sz="4" w:space="0"/>
              <w:bottom w:val="single" w:color="auto" w:sz="4" w:space="0"/>
              <w:right w:val="single" w:color="auto" w:sz="4" w:space="0"/>
            </w:tcBorders>
            <w:noWrap w:val="0"/>
            <w:vAlign w:val="top"/>
          </w:tcPr>
          <w:p w14:paraId="616D1019">
            <w:pPr>
              <w:spacing w:line="420" w:lineRule="exact"/>
              <w:rPr>
                <w:bCs/>
                <w:iCs/>
                <w:color w:val="000000"/>
                <w:sz w:val="24"/>
              </w:rPr>
            </w:pP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特定对象调研</w:t>
            </w:r>
            <w:r>
              <w:rPr>
                <w:kern w:val="0"/>
                <w:sz w:val="24"/>
              </w:rPr>
              <w:t xml:space="preserve">       </w:t>
            </w:r>
            <w:r>
              <w:rPr>
                <w:rFonts w:hint="eastAsia"/>
                <w:kern w:val="0"/>
                <w:sz w:val="24"/>
                <w:lang w:val="en-US" w:eastAsia="zh-CN"/>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2D16423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6AEA727B">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rFonts w:hint="eastAsia"/>
                <w:bCs/>
                <w:iCs/>
                <w:color w:val="000000"/>
                <w:kern w:val="0"/>
                <w:sz w:val="24"/>
                <w:lang w:eastAsia="zh-CN"/>
              </w:rPr>
              <w:t>☑</w:t>
            </w:r>
            <w:r>
              <w:rPr>
                <w:rFonts w:hint="eastAsia"/>
                <w:bCs/>
                <w:iCs/>
                <w:color w:val="000000"/>
                <w:kern w:val="0"/>
                <w:sz w:val="24"/>
              </w:rPr>
              <w:t xml:space="preserve"> </w:t>
            </w:r>
            <w:r>
              <w:rPr>
                <w:rFonts w:hAnsi="宋体"/>
                <w:kern w:val="0"/>
                <w:sz w:val="24"/>
              </w:rPr>
              <w:t>路演活动</w:t>
            </w:r>
          </w:p>
          <w:p w14:paraId="13B4CF7C">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0D0C6A58">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14:paraId="0683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1089" w:type="pct"/>
            <w:tcBorders>
              <w:top w:val="single" w:color="auto" w:sz="4" w:space="0"/>
              <w:left w:val="single" w:color="auto" w:sz="4" w:space="0"/>
              <w:bottom w:val="single" w:color="auto" w:sz="4" w:space="0"/>
              <w:right w:val="single" w:color="auto" w:sz="4" w:space="0"/>
            </w:tcBorders>
            <w:noWrap w:val="0"/>
            <w:vAlign w:val="center"/>
          </w:tcPr>
          <w:p w14:paraId="2C38B427">
            <w:pPr>
              <w:spacing w:line="420" w:lineRule="exact"/>
              <w:jc w:val="both"/>
              <w:rPr>
                <w:bCs/>
                <w:iCs/>
                <w:color w:val="000000"/>
                <w:kern w:val="0"/>
                <w:sz w:val="24"/>
              </w:rPr>
            </w:pPr>
            <w:r>
              <w:rPr>
                <w:rFonts w:hAnsi="宋体"/>
                <w:bCs/>
                <w:iCs/>
                <w:color w:val="000000"/>
                <w:kern w:val="0"/>
                <w:sz w:val="24"/>
              </w:rPr>
              <w:t>参与单位名称</w:t>
            </w:r>
            <w:r>
              <w:rPr>
                <w:rFonts w:hint="eastAsia" w:hAnsi="宋体"/>
                <w:bCs/>
                <w:iCs/>
                <w:color w:val="000000"/>
                <w:kern w:val="0"/>
                <w:sz w:val="24"/>
                <w:lang w:val="en-US" w:eastAsia="zh-CN"/>
              </w:rPr>
              <w:t>或</w:t>
            </w:r>
            <w:r>
              <w:rPr>
                <w:rFonts w:hAnsi="宋体"/>
                <w:bCs/>
                <w:iCs/>
                <w:color w:val="000000"/>
                <w:kern w:val="0"/>
                <w:sz w:val="24"/>
              </w:rPr>
              <w:t>人员</w:t>
            </w:r>
          </w:p>
        </w:tc>
        <w:tc>
          <w:tcPr>
            <w:tcW w:w="3910" w:type="pct"/>
            <w:tcBorders>
              <w:top w:val="single" w:color="auto" w:sz="4" w:space="0"/>
              <w:left w:val="single" w:color="auto" w:sz="4" w:space="0"/>
              <w:bottom w:val="single" w:color="auto" w:sz="4" w:space="0"/>
              <w:right w:val="single" w:color="auto" w:sz="4" w:space="0"/>
            </w:tcBorders>
            <w:noWrap w:val="0"/>
            <w:vAlign w:val="top"/>
          </w:tcPr>
          <w:p w14:paraId="2388D9B6">
            <w:pPr>
              <w:spacing w:line="420" w:lineRule="exact"/>
              <w:rPr>
                <w:rFonts w:hint="default"/>
                <w:bCs/>
                <w:iCs/>
                <w:color w:val="000000"/>
                <w:sz w:val="24"/>
                <w:lang w:val="en-US" w:eastAsia="zh-CN"/>
              </w:rPr>
            </w:pPr>
            <w:r>
              <w:rPr>
                <w:rFonts w:hint="eastAsia"/>
                <w:bCs/>
                <w:iCs/>
                <w:color w:val="000000"/>
                <w:sz w:val="24"/>
                <w:lang w:val="en-US" w:eastAsia="zh-CN"/>
              </w:rPr>
              <w:t>华夏基金、招商基金、融通、博时基金、工银瑞信、建信养老、财通资管、国投瑞银、国金基金、长信基金、汇添富、泰康资产、鹏华基金；</w:t>
            </w:r>
          </w:p>
          <w:p w14:paraId="53EFDECE">
            <w:pPr>
              <w:spacing w:line="420" w:lineRule="exact"/>
              <w:rPr>
                <w:rFonts w:hint="default"/>
                <w:bCs/>
                <w:iCs/>
                <w:color w:val="000000"/>
                <w:sz w:val="24"/>
                <w:lang w:val="en-US" w:eastAsia="zh-CN"/>
              </w:rPr>
            </w:pPr>
            <w:r>
              <w:rPr>
                <w:rFonts w:hint="eastAsia"/>
                <w:bCs/>
                <w:iCs/>
                <w:color w:val="000000"/>
                <w:sz w:val="24"/>
                <w:lang w:val="en-US" w:eastAsia="zh-CN"/>
              </w:rPr>
              <w:t>平安养老、人保资产、西部利得、景顺长城、泉果基金太平洋资产、华泰资产、兴全基金；</w:t>
            </w:r>
          </w:p>
          <w:p w14:paraId="6031075F">
            <w:pPr>
              <w:spacing w:line="420" w:lineRule="exact"/>
              <w:rPr>
                <w:rFonts w:hint="eastAsia"/>
                <w:bCs/>
                <w:iCs/>
                <w:color w:val="000000"/>
                <w:sz w:val="24"/>
                <w:lang w:val="en-US" w:eastAsia="zh-CN"/>
              </w:rPr>
            </w:pPr>
            <w:r>
              <w:rPr>
                <w:rFonts w:hint="eastAsia"/>
                <w:bCs/>
                <w:iCs/>
                <w:color w:val="000000"/>
                <w:sz w:val="24"/>
                <w:lang w:val="en-US" w:eastAsia="zh-CN"/>
              </w:rPr>
              <w:t>华宝基金、国海电子、财通基金、开源基金、中欧基金。</w:t>
            </w:r>
          </w:p>
        </w:tc>
      </w:tr>
      <w:tr w14:paraId="43DC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1089" w:type="pct"/>
            <w:tcBorders>
              <w:top w:val="single" w:color="auto" w:sz="4" w:space="0"/>
              <w:left w:val="single" w:color="auto" w:sz="4" w:space="0"/>
              <w:bottom w:val="single" w:color="auto" w:sz="4" w:space="0"/>
              <w:right w:val="single" w:color="auto" w:sz="4" w:space="0"/>
            </w:tcBorders>
            <w:noWrap w:val="0"/>
            <w:vAlign w:val="center"/>
          </w:tcPr>
          <w:p w14:paraId="298B5B30">
            <w:pPr>
              <w:spacing w:line="420" w:lineRule="exact"/>
              <w:jc w:val="both"/>
              <w:rPr>
                <w:bCs/>
                <w:iCs/>
                <w:color w:val="000000"/>
                <w:kern w:val="0"/>
                <w:sz w:val="24"/>
              </w:rPr>
            </w:pPr>
            <w:r>
              <w:rPr>
                <w:rFonts w:hAnsi="宋体"/>
                <w:bCs/>
                <w:iCs/>
                <w:color w:val="000000"/>
                <w:kern w:val="0"/>
                <w:sz w:val="24"/>
              </w:rPr>
              <w:t>时间</w:t>
            </w:r>
          </w:p>
        </w:tc>
        <w:tc>
          <w:tcPr>
            <w:tcW w:w="3910" w:type="pct"/>
            <w:tcBorders>
              <w:top w:val="single" w:color="auto" w:sz="4" w:space="0"/>
              <w:left w:val="single" w:color="auto" w:sz="4" w:space="0"/>
              <w:bottom w:val="single" w:color="auto" w:sz="4" w:space="0"/>
              <w:right w:val="single" w:color="auto" w:sz="4" w:space="0"/>
            </w:tcBorders>
            <w:noWrap w:val="0"/>
            <w:vAlign w:val="top"/>
          </w:tcPr>
          <w:p w14:paraId="79F09CC8">
            <w:pPr>
              <w:spacing w:line="240" w:lineRule="auto"/>
              <w:rPr>
                <w:rFonts w:hint="eastAsia"/>
                <w:bCs/>
                <w:iCs/>
                <w:color w:val="000000"/>
                <w:sz w:val="24"/>
                <w:lang w:val="en-US" w:eastAsia="zh-CN"/>
              </w:rPr>
            </w:pPr>
            <w:r>
              <w:rPr>
                <w:rFonts w:hint="eastAsia"/>
                <w:bCs/>
                <w:iCs/>
                <w:color w:val="000000"/>
                <w:sz w:val="24"/>
                <w:lang w:val="en-US" w:eastAsia="zh-CN"/>
              </w:rPr>
              <w:t>2026年9月2日10:00-19:00</w:t>
            </w:r>
          </w:p>
          <w:p w14:paraId="456C001F">
            <w:pPr>
              <w:spacing w:line="240" w:lineRule="auto"/>
              <w:rPr>
                <w:rFonts w:hint="eastAsia"/>
                <w:bCs/>
                <w:iCs/>
                <w:color w:val="000000"/>
                <w:sz w:val="24"/>
                <w:lang w:val="en-US" w:eastAsia="zh-CN"/>
              </w:rPr>
            </w:pPr>
            <w:r>
              <w:rPr>
                <w:rFonts w:hint="eastAsia"/>
                <w:bCs/>
                <w:iCs/>
                <w:color w:val="000000"/>
                <w:sz w:val="24"/>
                <w:lang w:val="en-US" w:eastAsia="zh-CN"/>
              </w:rPr>
              <w:t>2026年9月3日9:00-17:30</w:t>
            </w:r>
          </w:p>
          <w:p w14:paraId="5B7BAD59">
            <w:pPr>
              <w:spacing w:line="240" w:lineRule="auto"/>
              <w:rPr>
                <w:rFonts w:hint="default"/>
                <w:bCs/>
                <w:iCs/>
                <w:color w:val="000000"/>
                <w:sz w:val="24"/>
                <w:lang w:val="en-US" w:eastAsia="zh-CN"/>
              </w:rPr>
            </w:pPr>
            <w:r>
              <w:rPr>
                <w:rFonts w:hint="eastAsia"/>
                <w:bCs/>
                <w:iCs/>
                <w:color w:val="000000"/>
                <w:sz w:val="24"/>
                <w:lang w:val="en-US" w:eastAsia="zh-CN"/>
              </w:rPr>
              <w:t>2026年9月4日上午9:30-10:30、</w:t>
            </w:r>
            <w:r>
              <w:rPr>
                <w:rFonts w:hint="eastAsia"/>
                <w:bCs/>
                <w:iCs/>
                <w:color w:val="000000"/>
                <w:sz w:val="24"/>
                <w:highlight w:val="none"/>
                <w:lang w:val="en-US" w:eastAsia="zh-CN"/>
              </w:rPr>
              <w:t>下午13：00-16:30</w:t>
            </w:r>
          </w:p>
        </w:tc>
      </w:tr>
      <w:tr w14:paraId="45AE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89" w:type="pct"/>
            <w:tcBorders>
              <w:top w:val="single" w:color="auto" w:sz="4" w:space="0"/>
              <w:left w:val="single" w:color="auto" w:sz="4" w:space="0"/>
              <w:bottom w:val="single" w:color="auto" w:sz="4" w:space="0"/>
              <w:right w:val="single" w:color="auto" w:sz="4" w:space="0"/>
            </w:tcBorders>
            <w:noWrap w:val="0"/>
            <w:vAlign w:val="center"/>
          </w:tcPr>
          <w:p w14:paraId="1D56DB9A">
            <w:pPr>
              <w:spacing w:line="420" w:lineRule="exact"/>
              <w:jc w:val="both"/>
              <w:rPr>
                <w:bCs/>
                <w:iCs/>
                <w:color w:val="000000"/>
                <w:kern w:val="0"/>
                <w:sz w:val="24"/>
              </w:rPr>
            </w:pPr>
            <w:r>
              <w:rPr>
                <w:rFonts w:hAnsi="宋体"/>
                <w:bCs/>
                <w:iCs/>
                <w:color w:val="000000"/>
                <w:kern w:val="0"/>
                <w:sz w:val="24"/>
                <w:highlight w:val="none"/>
              </w:rPr>
              <w:t>地点</w:t>
            </w:r>
          </w:p>
        </w:tc>
        <w:tc>
          <w:tcPr>
            <w:tcW w:w="3910" w:type="pct"/>
            <w:tcBorders>
              <w:top w:val="single" w:color="auto" w:sz="4" w:space="0"/>
              <w:left w:val="single" w:color="auto" w:sz="4" w:space="0"/>
              <w:bottom w:val="single" w:color="auto" w:sz="4" w:space="0"/>
              <w:right w:val="single" w:color="auto" w:sz="4" w:space="0"/>
            </w:tcBorders>
            <w:noWrap w:val="0"/>
            <w:vAlign w:val="top"/>
          </w:tcPr>
          <w:p w14:paraId="36189428">
            <w:pPr>
              <w:spacing w:line="420" w:lineRule="exact"/>
              <w:rPr>
                <w:rFonts w:hint="eastAsia" w:eastAsia="宋体"/>
                <w:bCs/>
                <w:iCs/>
                <w:color w:val="000000"/>
                <w:sz w:val="24"/>
                <w:lang w:eastAsia="zh-CN"/>
              </w:rPr>
            </w:pPr>
            <w:r>
              <w:rPr>
                <w:rFonts w:hint="eastAsia"/>
                <w:bCs/>
                <w:iCs/>
                <w:color w:val="000000"/>
                <w:sz w:val="24"/>
                <w:lang w:eastAsia="zh-CN"/>
              </w:rPr>
              <w:t>上门路演</w:t>
            </w:r>
          </w:p>
        </w:tc>
      </w:tr>
      <w:tr w14:paraId="7F7F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pct"/>
            <w:tcBorders>
              <w:top w:val="single" w:color="auto" w:sz="4" w:space="0"/>
              <w:left w:val="single" w:color="auto" w:sz="4" w:space="0"/>
              <w:bottom w:val="single" w:color="auto" w:sz="4" w:space="0"/>
              <w:right w:val="single" w:color="auto" w:sz="4" w:space="0"/>
            </w:tcBorders>
            <w:noWrap w:val="0"/>
            <w:vAlign w:val="top"/>
          </w:tcPr>
          <w:p w14:paraId="3A604E4D">
            <w:pPr>
              <w:spacing w:line="420" w:lineRule="exact"/>
              <w:rPr>
                <w:bCs/>
                <w:iCs/>
                <w:color w:val="000000"/>
                <w:kern w:val="0"/>
                <w:sz w:val="24"/>
              </w:rPr>
            </w:pPr>
            <w:r>
              <w:rPr>
                <w:rFonts w:hAnsi="宋体"/>
                <w:bCs/>
                <w:iCs/>
                <w:color w:val="000000"/>
                <w:kern w:val="0"/>
                <w:sz w:val="24"/>
              </w:rPr>
              <w:t>上市公司接待人员姓名</w:t>
            </w:r>
          </w:p>
        </w:tc>
        <w:tc>
          <w:tcPr>
            <w:tcW w:w="3910" w:type="pct"/>
            <w:tcBorders>
              <w:top w:val="single" w:color="auto" w:sz="4" w:space="0"/>
              <w:left w:val="single" w:color="auto" w:sz="4" w:space="0"/>
              <w:bottom w:val="single" w:color="auto" w:sz="4" w:space="0"/>
              <w:right w:val="single" w:color="auto" w:sz="4" w:space="0"/>
            </w:tcBorders>
            <w:noWrap w:val="0"/>
            <w:vAlign w:val="center"/>
          </w:tcPr>
          <w:p w14:paraId="3E14C367">
            <w:pPr>
              <w:spacing w:line="420" w:lineRule="exact"/>
              <w:rPr>
                <w:rFonts w:hint="default" w:ascii="宋体" w:hAnsi="宋体"/>
                <w:bCs/>
                <w:sz w:val="24"/>
              </w:rPr>
            </w:pPr>
            <w:r>
              <w:rPr>
                <w:rFonts w:hint="default" w:ascii="宋体" w:hAnsi="宋体"/>
                <w:bCs/>
                <w:sz w:val="24"/>
              </w:rPr>
              <w:t>董事会秘书文伟峰</w:t>
            </w:r>
          </w:p>
          <w:p w14:paraId="4F996755">
            <w:pPr>
              <w:spacing w:line="420" w:lineRule="exact"/>
              <w:rPr>
                <w:rFonts w:hint="eastAsia" w:ascii="宋体" w:hAnsi="宋体" w:eastAsia="宋体"/>
                <w:bCs/>
                <w:sz w:val="24"/>
                <w:lang w:val="en-US" w:eastAsia="zh-CN"/>
              </w:rPr>
            </w:pPr>
            <w:r>
              <w:rPr>
                <w:rFonts w:hint="eastAsia" w:ascii="宋体" w:hAnsi="宋体"/>
                <w:bCs/>
                <w:sz w:val="24"/>
                <w:lang w:val="en-US" w:eastAsia="zh-CN"/>
              </w:rPr>
              <w:t>证券事务代表郭达文</w:t>
            </w:r>
          </w:p>
        </w:tc>
      </w:tr>
      <w:tr w14:paraId="2C65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8" w:hRule="atLeast"/>
        </w:trPr>
        <w:tc>
          <w:tcPr>
            <w:tcW w:w="1089" w:type="pct"/>
            <w:tcBorders>
              <w:top w:val="single" w:color="auto" w:sz="4" w:space="0"/>
              <w:left w:val="single" w:color="auto" w:sz="4" w:space="0"/>
              <w:bottom w:val="single" w:color="auto" w:sz="4" w:space="0"/>
              <w:right w:val="single" w:color="auto" w:sz="4" w:space="0"/>
            </w:tcBorders>
            <w:noWrap w:val="0"/>
            <w:vAlign w:val="center"/>
          </w:tcPr>
          <w:p w14:paraId="3B5218F9">
            <w:pPr>
              <w:spacing w:line="420" w:lineRule="exact"/>
              <w:rPr>
                <w:bCs/>
                <w:iCs/>
                <w:color w:val="000000"/>
                <w:kern w:val="0"/>
                <w:sz w:val="24"/>
              </w:rPr>
            </w:pPr>
            <w:r>
              <w:rPr>
                <w:rFonts w:hAnsi="宋体"/>
                <w:bCs/>
                <w:iCs/>
                <w:color w:val="000000"/>
                <w:kern w:val="0"/>
                <w:sz w:val="24"/>
              </w:rPr>
              <w:t>投资者关系活动主要内容介绍</w:t>
            </w:r>
          </w:p>
          <w:p w14:paraId="17BD39B7">
            <w:pPr>
              <w:spacing w:line="420" w:lineRule="exact"/>
              <w:rPr>
                <w:bCs/>
                <w:iCs/>
                <w:color w:val="000000"/>
                <w:sz w:val="24"/>
              </w:rPr>
            </w:pPr>
          </w:p>
        </w:tc>
        <w:tc>
          <w:tcPr>
            <w:tcW w:w="3910" w:type="pct"/>
            <w:tcBorders>
              <w:top w:val="single" w:color="auto" w:sz="4" w:space="0"/>
              <w:left w:val="single" w:color="auto" w:sz="4" w:space="0"/>
              <w:bottom w:val="single" w:color="auto" w:sz="4" w:space="0"/>
              <w:right w:val="single" w:color="auto" w:sz="4" w:space="0"/>
            </w:tcBorders>
            <w:noWrap w:val="0"/>
            <w:vAlign w:val="top"/>
          </w:tcPr>
          <w:p w14:paraId="1402AC8F">
            <w:pPr>
              <w:spacing w:before="0" w:beforeLines="-2147483648" w:line="360" w:lineRule="auto"/>
              <w:ind w:firstLine="482" w:firstLineChars="200"/>
              <w:rPr>
                <w:rFonts w:hint="eastAsia" w:ascii="宋体" w:hAnsi="宋体" w:eastAsia="宋体" w:cs="宋体"/>
                <w:b/>
                <w:bCs/>
                <w:sz w:val="24"/>
                <w:szCs w:val="24"/>
              </w:rPr>
            </w:pPr>
            <w:r>
              <w:rPr>
                <w:rFonts w:hint="eastAsia" w:ascii="宋体" w:hAnsi="宋体" w:eastAsia="宋体" w:cs="宋体"/>
                <w:b/>
                <w:sz w:val="24"/>
              </w:rPr>
              <w:t>投资者提出的问题及公司回复情况</w:t>
            </w:r>
          </w:p>
          <w:p w14:paraId="49D75817">
            <w:pPr>
              <w:spacing w:line="360" w:lineRule="auto"/>
              <w:rPr>
                <w:rFonts w:hint="eastAsia" w:ascii="宋体" w:hAnsi="宋体" w:eastAsia="宋体" w:cs="宋体"/>
                <w:sz w:val="24"/>
                <w:szCs w:val="24"/>
              </w:rPr>
            </w:pPr>
            <w:r>
              <w:rPr>
                <w:rFonts w:hint="eastAsia" w:ascii="宋体" w:hAnsi="宋体" w:cs="宋体"/>
                <w:b/>
                <w:bCs/>
                <w:sz w:val="24"/>
                <w:szCs w:val="24"/>
                <w:lang w:val="en-US" w:eastAsia="zh-CN"/>
              </w:rPr>
              <w:t>1</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近期行业内PCB厂商扩产较多，公司如何看待行业竞争加剧，公司自身核心竞争壁垒体现在哪些方面？</w:t>
            </w:r>
          </w:p>
          <w:p w14:paraId="21008924">
            <w:pPr>
              <w:spacing w:line="360" w:lineRule="auto"/>
              <w:rPr>
                <w:rFonts w:hint="eastAsia" w:ascii="宋体" w:hAnsi="宋体" w:eastAsia="宋体" w:cs="宋体"/>
                <w:sz w:val="24"/>
                <w:szCs w:val="24"/>
              </w:rPr>
            </w:pPr>
            <w:r>
              <w:rPr>
                <w:rFonts w:hint="eastAsia" w:ascii="宋体" w:hAnsi="宋体" w:eastAsia="宋体" w:cs="宋体"/>
                <w:sz w:val="24"/>
                <w:szCs w:val="24"/>
              </w:rPr>
              <w:t>答：尊敬的投资者，您好！PCB行业市场空间广阔，但同时行业竞争客观存在。公司在高端工艺储备、多品类产品配套、客户资源、生产制造管理等方面具备相应竞争优势。公司将持续深耕主业，加大研发投入，优化产能结构，积极把握行业结构性机会，提升综合竞争力。行业发展与市场竞争存在不确定性，请投资者理性判断，注意投资风险。感谢您的关注！</w:t>
            </w:r>
          </w:p>
          <w:p w14:paraId="1986E853">
            <w:pPr>
              <w:spacing w:line="360" w:lineRule="auto"/>
              <w:rPr>
                <w:rFonts w:hint="eastAsia" w:ascii="宋体" w:hAnsi="宋体" w:eastAsia="宋体" w:cs="宋体"/>
                <w:b/>
                <w:bCs/>
                <w:sz w:val="24"/>
                <w:szCs w:val="24"/>
              </w:rPr>
            </w:pPr>
            <w:r>
              <w:rPr>
                <w:rFonts w:hint="eastAsia" w:ascii="宋体" w:hAnsi="宋体" w:eastAsia="宋体" w:cs="宋体"/>
                <w:sz w:val="24"/>
                <w:szCs w:val="24"/>
                <w:lang w:val="en-US" w:eastAsia="zh-CN"/>
              </w:rPr>
              <w:t>2、</w:t>
            </w:r>
            <w:r>
              <w:rPr>
                <w:rFonts w:hint="eastAsia" w:ascii="宋体" w:hAnsi="宋体" w:eastAsia="宋体" w:cs="宋体"/>
                <w:b/>
                <w:bCs/>
                <w:sz w:val="24"/>
                <w:szCs w:val="24"/>
              </w:rPr>
              <w:t>公司在800G、1.6T高速光模块PCB方面的技术储备和量产进展如何，是否已进入头部光模块厂商供应链？</w:t>
            </w:r>
          </w:p>
          <w:p w14:paraId="339BD0E0">
            <w:pPr>
              <w:spacing w:line="360" w:lineRule="auto"/>
              <w:rPr>
                <w:rFonts w:hint="eastAsia" w:ascii="宋体" w:hAnsi="宋体" w:eastAsia="宋体" w:cs="宋体"/>
                <w:sz w:val="24"/>
                <w:szCs w:val="24"/>
              </w:rPr>
            </w:pPr>
            <w:r>
              <w:rPr>
                <w:rFonts w:hint="eastAsia" w:ascii="宋体" w:hAnsi="宋体" w:eastAsia="宋体" w:cs="宋体"/>
                <w:sz w:val="24"/>
                <w:szCs w:val="24"/>
              </w:rPr>
              <w:t>答：尊敬的投资者，您好！高速光模块PCB是公司重点布局方向，公司在800G</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1.6T</w:t>
            </w:r>
            <w:r>
              <w:rPr>
                <w:rFonts w:hint="eastAsia" w:ascii="宋体" w:hAnsi="宋体" w:eastAsia="宋体" w:cs="宋体"/>
                <w:sz w:val="24"/>
                <w:szCs w:val="24"/>
              </w:rPr>
              <w:t>及更高速率产品方面持续开展技术研发与工艺验证，部分产品已实现批量供货。客户导入受认证周期、产品验证等多重因素影响存在不确定性，相关项目进展</w:t>
            </w:r>
            <w:r>
              <w:rPr>
                <w:rFonts w:hint="eastAsia" w:ascii="宋体" w:hAnsi="宋体" w:eastAsia="宋体" w:cs="宋体"/>
                <w:sz w:val="24"/>
                <w:szCs w:val="24"/>
                <w:lang w:eastAsia="zh-CN"/>
              </w:rPr>
              <w:t>情况</w:t>
            </w:r>
            <w:r>
              <w:rPr>
                <w:rFonts w:hint="eastAsia" w:ascii="宋体" w:hAnsi="宋体" w:eastAsia="宋体" w:cs="宋体"/>
                <w:sz w:val="24"/>
                <w:szCs w:val="24"/>
              </w:rPr>
              <w:t>请以公司在指定信息披露媒体发布的公告为准。感谢您的关注！</w:t>
            </w:r>
          </w:p>
          <w:p w14:paraId="0A5F340F">
            <w:pPr>
              <w:spacing w:line="360" w:lineRule="auto"/>
              <w:rPr>
                <w:rFonts w:hint="eastAsia" w:ascii="宋体" w:hAnsi="宋体" w:eastAsia="宋体" w:cs="宋体"/>
                <w:sz w:val="24"/>
                <w:szCs w:val="24"/>
              </w:rPr>
            </w:pPr>
            <w:r>
              <w:rPr>
                <w:rFonts w:hint="eastAsia" w:ascii="宋体" w:hAnsi="宋体" w:eastAsia="宋体" w:cs="宋体"/>
                <w:b/>
                <w:bCs/>
                <w:color w:val="auto"/>
                <w:sz w:val="24"/>
                <w:szCs w:val="24"/>
                <w:lang w:val="en-US" w:eastAsia="zh-CN"/>
              </w:rPr>
              <w:t>3、</w:t>
            </w:r>
            <w:r>
              <w:rPr>
                <w:rFonts w:hint="eastAsia" w:ascii="宋体" w:hAnsi="宋体" w:eastAsia="宋体" w:cs="宋体"/>
                <w:b/>
                <w:bCs/>
                <w:sz w:val="24"/>
                <w:szCs w:val="24"/>
              </w:rPr>
              <w:t>目前PCB行业上游铜箔、树脂等原材料价格波动较大，对公司盈利会带来多大影响，公司有哪些对冲手段？</w:t>
            </w:r>
          </w:p>
          <w:p w14:paraId="379F9A65">
            <w:pPr>
              <w:spacing w:line="360" w:lineRule="auto"/>
              <w:rPr>
                <w:rFonts w:hint="eastAsia" w:ascii="宋体" w:hAnsi="宋体" w:eastAsia="宋体" w:cs="宋体"/>
                <w:sz w:val="24"/>
                <w:szCs w:val="24"/>
              </w:rPr>
            </w:pPr>
            <w:r>
              <w:rPr>
                <w:rFonts w:hint="eastAsia" w:ascii="宋体" w:hAnsi="宋体" w:eastAsia="宋体" w:cs="宋体"/>
                <w:sz w:val="24"/>
                <w:szCs w:val="24"/>
              </w:rPr>
              <w:t>答：尊敬的投资者，您好！上游原材料价格波动会对行业内企业经营带来一定影响。公司一方面通过优化供应链采购机制，合理安排采购节奏；另一方面通过产品结构优化、工艺改善等方式对冲部分原材料波动带来的影响。原材料价格走势受宏观、供需多重因素影响，公司将持续跟踪市场变化。相关经营情况请以公司在指定信息披露媒体发布的公告为准</w:t>
            </w:r>
            <w:r>
              <w:rPr>
                <w:rFonts w:hint="eastAsia" w:ascii="宋体" w:hAnsi="宋体" w:eastAsia="宋体" w:cs="宋体"/>
                <w:sz w:val="24"/>
                <w:szCs w:val="24"/>
                <w:lang w:eastAsia="zh-CN"/>
              </w:rPr>
              <w:t>，</w:t>
            </w:r>
            <w:r>
              <w:rPr>
                <w:rFonts w:hint="eastAsia" w:ascii="宋体" w:hAnsi="宋体" w:eastAsia="宋体" w:cs="宋体"/>
                <w:sz w:val="24"/>
                <w:szCs w:val="24"/>
              </w:rPr>
              <w:t>敬请投资者注意投资风险。感谢您的关注！</w:t>
            </w:r>
          </w:p>
          <w:p w14:paraId="6C67C9C7">
            <w:p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4、</w:t>
            </w:r>
            <w:r>
              <w:rPr>
                <w:rFonts w:hint="eastAsia" w:ascii="宋体" w:hAnsi="宋体" w:eastAsia="宋体" w:cs="宋体"/>
                <w:b/>
                <w:bCs/>
                <w:sz w:val="24"/>
                <w:szCs w:val="24"/>
              </w:rPr>
              <w:t>高阶PCB产品认证周期较长，公司如何降低客户认证失败或者认证通过后订单不及预期带来的经营风险？</w:t>
            </w:r>
          </w:p>
          <w:p w14:paraId="6F2A29A7">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答：尊敬的投资者，您好！公司在前期会对客户项目开展综合评估，合理规划研发及试样资源。同时坚持多客户、多领域布局，分散单一项目不及预期带来的影响。客户认证以及订单落地存在不确定性，公司将持续做好项目全流程管控。相关业务情况请以公司在指定信息披露媒体发布的公告为准。感谢您的关注！</w:t>
            </w:r>
          </w:p>
          <w:p w14:paraId="2982D719">
            <w:p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IPO募投项目目前建设进度如何，预计什么时候能够释放有效产能？新增产能主要面向哪些下游客户群体？</w:t>
            </w:r>
          </w:p>
          <w:p w14:paraId="50CCD56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答：尊敬的投资者，您好！公司IPO募投项目厂房建设已基本完成，正</w:t>
            </w:r>
            <w:r>
              <w:rPr>
                <w:rFonts w:hint="eastAsia" w:ascii="宋体" w:hAnsi="宋体" w:eastAsia="宋体" w:cs="宋体"/>
                <w:sz w:val="24"/>
                <w:szCs w:val="24"/>
                <w:lang w:val="en-US" w:eastAsia="zh-CN"/>
              </w:rPr>
              <w:t>在</w:t>
            </w:r>
            <w:r>
              <w:rPr>
                <w:rFonts w:hint="eastAsia" w:ascii="宋体" w:hAnsi="宋体" w:eastAsia="宋体" w:cs="宋体"/>
                <w:sz w:val="24"/>
                <w:szCs w:val="24"/>
              </w:rPr>
              <w:t>开展设备安装调试，2026年第三季度</w:t>
            </w:r>
            <w:r>
              <w:rPr>
                <w:rFonts w:hint="eastAsia" w:ascii="宋体" w:hAnsi="宋体" w:eastAsia="宋体" w:cs="宋体"/>
                <w:sz w:val="24"/>
                <w:szCs w:val="24"/>
                <w:lang w:eastAsia="zh-CN"/>
              </w:rPr>
              <w:t>已</w:t>
            </w:r>
            <w:r>
              <w:rPr>
                <w:rFonts w:hint="eastAsia" w:ascii="宋体" w:hAnsi="宋体" w:eastAsia="宋体" w:cs="宋体"/>
                <w:sz w:val="24"/>
                <w:szCs w:val="24"/>
              </w:rPr>
              <w:t>开始逐步投产。项目达产后主要新增高阶HDI、mSAP高端精密电路板产能，重点承接</w:t>
            </w:r>
            <w:r>
              <w:rPr>
                <w:rFonts w:hint="eastAsia" w:ascii="宋体" w:hAnsi="宋体" w:eastAsia="宋体" w:cs="宋体"/>
                <w:sz w:val="24"/>
                <w:szCs w:val="24"/>
                <w:lang w:eastAsia="zh-CN"/>
              </w:rPr>
              <w:t>高速</w:t>
            </w:r>
            <w:r>
              <w:rPr>
                <w:rFonts w:hint="eastAsia" w:ascii="宋体" w:hAnsi="宋体" w:eastAsia="宋体" w:cs="宋体"/>
                <w:sz w:val="24"/>
                <w:szCs w:val="24"/>
              </w:rPr>
              <w:t>光模块、高端消费电子等领域订单。客户拓展受认证周期、市场环境多重因素存在不确定性，具体投产及客户落地情况请以公司在指定信息披露媒体发布的公告为准。敬请各位投资者理性投资，注意投资风险。感谢您的关注</w:t>
            </w:r>
            <w:r>
              <w:rPr>
                <w:rFonts w:hint="eastAsia" w:ascii="宋体" w:hAnsi="宋体" w:eastAsia="宋体" w:cs="宋体"/>
                <w:sz w:val="24"/>
                <w:szCs w:val="24"/>
                <w:lang w:eastAsia="zh-CN"/>
              </w:rPr>
              <w:t>！</w:t>
            </w:r>
          </w:p>
        </w:tc>
      </w:tr>
    </w:tbl>
    <w:p w14:paraId="136325F3">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305AB"/>
    <w:rsid w:val="000E24FC"/>
    <w:rsid w:val="001F19EE"/>
    <w:rsid w:val="00332A18"/>
    <w:rsid w:val="003358A2"/>
    <w:rsid w:val="00A115AC"/>
    <w:rsid w:val="00A853FD"/>
    <w:rsid w:val="01D07389"/>
    <w:rsid w:val="01EE0A53"/>
    <w:rsid w:val="01EF4C84"/>
    <w:rsid w:val="02063FE0"/>
    <w:rsid w:val="021D19CA"/>
    <w:rsid w:val="027C4E69"/>
    <w:rsid w:val="028B1CBA"/>
    <w:rsid w:val="02FC125B"/>
    <w:rsid w:val="036A068A"/>
    <w:rsid w:val="036A4901"/>
    <w:rsid w:val="03903EE8"/>
    <w:rsid w:val="040B06D8"/>
    <w:rsid w:val="04184E19"/>
    <w:rsid w:val="04212491"/>
    <w:rsid w:val="045742DD"/>
    <w:rsid w:val="045B0083"/>
    <w:rsid w:val="048720D2"/>
    <w:rsid w:val="04881B00"/>
    <w:rsid w:val="04B908AB"/>
    <w:rsid w:val="05206CBB"/>
    <w:rsid w:val="05435C4E"/>
    <w:rsid w:val="055714BC"/>
    <w:rsid w:val="055F25BB"/>
    <w:rsid w:val="056239E2"/>
    <w:rsid w:val="05ED10E7"/>
    <w:rsid w:val="05F63F07"/>
    <w:rsid w:val="06116A83"/>
    <w:rsid w:val="061A3513"/>
    <w:rsid w:val="063C6BC8"/>
    <w:rsid w:val="06492F0A"/>
    <w:rsid w:val="068A163A"/>
    <w:rsid w:val="06A452F3"/>
    <w:rsid w:val="06AF5A5A"/>
    <w:rsid w:val="06BE5E9C"/>
    <w:rsid w:val="06E3370B"/>
    <w:rsid w:val="06F36600"/>
    <w:rsid w:val="06FC6835"/>
    <w:rsid w:val="07395E8F"/>
    <w:rsid w:val="080E72F9"/>
    <w:rsid w:val="082C3E75"/>
    <w:rsid w:val="082D21D3"/>
    <w:rsid w:val="083F58E4"/>
    <w:rsid w:val="085F5974"/>
    <w:rsid w:val="087E06FA"/>
    <w:rsid w:val="08BE2B98"/>
    <w:rsid w:val="08D61214"/>
    <w:rsid w:val="08E27D9B"/>
    <w:rsid w:val="08F16645"/>
    <w:rsid w:val="09A72BBE"/>
    <w:rsid w:val="09EB0ED1"/>
    <w:rsid w:val="0A2036B5"/>
    <w:rsid w:val="0A28048F"/>
    <w:rsid w:val="0A454870"/>
    <w:rsid w:val="0AA97DF7"/>
    <w:rsid w:val="0AFB7517"/>
    <w:rsid w:val="0B182FAA"/>
    <w:rsid w:val="0B3304E3"/>
    <w:rsid w:val="0B455B6B"/>
    <w:rsid w:val="0B4E642D"/>
    <w:rsid w:val="0B53227B"/>
    <w:rsid w:val="0B536417"/>
    <w:rsid w:val="0BE76DA2"/>
    <w:rsid w:val="0C005021"/>
    <w:rsid w:val="0C062331"/>
    <w:rsid w:val="0C167B52"/>
    <w:rsid w:val="0C346224"/>
    <w:rsid w:val="0C374426"/>
    <w:rsid w:val="0C4729B0"/>
    <w:rsid w:val="0C86103D"/>
    <w:rsid w:val="0CB92CEF"/>
    <w:rsid w:val="0CFA41CF"/>
    <w:rsid w:val="0D8558BB"/>
    <w:rsid w:val="0DEA3165"/>
    <w:rsid w:val="0DF851F8"/>
    <w:rsid w:val="0E186BA9"/>
    <w:rsid w:val="0E3C0112"/>
    <w:rsid w:val="0E425119"/>
    <w:rsid w:val="0E5053EB"/>
    <w:rsid w:val="0E7604CB"/>
    <w:rsid w:val="0E9D3D43"/>
    <w:rsid w:val="0EE846C3"/>
    <w:rsid w:val="0EF13FB5"/>
    <w:rsid w:val="0EF430CC"/>
    <w:rsid w:val="0EFA6AA1"/>
    <w:rsid w:val="0F764E42"/>
    <w:rsid w:val="0F811E7B"/>
    <w:rsid w:val="0FB6340A"/>
    <w:rsid w:val="0FD46404"/>
    <w:rsid w:val="0FF74205"/>
    <w:rsid w:val="0FFD29B5"/>
    <w:rsid w:val="100449D5"/>
    <w:rsid w:val="10067ED8"/>
    <w:rsid w:val="10130B2C"/>
    <w:rsid w:val="102435FF"/>
    <w:rsid w:val="102B656A"/>
    <w:rsid w:val="102D112C"/>
    <w:rsid w:val="103A715D"/>
    <w:rsid w:val="10650F8C"/>
    <w:rsid w:val="10C37726"/>
    <w:rsid w:val="10CF6037"/>
    <w:rsid w:val="10E039C4"/>
    <w:rsid w:val="111F09A5"/>
    <w:rsid w:val="116B10C8"/>
    <w:rsid w:val="11AA638B"/>
    <w:rsid w:val="11C97C7E"/>
    <w:rsid w:val="120053A7"/>
    <w:rsid w:val="12090006"/>
    <w:rsid w:val="12094543"/>
    <w:rsid w:val="12147BAF"/>
    <w:rsid w:val="12180BBD"/>
    <w:rsid w:val="122107C9"/>
    <w:rsid w:val="12446839"/>
    <w:rsid w:val="125D5290"/>
    <w:rsid w:val="1279575E"/>
    <w:rsid w:val="12835449"/>
    <w:rsid w:val="1289520C"/>
    <w:rsid w:val="12B645BB"/>
    <w:rsid w:val="12F873A2"/>
    <w:rsid w:val="1333050F"/>
    <w:rsid w:val="13346A32"/>
    <w:rsid w:val="13830D84"/>
    <w:rsid w:val="13DF0740"/>
    <w:rsid w:val="142A16F1"/>
    <w:rsid w:val="148753F4"/>
    <w:rsid w:val="14993688"/>
    <w:rsid w:val="14B0380B"/>
    <w:rsid w:val="14CC399B"/>
    <w:rsid w:val="14DF394F"/>
    <w:rsid w:val="1516519B"/>
    <w:rsid w:val="15180A2D"/>
    <w:rsid w:val="15224038"/>
    <w:rsid w:val="15870651"/>
    <w:rsid w:val="15893C5F"/>
    <w:rsid w:val="158E49EC"/>
    <w:rsid w:val="15A068C2"/>
    <w:rsid w:val="15C00ED4"/>
    <w:rsid w:val="15C834C5"/>
    <w:rsid w:val="164469B9"/>
    <w:rsid w:val="164505E7"/>
    <w:rsid w:val="16710443"/>
    <w:rsid w:val="16B21909"/>
    <w:rsid w:val="16EB4D89"/>
    <w:rsid w:val="16ED567C"/>
    <w:rsid w:val="17036698"/>
    <w:rsid w:val="177B6E11"/>
    <w:rsid w:val="17E70043"/>
    <w:rsid w:val="18266C2F"/>
    <w:rsid w:val="186440BD"/>
    <w:rsid w:val="18646EED"/>
    <w:rsid w:val="186E288D"/>
    <w:rsid w:val="18E55D68"/>
    <w:rsid w:val="19287F65"/>
    <w:rsid w:val="19714439"/>
    <w:rsid w:val="19923411"/>
    <w:rsid w:val="19AC1FCB"/>
    <w:rsid w:val="19C55160"/>
    <w:rsid w:val="19FA0027"/>
    <w:rsid w:val="1A2037A1"/>
    <w:rsid w:val="1A905510"/>
    <w:rsid w:val="1AAF2740"/>
    <w:rsid w:val="1ABA3364"/>
    <w:rsid w:val="1B540522"/>
    <w:rsid w:val="1B941B6F"/>
    <w:rsid w:val="1BB90D09"/>
    <w:rsid w:val="1BC85AA0"/>
    <w:rsid w:val="1BD77D28"/>
    <w:rsid w:val="1BE404F6"/>
    <w:rsid w:val="1BE45ADF"/>
    <w:rsid w:val="1BF2004F"/>
    <w:rsid w:val="1C1F2A90"/>
    <w:rsid w:val="1C802A74"/>
    <w:rsid w:val="1D2302DB"/>
    <w:rsid w:val="1D382C3F"/>
    <w:rsid w:val="1D526C8D"/>
    <w:rsid w:val="1D577501"/>
    <w:rsid w:val="1D770F06"/>
    <w:rsid w:val="1D8B5D38"/>
    <w:rsid w:val="1E331590"/>
    <w:rsid w:val="1E437D9F"/>
    <w:rsid w:val="1E4E4D76"/>
    <w:rsid w:val="1F1D735C"/>
    <w:rsid w:val="1F2A5663"/>
    <w:rsid w:val="202F7B5B"/>
    <w:rsid w:val="206C7975"/>
    <w:rsid w:val="20823C52"/>
    <w:rsid w:val="208F37FB"/>
    <w:rsid w:val="20AF29CB"/>
    <w:rsid w:val="20F93F7E"/>
    <w:rsid w:val="21013ABD"/>
    <w:rsid w:val="214A3341"/>
    <w:rsid w:val="21600EB3"/>
    <w:rsid w:val="21945080"/>
    <w:rsid w:val="21AA68A1"/>
    <w:rsid w:val="21BB6A9A"/>
    <w:rsid w:val="21EF3C6C"/>
    <w:rsid w:val="2212569B"/>
    <w:rsid w:val="222738FF"/>
    <w:rsid w:val="224D0F18"/>
    <w:rsid w:val="225D5115"/>
    <w:rsid w:val="226D1FA5"/>
    <w:rsid w:val="22BF246D"/>
    <w:rsid w:val="22C746C8"/>
    <w:rsid w:val="22FF175D"/>
    <w:rsid w:val="231B76DD"/>
    <w:rsid w:val="23354E36"/>
    <w:rsid w:val="235D5BB1"/>
    <w:rsid w:val="23613299"/>
    <w:rsid w:val="23935399"/>
    <w:rsid w:val="23C04937"/>
    <w:rsid w:val="23C43F62"/>
    <w:rsid w:val="23D81934"/>
    <w:rsid w:val="24264EC0"/>
    <w:rsid w:val="245D0F8B"/>
    <w:rsid w:val="247D5F1F"/>
    <w:rsid w:val="248A11B3"/>
    <w:rsid w:val="24952E90"/>
    <w:rsid w:val="24AE54B9"/>
    <w:rsid w:val="24E159FC"/>
    <w:rsid w:val="24E85C96"/>
    <w:rsid w:val="251435BB"/>
    <w:rsid w:val="2556244F"/>
    <w:rsid w:val="25747800"/>
    <w:rsid w:val="25F81065"/>
    <w:rsid w:val="263F23CC"/>
    <w:rsid w:val="26444DF8"/>
    <w:rsid w:val="266260AE"/>
    <w:rsid w:val="266B5315"/>
    <w:rsid w:val="268351A8"/>
    <w:rsid w:val="26916953"/>
    <w:rsid w:val="269E5D3B"/>
    <w:rsid w:val="26A06B38"/>
    <w:rsid w:val="26E91621"/>
    <w:rsid w:val="26F75C2F"/>
    <w:rsid w:val="270739BA"/>
    <w:rsid w:val="270E3D1E"/>
    <w:rsid w:val="27490680"/>
    <w:rsid w:val="27790B93"/>
    <w:rsid w:val="277A145D"/>
    <w:rsid w:val="278869DE"/>
    <w:rsid w:val="27965532"/>
    <w:rsid w:val="27C51DC2"/>
    <w:rsid w:val="27D55CE6"/>
    <w:rsid w:val="27F405C3"/>
    <w:rsid w:val="28146E2B"/>
    <w:rsid w:val="28893937"/>
    <w:rsid w:val="28BF2FDD"/>
    <w:rsid w:val="28DC181B"/>
    <w:rsid w:val="28E4430A"/>
    <w:rsid w:val="291774EE"/>
    <w:rsid w:val="297B5E1B"/>
    <w:rsid w:val="297D57AF"/>
    <w:rsid w:val="29B96E43"/>
    <w:rsid w:val="29DC0639"/>
    <w:rsid w:val="29E665D7"/>
    <w:rsid w:val="29FC5F67"/>
    <w:rsid w:val="2A1A61DC"/>
    <w:rsid w:val="2A1F5C2B"/>
    <w:rsid w:val="2A301279"/>
    <w:rsid w:val="2A5C7D02"/>
    <w:rsid w:val="2A6021A5"/>
    <w:rsid w:val="2A8C4F5A"/>
    <w:rsid w:val="2A9C5CB4"/>
    <w:rsid w:val="2ABB7269"/>
    <w:rsid w:val="2ADC0297"/>
    <w:rsid w:val="2AF23CBB"/>
    <w:rsid w:val="2B035D9A"/>
    <w:rsid w:val="2B1E6AB9"/>
    <w:rsid w:val="2B226BB0"/>
    <w:rsid w:val="2BAF3DB8"/>
    <w:rsid w:val="2BB050BC"/>
    <w:rsid w:val="2BB12B3E"/>
    <w:rsid w:val="2BB74A47"/>
    <w:rsid w:val="2BC261D7"/>
    <w:rsid w:val="2BC30BE1"/>
    <w:rsid w:val="2C0D582B"/>
    <w:rsid w:val="2C434E00"/>
    <w:rsid w:val="2C6373FE"/>
    <w:rsid w:val="2C711EB6"/>
    <w:rsid w:val="2CE15EB6"/>
    <w:rsid w:val="2D485343"/>
    <w:rsid w:val="2D92356E"/>
    <w:rsid w:val="2DAB7738"/>
    <w:rsid w:val="2DCB1BC1"/>
    <w:rsid w:val="2DE04E76"/>
    <w:rsid w:val="2E082401"/>
    <w:rsid w:val="2E570A74"/>
    <w:rsid w:val="2EB71EC7"/>
    <w:rsid w:val="2EEA5CB1"/>
    <w:rsid w:val="2F2D336D"/>
    <w:rsid w:val="2F517B49"/>
    <w:rsid w:val="2F644545"/>
    <w:rsid w:val="2FAD4689"/>
    <w:rsid w:val="2FC92C70"/>
    <w:rsid w:val="2FD913E4"/>
    <w:rsid w:val="30423FA7"/>
    <w:rsid w:val="306B6B37"/>
    <w:rsid w:val="307D149D"/>
    <w:rsid w:val="3096124C"/>
    <w:rsid w:val="30A25D55"/>
    <w:rsid w:val="30A27F0C"/>
    <w:rsid w:val="30B6604A"/>
    <w:rsid w:val="31010831"/>
    <w:rsid w:val="31114718"/>
    <w:rsid w:val="313D0DD6"/>
    <w:rsid w:val="31560D78"/>
    <w:rsid w:val="3164117D"/>
    <w:rsid w:val="31AF14ED"/>
    <w:rsid w:val="31C872AD"/>
    <w:rsid w:val="31CA2052"/>
    <w:rsid w:val="31CB17E7"/>
    <w:rsid w:val="31F22844"/>
    <w:rsid w:val="31FA26FB"/>
    <w:rsid w:val="323D2377"/>
    <w:rsid w:val="327F210C"/>
    <w:rsid w:val="32B31692"/>
    <w:rsid w:val="32F24464"/>
    <w:rsid w:val="32FB7425"/>
    <w:rsid w:val="330D7C56"/>
    <w:rsid w:val="33164D7A"/>
    <w:rsid w:val="33310BD4"/>
    <w:rsid w:val="33371B7C"/>
    <w:rsid w:val="336B47F6"/>
    <w:rsid w:val="33B9129A"/>
    <w:rsid w:val="33CF4D0C"/>
    <w:rsid w:val="33D87B7F"/>
    <w:rsid w:val="33F51B8B"/>
    <w:rsid w:val="34500B95"/>
    <w:rsid w:val="345B1E0A"/>
    <w:rsid w:val="34777AA4"/>
    <w:rsid w:val="349B6E8A"/>
    <w:rsid w:val="34B14456"/>
    <w:rsid w:val="34F963AE"/>
    <w:rsid w:val="353201D7"/>
    <w:rsid w:val="353215E3"/>
    <w:rsid w:val="353D37E6"/>
    <w:rsid w:val="35484AC9"/>
    <w:rsid w:val="355F54AD"/>
    <w:rsid w:val="358E17EA"/>
    <w:rsid w:val="35CB384D"/>
    <w:rsid w:val="35CE6C14"/>
    <w:rsid w:val="35F42F3C"/>
    <w:rsid w:val="36563F5D"/>
    <w:rsid w:val="36A9027D"/>
    <w:rsid w:val="373E372F"/>
    <w:rsid w:val="374C04C6"/>
    <w:rsid w:val="374F724D"/>
    <w:rsid w:val="375062C2"/>
    <w:rsid w:val="379B3FAA"/>
    <w:rsid w:val="379D706F"/>
    <w:rsid w:val="37B95EF8"/>
    <w:rsid w:val="37D529A9"/>
    <w:rsid w:val="37E82A4E"/>
    <w:rsid w:val="37EA5524"/>
    <w:rsid w:val="38242728"/>
    <w:rsid w:val="38364B06"/>
    <w:rsid w:val="38A339EF"/>
    <w:rsid w:val="38B8024B"/>
    <w:rsid w:val="38DD7958"/>
    <w:rsid w:val="391361B6"/>
    <w:rsid w:val="39160DB7"/>
    <w:rsid w:val="393B2A37"/>
    <w:rsid w:val="39517839"/>
    <w:rsid w:val="3960646B"/>
    <w:rsid w:val="39A36AC5"/>
    <w:rsid w:val="39CC38F2"/>
    <w:rsid w:val="39CE1DB2"/>
    <w:rsid w:val="39E03FB0"/>
    <w:rsid w:val="3A093AF4"/>
    <w:rsid w:val="3A96472B"/>
    <w:rsid w:val="3ABD5C6F"/>
    <w:rsid w:val="3AEE47F8"/>
    <w:rsid w:val="3AF25C94"/>
    <w:rsid w:val="3B190B4B"/>
    <w:rsid w:val="3B516F22"/>
    <w:rsid w:val="3B600847"/>
    <w:rsid w:val="3BA745A7"/>
    <w:rsid w:val="3BA83CF9"/>
    <w:rsid w:val="3BB3215D"/>
    <w:rsid w:val="3BC64E1D"/>
    <w:rsid w:val="3BDA21E4"/>
    <w:rsid w:val="3BEE3BA1"/>
    <w:rsid w:val="3C3065DE"/>
    <w:rsid w:val="3C814171"/>
    <w:rsid w:val="3CB00169"/>
    <w:rsid w:val="3CBE0C38"/>
    <w:rsid w:val="3CC86FC9"/>
    <w:rsid w:val="3D265BC1"/>
    <w:rsid w:val="3D353633"/>
    <w:rsid w:val="3D4B3D1F"/>
    <w:rsid w:val="3DC67158"/>
    <w:rsid w:val="3E0371F2"/>
    <w:rsid w:val="3E183FB9"/>
    <w:rsid w:val="3E321672"/>
    <w:rsid w:val="3E340951"/>
    <w:rsid w:val="3E6D0270"/>
    <w:rsid w:val="3EB8737C"/>
    <w:rsid w:val="3EDD2C3B"/>
    <w:rsid w:val="3EFF451C"/>
    <w:rsid w:val="3F171726"/>
    <w:rsid w:val="3F210422"/>
    <w:rsid w:val="3F2F7C07"/>
    <w:rsid w:val="3F475289"/>
    <w:rsid w:val="3F951B22"/>
    <w:rsid w:val="3FB83228"/>
    <w:rsid w:val="3FC42104"/>
    <w:rsid w:val="3FCD19FA"/>
    <w:rsid w:val="407D0B00"/>
    <w:rsid w:val="40AC1EBE"/>
    <w:rsid w:val="40B61414"/>
    <w:rsid w:val="40E561F6"/>
    <w:rsid w:val="41010156"/>
    <w:rsid w:val="412036D8"/>
    <w:rsid w:val="41311942"/>
    <w:rsid w:val="413144A7"/>
    <w:rsid w:val="41323BEC"/>
    <w:rsid w:val="416354F9"/>
    <w:rsid w:val="419D07B6"/>
    <w:rsid w:val="41AA204A"/>
    <w:rsid w:val="41CD3258"/>
    <w:rsid w:val="41D116D9"/>
    <w:rsid w:val="41F87BCB"/>
    <w:rsid w:val="422736F8"/>
    <w:rsid w:val="424324BB"/>
    <w:rsid w:val="42BF1491"/>
    <w:rsid w:val="42CE7942"/>
    <w:rsid w:val="43385199"/>
    <w:rsid w:val="43AB5AF3"/>
    <w:rsid w:val="43EB0BFE"/>
    <w:rsid w:val="44494186"/>
    <w:rsid w:val="444B20A4"/>
    <w:rsid w:val="445E1C00"/>
    <w:rsid w:val="449756E3"/>
    <w:rsid w:val="44DA65B0"/>
    <w:rsid w:val="44F83275"/>
    <w:rsid w:val="450B77DC"/>
    <w:rsid w:val="45205F9F"/>
    <w:rsid w:val="453C6B01"/>
    <w:rsid w:val="45676CE8"/>
    <w:rsid w:val="457B0723"/>
    <w:rsid w:val="45897F5C"/>
    <w:rsid w:val="45C66B1E"/>
    <w:rsid w:val="460518AF"/>
    <w:rsid w:val="46092573"/>
    <w:rsid w:val="460A7FF5"/>
    <w:rsid w:val="460E3943"/>
    <w:rsid w:val="466014A0"/>
    <w:rsid w:val="466A5D01"/>
    <w:rsid w:val="467D0C82"/>
    <w:rsid w:val="46901B46"/>
    <w:rsid w:val="470B0606"/>
    <w:rsid w:val="47182731"/>
    <w:rsid w:val="473A7C66"/>
    <w:rsid w:val="47532947"/>
    <w:rsid w:val="478C2C6A"/>
    <w:rsid w:val="47997856"/>
    <w:rsid w:val="47E14440"/>
    <w:rsid w:val="47E32997"/>
    <w:rsid w:val="48021F27"/>
    <w:rsid w:val="481E0A9F"/>
    <w:rsid w:val="482237DD"/>
    <w:rsid w:val="48323A90"/>
    <w:rsid w:val="487B4F3A"/>
    <w:rsid w:val="488806C0"/>
    <w:rsid w:val="48BD0E3A"/>
    <w:rsid w:val="48D736CC"/>
    <w:rsid w:val="48F54240"/>
    <w:rsid w:val="49077B25"/>
    <w:rsid w:val="491C7DBD"/>
    <w:rsid w:val="491F37A0"/>
    <w:rsid w:val="492061C0"/>
    <w:rsid w:val="49B5583B"/>
    <w:rsid w:val="49D16628"/>
    <w:rsid w:val="4A087B05"/>
    <w:rsid w:val="4A5C7161"/>
    <w:rsid w:val="4A8308C8"/>
    <w:rsid w:val="4A9A1D8A"/>
    <w:rsid w:val="4AAB2160"/>
    <w:rsid w:val="4B0347EC"/>
    <w:rsid w:val="4B1E7139"/>
    <w:rsid w:val="4B3763D9"/>
    <w:rsid w:val="4B812670"/>
    <w:rsid w:val="4B9341D0"/>
    <w:rsid w:val="4BC92FB2"/>
    <w:rsid w:val="4BDC60A6"/>
    <w:rsid w:val="4C095A4C"/>
    <w:rsid w:val="4C1C5427"/>
    <w:rsid w:val="4C226976"/>
    <w:rsid w:val="4C4340A8"/>
    <w:rsid w:val="4C591D30"/>
    <w:rsid w:val="4C85282E"/>
    <w:rsid w:val="4CC10960"/>
    <w:rsid w:val="4D2418CD"/>
    <w:rsid w:val="4D2B0AAA"/>
    <w:rsid w:val="4D3F0047"/>
    <w:rsid w:val="4DAD025E"/>
    <w:rsid w:val="4DB4262B"/>
    <w:rsid w:val="4DB43081"/>
    <w:rsid w:val="4DBC2E94"/>
    <w:rsid w:val="4DD3102D"/>
    <w:rsid w:val="4DD342F6"/>
    <w:rsid w:val="4E401047"/>
    <w:rsid w:val="4E4E3A88"/>
    <w:rsid w:val="4E534AE0"/>
    <w:rsid w:val="4E59060D"/>
    <w:rsid w:val="4E8273DA"/>
    <w:rsid w:val="4EB65191"/>
    <w:rsid w:val="4EC05ABD"/>
    <w:rsid w:val="4EE8083A"/>
    <w:rsid w:val="4EFB6F97"/>
    <w:rsid w:val="4F4B26A6"/>
    <w:rsid w:val="4F506956"/>
    <w:rsid w:val="4F543C68"/>
    <w:rsid w:val="4F804241"/>
    <w:rsid w:val="4FAA549B"/>
    <w:rsid w:val="4FE24D64"/>
    <w:rsid w:val="4FE71B48"/>
    <w:rsid w:val="508F4030"/>
    <w:rsid w:val="509C710E"/>
    <w:rsid w:val="50A9683C"/>
    <w:rsid w:val="50D5692A"/>
    <w:rsid w:val="51131D72"/>
    <w:rsid w:val="511402ED"/>
    <w:rsid w:val="511738D7"/>
    <w:rsid w:val="51272133"/>
    <w:rsid w:val="513B78F9"/>
    <w:rsid w:val="51402E7D"/>
    <w:rsid w:val="518B2BD5"/>
    <w:rsid w:val="518F4193"/>
    <w:rsid w:val="51963BE6"/>
    <w:rsid w:val="51E01C58"/>
    <w:rsid w:val="52147630"/>
    <w:rsid w:val="524E202D"/>
    <w:rsid w:val="525F06A8"/>
    <w:rsid w:val="5280553F"/>
    <w:rsid w:val="52883319"/>
    <w:rsid w:val="531B79A2"/>
    <w:rsid w:val="532F4D4D"/>
    <w:rsid w:val="535341D2"/>
    <w:rsid w:val="53692166"/>
    <w:rsid w:val="53A031DF"/>
    <w:rsid w:val="53DF4345"/>
    <w:rsid w:val="53E143AE"/>
    <w:rsid w:val="53F904D6"/>
    <w:rsid w:val="54420783"/>
    <w:rsid w:val="544935D7"/>
    <w:rsid w:val="54A06D2E"/>
    <w:rsid w:val="54A352AD"/>
    <w:rsid w:val="54F44B1C"/>
    <w:rsid w:val="550348EE"/>
    <w:rsid w:val="550D339E"/>
    <w:rsid w:val="55376EDE"/>
    <w:rsid w:val="554A0051"/>
    <w:rsid w:val="55BE024B"/>
    <w:rsid w:val="55F00555"/>
    <w:rsid w:val="55FD59A2"/>
    <w:rsid w:val="56763942"/>
    <w:rsid w:val="56771F5B"/>
    <w:rsid w:val="568F4F11"/>
    <w:rsid w:val="56995D14"/>
    <w:rsid w:val="56C3565E"/>
    <w:rsid w:val="57194E75"/>
    <w:rsid w:val="57222AF5"/>
    <w:rsid w:val="572932C8"/>
    <w:rsid w:val="57313054"/>
    <w:rsid w:val="575E5942"/>
    <w:rsid w:val="57912E7F"/>
    <w:rsid w:val="57B3103F"/>
    <w:rsid w:val="57C2550C"/>
    <w:rsid w:val="57C8066B"/>
    <w:rsid w:val="57EA769F"/>
    <w:rsid w:val="57FB1BE5"/>
    <w:rsid w:val="58823596"/>
    <w:rsid w:val="58DE59A8"/>
    <w:rsid w:val="58FD050E"/>
    <w:rsid w:val="591304B3"/>
    <w:rsid w:val="599D6D92"/>
    <w:rsid w:val="59E6567F"/>
    <w:rsid w:val="59F90643"/>
    <w:rsid w:val="5A1D0257"/>
    <w:rsid w:val="5A20651C"/>
    <w:rsid w:val="5A2E423F"/>
    <w:rsid w:val="5A3713A6"/>
    <w:rsid w:val="5A593715"/>
    <w:rsid w:val="5A5A7F74"/>
    <w:rsid w:val="5A6778C4"/>
    <w:rsid w:val="5AB752E1"/>
    <w:rsid w:val="5AFF6D64"/>
    <w:rsid w:val="5B081868"/>
    <w:rsid w:val="5B196BD0"/>
    <w:rsid w:val="5B1D0508"/>
    <w:rsid w:val="5B42319C"/>
    <w:rsid w:val="5B510B01"/>
    <w:rsid w:val="5B737050"/>
    <w:rsid w:val="5BAE0B4C"/>
    <w:rsid w:val="5BB564EF"/>
    <w:rsid w:val="5BB83E81"/>
    <w:rsid w:val="5BDD5BA0"/>
    <w:rsid w:val="5C344F00"/>
    <w:rsid w:val="5C5D3207"/>
    <w:rsid w:val="5C6716F2"/>
    <w:rsid w:val="5C674EB7"/>
    <w:rsid w:val="5C6C7545"/>
    <w:rsid w:val="5C705937"/>
    <w:rsid w:val="5C876F2A"/>
    <w:rsid w:val="5CA4332B"/>
    <w:rsid w:val="5CAF3513"/>
    <w:rsid w:val="5CB34AD3"/>
    <w:rsid w:val="5CC110EB"/>
    <w:rsid w:val="5D317F73"/>
    <w:rsid w:val="5D4E3CA0"/>
    <w:rsid w:val="5D6B00AD"/>
    <w:rsid w:val="5DB150CC"/>
    <w:rsid w:val="5DD07C35"/>
    <w:rsid w:val="5DE65302"/>
    <w:rsid w:val="5DF70DEE"/>
    <w:rsid w:val="5E1E0AF5"/>
    <w:rsid w:val="5EB522EE"/>
    <w:rsid w:val="5EB757F1"/>
    <w:rsid w:val="5EBF067F"/>
    <w:rsid w:val="5ECF671B"/>
    <w:rsid w:val="5EDA2389"/>
    <w:rsid w:val="5EE03DAD"/>
    <w:rsid w:val="5EE66921"/>
    <w:rsid w:val="5F20075F"/>
    <w:rsid w:val="5F4750E0"/>
    <w:rsid w:val="5F643DC5"/>
    <w:rsid w:val="5F683B49"/>
    <w:rsid w:val="5F6C118D"/>
    <w:rsid w:val="5F6E3876"/>
    <w:rsid w:val="5F75492A"/>
    <w:rsid w:val="5F7E3DDE"/>
    <w:rsid w:val="5FAA3AFF"/>
    <w:rsid w:val="5FAF2E45"/>
    <w:rsid w:val="5FD061E3"/>
    <w:rsid w:val="5FD75175"/>
    <w:rsid w:val="5FEA3D8D"/>
    <w:rsid w:val="60385CED"/>
    <w:rsid w:val="607438A6"/>
    <w:rsid w:val="60A13E5A"/>
    <w:rsid w:val="60B24332"/>
    <w:rsid w:val="60E0197E"/>
    <w:rsid w:val="61353AAC"/>
    <w:rsid w:val="613C473F"/>
    <w:rsid w:val="613D31AE"/>
    <w:rsid w:val="61494824"/>
    <w:rsid w:val="614F4B15"/>
    <w:rsid w:val="61B0070B"/>
    <w:rsid w:val="61C94E48"/>
    <w:rsid w:val="61D91B96"/>
    <w:rsid w:val="61E26195"/>
    <w:rsid w:val="61F84C1D"/>
    <w:rsid w:val="620174D7"/>
    <w:rsid w:val="62032003"/>
    <w:rsid w:val="62133474"/>
    <w:rsid w:val="621927B9"/>
    <w:rsid w:val="6231642E"/>
    <w:rsid w:val="627D5976"/>
    <w:rsid w:val="6297361E"/>
    <w:rsid w:val="62C63D9D"/>
    <w:rsid w:val="630614C2"/>
    <w:rsid w:val="63147BDC"/>
    <w:rsid w:val="63280A94"/>
    <w:rsid w:val="63460071"/>
    <w:rsid w:val="637A2E64"/>
    <w:rsid w:val="638373C5"/>
    <w:rsid w:val="63B24C9F"/>
    <w:rsid w:val="644D2E9E"/>
    <w:rsid w:val="645B0CB8"/>
    <w:rsid w:val="648142E4"/>
    <w:rsid w:val="64881CEC"/>
    <w:rsid w:val="64882FDD"/>
    <w:rsid w:val="648A0296"/>
    <w:rsid w:val="64911DA2"/>
    <w:rsid w:val="658068E1"/>
    <w:rsid w:val="65807EDA"/>
    <w:rsid w:val="65867FAD"/>
    <w:rsid w:val="658F4BC8"/>
    <w:rsid w:val="65E7787A"/>
    <w:rsid w:val="660C15FB"/>
    <w:rsid w:val="6663373B"/>
    <w:rsid w:val="667322A4"/>
    <w:rsid w:val="667444A2"/>
    <w:rsid w:val="66AE7B76"/>
    <w:rsid w:val="66B17F5A"/>
    <w:rsid w:val="66BB27D2"/>
    <w:rsid w:val="66C305AB"/>
    <w:rsid w:val="66D80386"/>
    <w:rsid w:val="670A64FA"/>
    <w:rsid w:val="670F43E4"/>
    <w:rsid w:val="67216F67"/>
    <w:rsid w:val="67275A2A"/>
    <w:rsid w:val="67D53F3C"/>
    <w:rsid w:val="67ED53B8"/>
    <w:rsid w:val="68333D6C"/>
    <w:rsid w:val="6838670D"/>
    <w:rsid w:val="68685829"/>
    <w:rsid w:val="68F40323"/>
    <w:rsid w:val="68FB3A88"/>
    <w:rsid w:val="69047D68"/>
    <w:rsid w:val="69412C0D"/>
    <w:rsid w:val="6981179E"/>
    <w:rsid w:val="698718B2"/>
    <w:rsid w:val="69BC21EF"/>
    <w:rsid w:val="69E40A77"/>
    <w:rsid w:val="6A3A00ED"/>
    <w:rsid w:val="6A6F052B"/>
    <w:rsid w:val="6A9A26CA"/>
    <w:rsid w:val="6A9C404F"/>
    <w:rsid w:val="6AA515EE"/>
    <w:rsid w:val="6AAA3F17"/>
    <w:rsid w:val="6AAE450E"/>
    <w:rsid w:val="6B3A7FD3"/>
    <w:rsid w:val="6B3D1E7D"/>
    <w:rsid w:val="6B4A14AE"/>
    <w:rsid w:val="6B582465"/>
    <w:rsid w:val="6B645B20"/>
    <w:rsid w:val="6B7E69E5"/>
    <w:rsid w:val="6B8922FC"/>
    <w:rsid w:val="6BB71FB6"/>
    <w:rsid w:val="6BBA1A5B"/>
    <w:rsid w:val="6BC445F9"/>
    <w:rsid w:val="6BF22C25"/>
    <w:rsid w:val="6C052B72"/>
    <w:rsid w:val="6C0F5F8B"/>
    <w:rsid w:val="6C1412FD"/>
    <w:rsid w:val="6C267AED"/>
    <w:rsid w:val="6C717D2E"/>
    <w:rsid w:val="6CB22B17"/>
    <w:rsid w:val="6CF50BD8"/>
    <w:rsid w:val="6D140679"/>
    <w:rsid w:val="6D5F3E26"/>
    <w:rsid w:val="6DA06B0F"/>
    <w:rsid w:val="6DCF760B"/>
    <w:rsid w:val="6DF7260A"/>
    <w:rsid w:val="6E1D4592"/>
    <w:rsid w:val="6E200CBB"/>
    <w:rsid w:val="6E337122"/>
    <w:rsid w:val="6E455721"/>
    <w:rsid w:val="6E8C1AB5"/>
    <w:rsid w:val="6E8E3334"/>
    <w:rsid w:val="6E9B2B83"/>
    <w:rsid w:val="6EAC089F"/>
    <w:rsid w:val="6EC714E7"/>
    <w:rsid w:val="6ED20ADF"/>
    <w:rsid w:val="6EF90A77"/>
    <w:rsid w:val="6F1D47F6"/>
    <w:rsid w:val="6F22604A"/>
    <w:rsid w:val="6F2C0D21"/>
    <w:rsid w:val="6F3A3986"/>
    <w:rsid w:val="6F8A028E"/>
    <w:rsid w:val="6FD7409C"/>
    <w:rsid w:val="70286A46"/>
    <w:rsid w:val="70753F87"/>
    <w:rsid w:val="70E75C5A"/>
    <w:rsid w:val="70FA04FB"/>
    <w:rsid w:val="713B233F"/>
    <w:rsid w:val="7152219A"/>
    <w:rsid w:val="7167572F"/>
    <w:rsid w:val="71692553"/>
    <w:rsid w:val="71737DAE"/>
    <w:rsid w:val="719D0BF2"/>
    <w:rsid w:val="71A02276"/>
    <w:rsid w:val="71CB623E"/>
    <w:rsid w:val="71EF09C2"/>
    <w:rsid w:val="72033E1A"/>
    <w:rsid w:val="72035C48"/>
    <w:rsid w:val="72193DE8"/>
    <w:rsid w:val="726824C6"/>
    <w:rsid w:val="729C4398"/>
    <w:rsid w:val="72C53F91"/>
    <w:rsid w:val="72D20FEF"/>
    <w:rsid w:val="72DA18F7"/>
    <w:rsid w:val="72FD78B5"/>
    <w:rsid w:val="738A5AF6"/>
    <w:rsid w:val="73A81E78"/>
    <w:rsid w:val="73C067A7"/>
    <w:rsid w:val="73D516B8"/>
    <w:rsid w:val="73FE1CB7"/>
    <w:rsid w:val="74465CAD"/>
    <w:rsid w:val="74616EB9"/>
    <w:rsid w:val="74E25F30"/>
    <w:rsid w:val="74F9767D"/>
    <w:rsid w:val="75096690"/>
    <w:rsid w:val="751A43AC"/>
    <w:rsid w:val="75237B66"/>
    <w:rsid w:val="752F0ACE"/>
    <w:rsid w:val="758479EE"/>
    <w:rsid w:val="75905D58"/>
    <w:rsid w:val="75A52135"/>
    <w:rsid w:val="75B90253"/>
    <w:rsid w:val="76985EA2"/>
    <w:rsid w:val="76A166BC"/>
    <w:rsid w:val="76AC29E3"/>
    <w:rsid w:val="76AC78BC"/>
    <w:rsid w:val="76EE0D9E"/>
    <w:rsid w:val="771567BD"/>
    <w:rsid w:val="773A0FA9"/>
    <w:rsid w:val="77460C07"/>
    <w:rsid w:val="774A2732"/>
    <w:rsid w:val="77687173"/>
    <w:rsid w:val="77A90918"/>
    <w:rsid w:val="77AA30EC"/>
    <w:rsid w:val="77D07F17"/>
    <w:rsid w:val="77D705FB"/>
    <w:rsid w:val="7809442D"/>
    <w:rsid w:val="782277EC"/>
    <w:rsid w:val="782344B5"/>
    <w:rsid w:val="78395DAD"/>
    <w:rsid w:val="788C1742"/>
    <w:rsid w:val="7897274F"/>
    <w:rsid w:val="78A526FF"/>
    <w:rsid w:val="78BD110F"/>
    <w:rsid w:val="78C673B0"/>
    <w:rsid w:val="78FE53E9"/>
    <w:rsid w:val="790C4A42"/>
    <w:rsid w:val="791C60B6"/>
    <w:rsid w:val="79505410"/>
    <w:rsid w:val="79E27C60"/>
    <w:rsid w:val="7A014B12"/>
    <w:rsid w:val="7A1A0254"/>
    <w:rsid w:val="7A2C7DA5"/>
    <w:rsid w:val="7A311F4A"/>
    <w:rsid w:val="7A703EBD"/>
    <w:rsid w:val="7A957391"/>
    <w:rsid w:val="7AB36300"/>
    <w:rsid w:val="7B011A0D"/>
    <w:rsid w:val="7B5D594B"/>
    <w:rsid w:val="7B7D16B3"/>
    <w:rsid w:val="7B8547C2"/>
    <w:rsid w:val="7BB00A9E"/>
    <w:rsid w:val="7BCF55E9"/>
    <w:rsid w:val="7BF347CB"/>
    <w:rsid w:val="7BFE117C"/>
    <w:rsid w:val="7C14589E"/>
    <w:rsid w:val="7C2C3335"/>
    <w:rsid w:val="7C321E07"/>
    <w:rsid w:val="7C5B7DC6"/>
    <w:rsid w:val="7C6D1547"/>
    <w:rsid w:val="7CAD2C11"/>
    <w:rsid w:val="7CD36EA2"/>
    <w:rsid w:val="7D6A2FAD"/>
    <w:rsid w:val="7D721741"/>
    <w:rsid w:val="7D965A2F"/>
    <w:rsid w:val="7D972197"/>
    <w:rsid w:val="7DD035F6"/>
    <w:rsid w:val="7DDF10F6"/>
    <w:rsid w:val="7E1F48EC"/>
    <w:rsid w:val="7E341B13"/>
    <w:rsid w:val="7E635C7E"/>
    <w:rsid w:val="7E8700B6"/>
    <w:rsid w:val="7EC47386"/>
    <w:rsid w:val="7EC65A52"/>
    <w:rsid w:val="7ED87BBD"/>
    <w:rsid w:val="7EE83AFC"/>
    <w:rsid w:val="7EF746DD"/>
    <w:rsid w:val="7F3A4A6D"/>
    <w:rsid w:val="7F4243E7"/>
    <w:rsid w:val="7F774BEF"/>
    <w:rsid w:val="7F913256"/>
    <w:rsid w:val="7FBB7271"/>
    <w:rsid w:val="7FC17629"/>
    <w:rsid w:val="7FCE5393"/>
    <w:rsid w:val="7FDE6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34857358-15db-4137-84cd-80d5aa629368</errorID>
      <errorWord>下午13：00</errorWord>
      <group>L1_Knowledge</group>
      <groupName>知识性问题</groupName>
      <ability>L2_Time</ability>
      <abilityName>日期时间</abilityName>
      <candidateList>
        <item>13:00</item>
      </candidateList>
      <explain>24小时制的时间，不需要强调“下午”，并且冒号应使用半角。</explain>
      <paraID>5B7BAD59</paraID>
      <start>22</start>
      <end>29</end>
      <status>unmodified</status>
      <modifiedWord/>
      <trackRevisions>false</trackRevisions>
    </reviewItem>
    <reviewItem>
      <errorID>6a22a85e-4234-4416-b42f-147f9e0dd303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49D75817</paraID>
      <start>0</start>
      <end>2</end>
      <status>unmodified</status>
      <modifiedWord/>
      <trackRevisions>false</trackRevisions>
    </reviewItem>
    <reviewItem>
      <errorID>930cfef0-c72a-44ff-98a3-aa09f3c06fdb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1986E853</paraID>
      <start>0</start>
      <end>2</end>
      <status>unmodified</status>
      <modifiedWord/>
      <trackRevisions>false</trackRevisions>
    </reviewItem>
    <reviewItem>
      <errorID>5dfea0d6-4428-4c32-b8b6-831d34337d39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A5F340F</paraID>
      <start>0</start>
      <end>2</end>
      <status>unmodified</status>
      <modifiedWord/>
      <trackRevisions>false</trackRevisions>
    </reviewItem>
    <reviewItem>
      <errorID>b41d05c3-246d-425a-9352-01fbdddb2f27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6C67C9C7</paraID>
      <start>0</start>
      <end>2</end>
      <status>unmodified</status>
      <modifiedWord/>
      <trackRevisions>false</trackRevisions>
    </reviewItem>
    <reviewItem>
      <errorID>c0f2f655-93bf-4647-8e7a-6badc815c980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2982D719</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9ed72fb0-b0f6-4756-931c-a9c5675c6f49}">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1356</Words>
  <Characters>1449</Characters>
  <Lines>0</Lines>
  <Paragraphs>0</Paragraphs>
  <TotalTime>112</TotalTime>
  <ScaleCrop>false</ScaleCrop>
  <LinksUpToDate>false</LinksUpToDate>
  <CharactersWithSpaces>1572</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2026-07-16T02:12:00Z</dcterms:created>
  <dc:creator>1633</dc:creator>
  <cp:lastModifiedBy>60830</cp:lastModifiedBy>
  <dcterms:modified xsi:type="dcterms:W3CDTF">2026-09-04T07:14:24Z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2D96F3B9DE8C4334ACA9608FFBB59A61_13</vt:lpwstr>
  </property>
  <property fmtid="{D5CDD505-2E9C-101B-9397-08002B2CF9AE}" pid="4" name="KSOTemplateDocerSaveRecord">
    <vt:lpwstr>eyJoZGlkIjoiY2ZhM2FhN2Y5NGNhN2UwMDMyZTFiYTEwODMxZWE1ZTMiLCJ1c2VySWQiOiI3MDc0NjE4NDgifQ==</vt:lpwstr>
  </property>
</Properties>
</file>