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F807D" w14:textId="77777777" w:rsidR="0049251D" w:rsidRDefault="0049251D">
      <w:pPr>
        <w:pStyle w:val="a5"/>
        <w:spacing w:before="1"/>
        <w:ind w:rightChars="100" w:right="220"/>
        <w:jc w:val="center"/>
        <w:rPr>
          <w:rFonts w:ascii="Times New Roman" w:hint="eastAsia"/>
          <w:b w:val="0"/>
          <w:sz w:val="10"/>
        </w:rPr>
      </w:pPr>
    </w:p>
    <w:p w14:paraId="4B912EBA" w14:textId="77777777" w:rsidR="0049251D" w:rsidRDefault="00000000">
      <w:pPr>
        <w:pStyle w:val="a5"/>
        <w:spacing w:before="61"/>
        <w:ind w:rightChars="100" w:right="220"/>
        <w:jc w:val="center"/>
        <w:rPr>
          <w:rFonts w:hint="eastAsia"/>
        </w:rPr>
      </w:pPr>
      <w:r>
        <w:rPr>
          <w:rFonts w:hint="eastAsia"/>
          <w:lang w:val="en-US"/>
        </w:rPr>
        <w:t>中饮巴比食品</w:t>
      </w:r>
      <w:r>
        <w:t>股份有限公司投资者关系活动记录表</w:t>
      </w:r>
    </w:p>
    <w:p w14:paraId="1BBA74F5" w14:textId="77777777" w:rsidR="0049251D" w:rsidRDefault="0049251D">
      <w:pPr>
        <w:rPr>
          <w:rFonts w:hint="eastAsia"/>
        </w:rPr>
      </w:pPr>
    </w:p>
    <w:p w14:paraId="5B25973F" w14:textId="77777777" w:rsidR="0049251D" w:rsidRDefault="00000000">
      <w:pPr>
        <w:spacing w:before="155" w:after="21"/>
        <w:ind w:right="510"/>
        <w:jc w:val="right"/>
        <w:rPr>
          <w:rFonts w:hint="eastAsia"/>
          <w:sz w:val="21"/>
          <w:lang w:val="en-US"/>
        </w:rPr>
      </w:pPr>
      <w:r>
        <w:rPr>
          <w:rFonts w:hint="eastAsia"/>
          <w:sz w:val="21"/>
        </w:rPr>
        <w:t>编号：2</w:t>
      </w:r>
      <w:r>
        <w:rPr>
          <w:sz w:val="21"/>
        </w:rPr>
        <w:t>02</w:t>
      </w:r>
      <w:r>
        <w:rPr>
          <w:rFonts w:hint="eastAsia"/>
          <w:sz w:val="21"/>
          <w:lang w:val="en-US"/>
        </w:rPr>
        <w:t>6</w:t>
      </w:r>
      <w:r>
        <w:rPr>
          <w:sz w:val="21"/>
        </w:rPr>
        <w:t>-</w:t>
      </w:r>
      <w:r>
        <w:rPr>
          <w:rFonts w:hint="eastAsia"/>
          <w:sz w:val="21"/>
          <w:lang w:val="en-US"/>
        </w:rPr>
        <w:t>0904</w:t>
      </w:r>
    </w:p>
    <w:tbl>
      <w:tblPr>
        <w:tblStyle w:val="ae"/>
        <w:tblW w:w="0" w:type="auto"/>
        <w:tblInd w:w="-5" w:type="dxa"/>
        <w:tblLook w:val="04A0" w:firstRow="1" w:lastRow="0" w:firstColumn="1" w:lastColumn="0" w:noHBand="0" w:noVBand="1"/>
      </w:tblPr>
      <w:tblGrid>
        <w:gridCol w:w="1418"/>
        <w:gridCol w:w="6887"/>
      </w:tblGrid>
      <w:tr w:rsidR="0049251D" w14:paraId="7D19C4ED" w14:textId="77777777">
        <w:tc>
          <w:tcPr>
            <w:tcW w:w="1418" w:type="dxa"/>
            <w:vAlign w:val="center"/>
          </w:tcPr>
          <w:p w14:paraId="4C282739" w14:textId="77777777" w:rsidR="0049251D" w:rsidRDefault="00000000">
            <w:pPr>
              <w:spacing w:line="360" w:lineRule="exact"/>
              <w:jc w:val="center"/>
              <w:rPr>
                <w:rFonts w:hint="eastAsia"/>
              </w:rPr>
            </w:pPr>
            <w:r>
              <w:rPr>
                <w:rFonts w:hint="eastAsia"/>
                <w:b/>
                <w:sz w:val="21"/>
                <w:szCs w:val="21"/>
              </w:rPr>
              <w:t>投资者关系活动类别</w:t>
            </w:r>
          </w:p>
        </w:tc>
        <w:tc>
          <w:tcPr>
            <w:tcW w:w="6887" w:type="dxa"/>
            <w:vAlign w:val="center"/>
          </w:tcPr>
          <w:p w14:paraId="3B759FA8" w14:textId="77777777" w:rsidR="0049251D" w:rsidRDefault="00000000">
            <w:pPr>
              <w:pStyle w:val="TableParagraph"/>
              <w:spacing w:before="0" w:line="360" w:lineRule="exact"/>
              <w:ind w:left="107"/>
              <w:rPr>
                <w:rFonts w:hint="eastAsia"/>
              </w:rPr>
            </w:pPr>
            <w:r>
              <w:rPr>
                <w:rFonts w:hint="eastAsia"/>
              </w:rPr>
              <w:sym w:font="Wingdings 2" w:char="00A3"/>
            </w:r>
            <w:r>
              <w:rPr>
                <w:rFonts w:hint="eastAsia"/>
              </w:rPr>
              <w:t xml:space="preserve">特定对象调研  □分析师会议  □媒体采访     </w:t>
            </w:r>
          </w:p>
          <w:p w14:paraId="2A7AC3BA" w14:textId="77777777" w:rsidR="0049251D" w:rsidRDefault="00000000">
            <w:pPr>
              <w:pStyle w:val="TableParagraph"/>
              <w:spacing w:before="0" w:line="360" w:lineRule="exact"/>
              <w:ind w:left="107"/>
              <w:rPr>
                <w:rFonts w:hint="eastAsia"/>
                <w:spacing w:val="-1"/>
              </w:rPr>
            </w:pPr>
            <w:r>
              <w:rPr>
                <w:rFonts w:hint="eastAsia"/>
                <w:spacing w:val="-1"/>
              </w:rPr>
              <w:t xml:space="preserve">☑业绩说明会    □新闻发布会  □路演活动 </w:t>
            </w:r>
          </w:p>
          <w:p w14:paraId="42B38C4A" w14:textId="77777777" w:rsidR="0049251D" w:rsidRDefault="00000000">
            <w:pPr>
              <w:pStyle w:val="TableParagraph"/>
              <w:spacing w:before="0" w:line="360" w:lineRule="exact"/>
              <w:ind w:left="107"/>
              <w:rPr>
                <w:rFonts w:hint="eastAsia"/>
              </w:rPr>
            </w:pPr>
            <w:r>
              <w:rPr>
                <w:rFonts w:hint="eastAsia"/>
                <w:spacing w:val="-1"/>
              </w:rPr>
              <w:t>□</w:t>
            </w:r>
            <w:r>
              <w:rPr>
                <w:rFonts w:hint="eastAsia"/>
              </w:rPr>
              <w:t xml:space="preserve">现场参观      </w:t>
            </w:r>
            <w:r>
              <w:rPr>
                <w:rFonts w:hint="eastAsia"/>
              </w:rPr>
              <w:sym w:font="Wingdings 2" w:char="00A3"/>
            </w:r>
            <w:r>
              <w:rPr>
                <w:rFonts w:hint="eastAsia"/>
              </w:rPr>
              <w:t>其他</w:t>
            </w:r>
            <w:r>
              <w:rPr>
                <w:rFonts w:hint="eastAsia"/>
                <w:lang w:val="en-US"/>
              </w:rPr>
              <w:t xml:space="preserve"> </w:t>
            </w:r>
            <w:r>
              <w:rPr>
                <w:rFonts w:hint="eastAsia"/>
                <w:u w:val="single"/>
              </w:rPr>
              <w:t xml:space="preserve"> </w:t>
            </w:r>
            <w:r>
              <w:rPr>
                <w:rFonts w:hint="eastAsia"/>
                <w:u w:val="single"/>
                <w:lang w:val="en-US"/>
              </w:rPr>
              <w:t xml:space="preserve">      </w:t>
            </w:r>
            <w:r>
              <w:rPr>
                <w:rFonts w:hint="eastAsia"/>
                <w:u w:val="single"/>
              </w:rPr>
              <w:t xml:space="preserve">  </w:t>
            </w:r>
            <w:r>
              <w:rPr>
                <w:rFonts w:hint="eastAsia"/>
              </w:rPr>
              <w:t xml:space="preserve"> </w:t>
            </w:r>
          </w:p>
        </w:tc>
      </w:tr>
      <w:tr w:rsidR="0049251D" w14:paraId="1A983624" w14:textId="77777777">
        <w:tc>
          <w:tcPr>
            <w:tcW w:w="1418" w:type="dxa"/>
            <w:vAlign w:val="center"/>
          </w:tcPr>
          <w:p w14:paraId="60A4B454" w14:textId="77777777" w:rsidR="0049251D" w:rsidRDefault="00000000">
            <w:pPr>
              <w:spacing w:line="360" w:lineRule="exact"/>
              <w:jc w:val="center"/>
              <w:rPr>
                <w:rFonts w:hint="eastAsia"/>
                <w:b/>
                <w:sz w:val="21"/>
                <w:szCs w:val="21"/>
              </w:rPr>
            </w:pPr>
            <w:r>
              <w:rPr>
                <w:rFonts w:hint="eastAsia"/>
                <w:b/>
                <w:sz w:val="21"/>
                <w:szCs w:val="21"/>
              </w:rPr>
              <w:t>参与单位</w:t>
            </w:r>
          </w:p>
          <w:p w14:paraId="29A6DAA6" w14:textId="77777777" w:rsidR="0049251D" w:rsidRDefault="00000000">
            <w:pPr>
              <w:spacing w:line="360" w:lineRule="exact"/>
              <w:jc w:val="center"/>
              <w:rPr>
                <w:rFonts w:hint="eastAsia"/>
              </w:rPr>
            </w:pPr>
            <w:r>
              <w:rPr>
                <w:rFonts w:hint="eastAsia"/>
                <w:b/>
                <w:sz w:val="21"/>
                <w:szCs w:val="21"/>
              </w:rPr>
              <w:t>名称</w:t>
            </w:r>
          </w:p>
        </w:tc>
        <w:tc>
          <w:tcPr>
            <w:tcW w:w="6887" w:type="dxa"/>
            <w:vAlign w:val="center"/>
          </w:tcPr>
          <w:p w14:paraId="011EEDDF" w14:textId="77777777" w:rsidR="0049251D" w:rsidRDefault="00000000">
            <w:pPr>
              <w:spacing w:before="35"/>
              <w:rPr>
                <w:rFonts w:hint="eastAsia"/>
                <w:lang w:val="en-US"/>
              </w:rPr>
            </w:pPr>
            <w:r>
              <w:rPr>
                <w:rFonts w:hint="eastAsia"/>
                <w:lang w:val="en-US"/>
              </w:rPr>
              <w:t>参加</w:t>
            </w:r>
            <w:r>
              <w:rPr>
                <w:rFonts w:hint="eastAsia"/>
                <w:lang w:val="en-US" w:bidi="ar"/>
              </w:rPr>
              <w:t>2026年半年度业绩说明会</w:t>
            </w:r>
            <w:r>
              <w:rPr>
                <w:rFonts w:hint="eastAsia"/>
                <w:lang w:val="en-US"/>
              </w:rPr>
              <w:t>的投资者</w:t>
            </w:r>
          </w:p>
        </w:tc>
      </w:tr>
      <w:tr w:rsidR="0049251D" w14:paraId="24E29194" w14:textId="77777777">
        <w:trPr>
          <w:trHeight w:val="525"/>
        </w:trPr>
        <w:tc>
          <w:tcPr>
            <w:tcW w:w="1418" w:type="dxa"/>
            <w:vAlign w:val="center"/>
          </w:tcPr>
          <w:p w14:paraId="5C61CA69" w14:textId="77777777" w:rsidR="0049251D" w:rsidRDefault="00000000">
            <w:pPr>
              <w:spacing w:line="360" w:lineRule="exact"/>
              <w:jc w:val="center"/>
              <w:rPr>
                <w:rFonts w:hint="eastAsia"/>
              </w:rPr>
            </w:pPr>
            <w:r>
              <w:rPr>
                <w:rFonts w:hint="eastAsia"/>
                <w:b/>
                <w:sz w:val="21"/>
                <w:szCs w:val="21"/>
              </w:rPr>
              <w:t>时间</w:t>
            </w:r>
          </w:p>
        </w:tc>
        <w:tc>
          <w:tcPr>
            <w:tcW w:w="6887" w:type="dxa"/>
            <w:vAlign w:val="center"/>
          </w:tcPr>
          <w:p w14:paraId="2E9F007D" w14:textId="77777777" w:rsidR="0049251D" w:rsidRDefault="00000000">
            <w:pPr>
              <w:spacing w:before="35"/>
              <w:rPr>
                <w:rFonts w:hint="eastAsia"/>
                <w:lang w:val="en-US"/>
              </w:rPr>
            </w:pPr>
            <w:r>
              <w:rPr>
                <w:rFonts w:hint="eastAsia"/>
              </w:rPr>
              <w:t>202</w:t>
            </w:r>
            <w:r>
              <w:rPr>
                <w:rFonts w:hint="eastAsia"/>
                <w:lang w:val="en-US"/>
              </w:rPr>
              <w:t>6</w:t>
            </w:r>
            <w:r>
              <w:rPr>
                <w:rFonts w:hint="eastAsia"/>
              </w:rPr>
              <w:t xml:space="preserve"> 年 </w:t>
            </w:r>
            <w:r>
              <w:rPr>
                <w:rFonts w:hint="eastAsia"/>
                <w:lang w:val="en-US"/>
              </w:rPr>
              <w:t>9</w:t>
            </w:r>
            <w:r>
              <w:rPr>
                <w:rFonts w:hint="eastAsia"/>
              </w:rPr>
              <w:t xml:space="preserve"> 月 </w:t>
            </w:r>
            <w:r>
              <w:rPr>
                <w:rFonts w:hint="eastAsia"/>
                <w:lang w:val="en-US"/>
              </w:rPr>
              <w:t>4</w:t>
            </w:r>
            <w:r>
              <w:rPr>
                <w:rFonts w:hint="eastAsia"/>
              </w:rPr>
              <w:t xml:space="preserve"> 日 1</w:t>
            </w:r>
            <w:r>
              <w:rPr>
                <w:rFonts w:hint="eastAsia"/>
                <w:lang w:val="en-US"/>
              </w:rPr>
              <w:t>3</w:t>
            </w:r>
            <w:r>
              <w:rPr>
                <w:rFonts w:hint="eastAsia"/>
              </w:rPr>
              <w:t>:</w:t>
            </w:r>
            <w:r>
              <w:rPr>
                <w:rFonts w:hint="eastAsia"/>
                <w:lang w:val="en-US"/>
              </w:rPr>
              <w:t>00</w:t>
            </w:r>
            <w:r>
              <w:rPr>
                <w:rFonts w:hint="eastAsia"/>
              </w:rPr>
              <w:t xml:space="preserve"> – 1</w:t>
            </w:r>
            <w:r>
              <w:rPr>
                <w:rFonts w:hint="eastAsia"/>
                <w:lang w:val="en-US"/>
              </w:rPr>
              <w:t>4</w:t>
            </w:r>
            <w:r>
              <w:rPr>
                <w:rFonts w:hint="eastAsia"/>
              </w:rPr>
              <w:t>:</w:t>
            </w:r>
            <w:r>
              <w:rPr>
                <w:rFonts w:hint="eastAsia"/>
                <w:lang w:val="en-US"/>
              </w:rPr>
              <w:t>00</w:t>
            </w:r>
          </w:p>
        </w:tc>
      </w:tr>
      <w:tr w:rsidR="0049251D" w14:paraId="6A93AEDD" w14:textId="77777777">
        <w:trPr>
          <w:trHeight w:val="547"/>
        </w:trPr>
        <w:tc>
          <w:tcPr>
            <w:tcW w:w="1418" w:type="dxa"/>
            <w:vAlign w:val="center"/>
          </w:tcPr>
          <w:p w14:paraId="22F7B043" w14:textId="77777777" w:rsidR="0049251D" w:rsidRDefault="00000000">
            <w:pPr>
              <w:spacing w:line="360" w:lineRule="exact"/>
              <w:jc w:val="center"/>
              <w:rPr>
                <w:rFonts w:hint="eastAsia"/>
              </w:rPr>
            </w:pPr>
            <w:r>
              <w:rPr>
                <w:rFonts w:hint="eastAsia"/>
                <w:b/>
                <w:sz w:val="21"/>
                <w:szCs w:val="21"/>
              </w:rPr>
              <w:t>地点</w:t>
            </w:r>
          </w:p>
        </w:tc>
        <w:tc>
          <w:tcPr>
            <w:tcW w:w="6887" w:type="dxa"/>
            <w:vAlign w:val="center"/>
          </w:tcPr>
          <w:p w14:paraId="1331B77C" w14:textId="77777777" w:rsidR="0049251D" w:rsidRDefault="00000000">
            <w:pPr>
              <w:spacing w:before="35"/>
              <w:rPr>
                <w:rFonts w:hint="eastAsia"/>
                <w:lang w:val="en-US"/>
              </w:rPr>
            </w:pPr>
            <w:r>
              <w:rPr>
                <w:rFonts w:hint="eastAsia"/>
                <w:lang w:val="en-US"/>
              </w:rPr>
              <w:t xml:space="preserve">上证路演中心 https：//roadshow.sseinfo.com </w:t>
            </w:r>
          </w:p>
          <w:p w14:paraId="7558CBE9" w14:textId="77777777" w:rsidR="0049251D" w:rsidRDefault="00000000">
            <w:pPr>
              <w:spacing w:before="35"/>
              <w:rPr>
                <w:rFonts w:hint="eastAsia"/>
                <w:lang w:val="en-US"/>
              </w:rPr>
            </w:pPr>
            <w:r>
              <w:rPr>
                <w:rFonts w:hint="eastAsia"/>
                <w:lang w:val="en-US"/>
              </w:rPr>
              <w:t>网络文字互动</w:t>
            </w:r>
          </w:p>
        </w:tc>
      </w:tr>
      <w:tr w:rsidR="0049251D" w14:paraId="7F36BE98" w14:textId="77777777">
        <w:tc>
          <w:tcPr>
            <w:tcW w:w="1418" w:type="dxa"/>
            <w:vAlign w:val="center"/>
          </w:tcPr>
          <w:p w14:paraId="3EA852FD" w14:textId="77777777" w:rsidR="0049251D" w:rsidRDefault="00000000">
            <w:pPr>
              <w:spacing w:line="360" w:lineRule="exact"/>
              <w:jc w:val="center"/>
              <w:rPr>
                <w:rFonts w:hint="eastAsia"/>
              </w:rPr>
            </w:pPr>
            <w:r>
              <w:rPr>
                <w:rFonts w:hint="eastAsia"/>
                <w:b/>
                <w:sz w:val="21"/>
                <w:szCs w:val="21"/>
              </w:rPr>
              <w:t>上市公司</w:t>
            </w:r>
            <w:r>
              <w:rPr>
                <w:rFonts w:hint="eastAsia"/>
                <w:b/>
                <w:sz w:val="21"/>
                <w:szCs w:val="21"/>
                <w:lang w:val="en-US"/>
              </w:rPr>
              <w:t>出席</w:t>
            </w:r>
            <w:r>
              <w:rPr>
                <w:rFonts w:hint="eastAsia"/>
                <w:b/>
                <w:sz w:val="21"/>
                <w:szCs w:val="21"/>
              </w:rPr>
              <w:t>人员</w:t>
            </w:r>
          </w:p>
        </w:tc>
        <w:tc>
          <w:tcPr>
            <w:tcW w:w="6887" w:type="dxa"/>
            <w:vAlign w:val="center"/>
          </w:tcPr>
          <w:p w14:paraId="5A8493AB" w14:textId="77777777" w:rsidR="0049251D" w:rsidRDefault="00000000">
            <w:pPr>
              <w:spacing w:before="35"/>
              <w:rPr>
                <w:rFonts w:hint="eastAsia"/>
                <w:lang w:val="en-US"/>
              </w:rPr>
            </w:pPr>
            <w:r>
              <w:rPr>
                <w:rFonts w:hint="eastAsia"/>
                <w:lang w:val="en-US"/>
              </w:rPr>
              <w:t xml:space="preserve">董事长、总经理：刘会平 </w:t>
            </w:r>
          </w:p>
          <w:p w14:paraId="2B21E635" w14:textId="77777777" w:rsidR="0049251D" w:rsidRDefault="00000000">
            <w:pPr>
              <w:spacing w:before="35"/>
              <w:rPr>
                <w:rFonts w:hint="eastAsia"/>
                <w:lang w:val="en-US"/>
              </w:rPr>
            </w:pPr>
            <w:r>
              <w:rPr>
                <w:rFonts w:hint="eastAsia"/>
                <w:lang w:val="en-US"/>
              </w:rPr>
              <w:t xml:space="preserve">独立董事：万华林 </w:t>
            </w:r>
          </w:p>
          <w:p w14:paraId="4E8945FC" w14:textId="77777777" w:rsidR="0049251D" w:rsidRDefault="00000000">
            <w:pPr>
              <w:spacing w:before="35"/>
              <w:rPr>
                <w:rFonts w:hint="eastAsia"/>
                <w:lang w:val="en-US"/>
              </w:rPr>
            </w:pPr>
            <w:r>
              <w:rPr>
                <w:rFonts w:hint="eastAsia"/>
                <w:lang w:val="en-US"/>
              </w:rPr>
              <w:t xml:space="preserve">董事会秘书、财务总监：苏爽 </w:t>
            </w:r>
          </w:p>
          <w:p w14:paraId="034EC05F" w14:textId="77777777" w:rsidR="0049251D" w:rsidRDefault="00000000">
            <w:pPr>
              <w:spacing w:before="35"/>
              <w:rPr>
                <w:rFonts w:hint="eastAsia"/>
                <w:lang w:val="en-US"/>
              </w:rPr>
            </w:pPr>
            <w:r>
              <w:rPr>
                <w:rFonts w:hint="eastAsia"/>
                <w:lang w:val="en-US"/>
              </w:rPr>
              <w:t>证券事务代表：马晓琳</w:t>
            </w:r>
          </w:p>
        </w:tc>
      </w:tr>
      <w:tr w:rsidR="0049251D" w14:paraId="2A2680FB" w14:textId="77777777">
        <w:tc>
          <w:tcPr>
            <w:tcW w:w="1418" w:type="dxa"/>
            <w:vAlign w:val="center"/>
          </w:tcPr>
          <w:p w14:paraId="723AD55D" w14:textId="77777777" w:rsidR="0049251D" w:rsidRDefault="00000000">
            <w:pPr>
              <w:spacing w:before="35"/>
              <w:jc w:val="center"/>
              <w:rPr>
                <w:rFonts w:hint="eastAsia"/>
                <w:b/>
                <w:sz w:val="21"/>
                <w:szCs w:val="21"/>
              </w:rPr>
            </w:pPr>
            <w:r>
              <w:rPr>
                <w:rFonts w:hint="eastAsia"/>
                <w:b/>
                <w:sz w:val="21"/>
                <w:szCs w:val="21"/>
                <w:lang w:val="en-US"/>
              </w:rPr>
              <w:t>投资者关系活动</w:t>
            </w:r>
            <w:r>
              <w:rPr>
                <w:rFonts w:hint="eastAsia"/>
                <w:b/>
                <w:sz w:val="21"/>
                <w:szCs w:val="21"/>
              </w:rPr>
              <w:t>主要内容介绍</w:t>
            </w:r>
          </w:p>
        </w:tc>
        <w:tc>
          <w:tcPr>
            <w:tcW w:w="6887" w:type="dxa"/>
          </w:tcPr>
          <w:p w14:paraId="56184333" w14:textId="77777777" w:rsidR="0049251D" w:rsidRDefault="00000000">
            <w:pPr>
              <w:pStyle w:val="ab"/>
              <w:widowControl/>
              <w:spacing w:before="0" w:beforeAutospacing="0" w:after="0" w:afterAutospacing="0"/>
              <w:jc w:val="both"/>
              <w:rPr>
                <w:rFonts w:cs="宋体" w:hint="eastAsia"/>
                <w:b/>
                <w:bCs/>
                <w:sz w:val="22"/>
                <w:lang w:bidi="zh-CN"/>
              </w:rPr>
            </w:pPr>
            <w:r>
              <w:rPr>
                <w:rFonts w:cs="宋体" w:hint="eastAsia"/>
                <w:b/>
                <w:bCs/>
                <w:sz w:val="22"/>
                <w:lang w:bidi="zh-CN"/>
              </w:rPr>
              <w:t>1、线上运营方面，公司上半年赋能扶持门店超3300店次，标杆样板店单月外卖订单突破8600单。请问未来在线上全渠道运营方面，公司是否有进一步的数字化赋能计划，以应对去年外卖营销红利带来的高基数压力，从而修复传统门店的单店收入表现？</w:t>
            </w:r>
          </w:p>
          <w:p w14:paraId="7BD6E373" w14:textId="393CF550" w:rsidR="0049251D" w:rsidRDefault="00000000">
            <w:pPr>
              <w:pStyle w:val="ab"/>
              <w:widowControl/>
              <w:spacing w:before="0" w:beforeAutospacing="0" w:after="0" w:afterAutospacing="0"/>
              <w:jc w:val="distribute"/>
              <w:rPr>
                <w:rFonts w:cs="宋体" w:hint="eastAsia"/>
                <w:sz w:val="22"/>
                <w:lang w:bidi="zh-CN"/>
              </w:rPr>
            </w:pPr>
            <w:r>
              <w:rPr>
                <w:rFonts w:cs="宋体" w:hint="eastAsia"/>
                <w:b/>
                <w:bCs/>
                <w:sz w:val="22"/>
                <w:lang w:bidi="zh-CN"/>
              </w:rPr>
              <w:t>回复：</w:t>
            </w:r>
            <w:r>
              <w:rPr>
                <w:rFonts w:cs="宋体" w:hint="eastAsia"/>
                <w:sz w:val="22"/>
                <w:lang w:bidi="zh-CN"/>
              </w:rPr>
              <w:t>尊敬的投资者，您好！未来公司计划从以下几个维度进一步推进门店数字化赋能：一是深化外卖平台精细化运营，针对不同区域、不同门店类型的特点，制定差异化的线上营销策略，优化菜单结构、定价策略及促销节奏，提升外卖订单的客单价和复购率。二是强化私域流量建设，通过社群运营等</w:t>
            </w:r>
            <w:r w:rsidR="00C92163">
              <w:rPr>
                <w:rFonts w:cs="宋体" w:hint="eastAsia"/>
                <w:sz w:val="22"/>
                <w:lang w:bidi="zh-CN"/>
              </w:rPr>
              <w:t>方式</w:t>
            </w:r>
            <w:r>
              <w:rPr>
                <w:rFonts w:cs="宋体" w:hint="eastAsia"/>
                <w:sz w:val="22"/>
                <w:lang w:bidi="zh-CN"/>
              </w:rPr>
              <w:t>，提升消费者粘性。三是推进数字化工具在门店端的深度应用，通过智能收银系统、数字化巡店等举措扩大督导半径，帮助传统门店提升人效与复购。公司将持续加大在线上全渠道运营的投入，通过数字化手段赋能加盟商，努力修复传统门店的单店收入表现，并为新店型的规模化复制提供有力支撑。谢谢！</w:t>
            </w:r>
          </w:p>
          <w:p w14:paraId="7DE0B081" w14:textId="44EF947A" w:rsidR="0049251D" w:rsidRDefault="0049251D">
            <w:pPr>
              <w:pStyle w:val="ab"/>
              <w:widowControl/>
              <w:spacing w:before="0" w:beforeAutospacing="0" w:after="0" w:afterAutospacing="0"/>
              <w:jc w:val="both"/>
              <w:rPr>
                <w:rFonts w:cs="宋体" w:hint="eastAsia"/>
                <w:sz w:val="22"/>
                <w:lang w:bidi="zh-CN"/>
              </w:rPr>
            </w:pPr>
          </w:p>
          <w:p w14:paraId="2FE03D46" w14:textId="77777777" w:rsidR="0049251D" w:rsidRDefault="00000000">
            <w:pPr>
              <w:pStyle w:val="ab"/>
              <w:widowControl/>
              <w:spacing w:before="0" w:beforeAutospacing="0" w:after="0" w:afterAutospacing="0"/>
              <w:jc w:val="both"/>
              <w:rPr>
                <w:rFonts w:cs="宋体" w:hint="eastAsia"/>
                <w:b/>
                <w:bCs/>
                <w:sz w:val="22"/>
                <w:lang w:bidi="zh-CN"/>
              </w:rPr>
            </w:pPr>
            <w:r>
              <w:rPr>
                <w:rFonts w:cs="宋体" w:hint="eastAsia"/>
                <w:b/>
                <w:bCs/>
                <w:sz w:val="22"/>
                <w:lang w:bidi="zh-CN"/>
              </w:rPr>
              <w:t>2、针对投资者高度关注的门店结构优化问题，目前累计开业的380家手工小笼包新店型中，老店升级与新开门店的占比各是多少？传统门店在升级改造期间，公司是否提供了相应的补贴政策或过渡期支持，以缓解加盟商的短期经营压力？</w:t>
            </w:r>
          </w:p>
          <w:p w14:paraId="489B7C5F" w14:textId="77777777" w:rsidR="0049251D" w:rsidRDefault="00000000">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截至上半年末，公司累计开业的手工小笼包新店型中约35%为新开门店，65%为老店升级改造。在升级过渡期间，公司通过补贴减免政策，驻店帮扶等多项举措助力加盟商完成门店转型及运营过渡。谢谢！</w:t>
            </w:r>
          </w:p>
          <w:p w14:paraId="0FFF2F77" w14:textId="361FF5F8" w:rsidR="0049251D" w:rsidRDefault="0049251D">
            <w:pPr>
              <w:pStyle w:val="ab"/>
              <w:widowControl/>
              <w:spacing w:before="0" w:beforeAutospacing="0" w:after="0" w:afterAutospacing="0"/>
              <w:jc w:val="both"/>
              <w:rPr>
                <w:rFonts w:cs="宋体" w:hint="eastAsia"/>
                <w:sz w:val="22"/>
                <w:lang w:bidi="zh-CN"/>
              </w:rPr>
            </w:pPr>
          </w:p>
          <w:p w14:paraId="4BCCB1BC" w14:textId="77777777" w:rsidR="0049251D" w:rsidRDefault="00000000">
            <w:pPr>
              <w:pStyle w:val="ab"/>
              <w:widowControl/>
              <w:spacing w:before="0" w:beforeAutospacing="0" w:after="0" w:afterAutospacing="0"/>
              <w:jc w:val="both"/>
              <w:rPr>
                <w:rFonts w:cs="宋体" w:hint="eastAsia"/>
                <w:b/>
                <w:bCs/>
                <w:sz w:val="22"/>
                <w:lang w:bidi="zh-CN"/>
              </w:rPr>
            </w:pPr>
            <w:r>
              <w:rPr>
                <w:rFonts w:cs="宋体" w:hint="eastAsia"/>
                <w:b/>
                <w:bCs/>
                <w:sz w:val="22"/>
                <w:lang w:bidi="zh-CN"/>
              </w:rPr>
              <w:t>3、针对公司切入三甲医院病房餐供应体系以及拓展商超定制半成品菜等高价值场景，独立董事及审计委员会是否已督促管理层在食品安全、品控标准执行以及中央工厂产能利用率方面建立更严格的内控与风险预警机制，以保障中小股东的长期利益？</w:t>
            </w:r>
          </w:p>
          <w:p w14:paraId="06CB5A68" w14:textId="77777777" w:rsidR="0049251D" w:rsidRDefault="00000000">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尊敬的投资者，您好！在食品安全与品控标准方面，公司已建立覆盖原材料采购、生产加工、仓储物流到终端交付的全链条质量管</w:t>
            </w:r>
            <w:r>
              <w:rPr>
                <w:rFonts w:cs="宋体" w:hint="eastAsia"/>
                <w:sz w:val="22"/>
                <w:lang w:bidi="zh-CN"/>
              </w:rPr>
              <w:lastRenderedPageBreak/>
              <w:t>控体系。针对三甲医院、商超等高价值、高标准渠道，公司进一步升级了供应商准入评审和产品出厂检验标准，确保各场景下的食品安全底线不被突破。在产能利用与生产调度方面，公司现有上海、南京、东莞、天津、武汉五大鲜食中央厨房布局，整体产能能够满足当前业务需要。总体而言，独立董事团队将持续监督管理层在拓展新业务与风险防控之间保持平衡，切实保障全体股东特别是中小股东的长期利益。谢谢！</w:t>
            </w:r>
          </w:p>
          <w:p w14:paraId="42580AD8" w14:textId="032C0948" w:rsidR="0049251D" w:rsidRDefault="0049251D">
            <w:pPr>
              <w:pStyle w:val="ab"/>
              <w:widowControl/>
              <w:spacing w:before="0" w:beforeAutospacing="0" w:after="0" w:afterAutospacing="0"/>
              <w:jc w:val="both"/>
              <w:rPr>
                <w:rFonts w:cs="宋体" w:hint="eastAsia"/>
                <w:sz w:val="22"/>
                <w:lang w:bidi="zh-CN"/>
              </w:rPr>
            </w:pPr>
          </w:p>
          <w:p w14:paraId="46A4C9C0" w14:textId="77777777" w:rsidR="0049251D" w:rsidRDefault="00000000">
            <w:pPr>
              <w:pStyle w:val="ab"/>
              <w:widowControl/>
              <w:spacing w:before="0" w:beforeAutospacing="0" w:after="0" w:afterAutospacing="0"/>
              <w:jc w:val="both"/>
              <w:rPr>
                <w:rFonts w:cs="宋体" w:hint="eastAsia"/>
                <w:b/>
                <w:bCs/>
                <w:sz w:val="22"/>
                <w:lang w:bidi="zh-CN"/>
              </w:rPr>
            </w:pPr>
            <w:r>
              <w:rPr>
                <w:rFonts w:cs="宋体" w:hint="eastAsia"/>
                <w:b/>
                <w:bCs/>
                <w:sz w:val="22"/>
                <w:lang w:bidi="zh-CN"/>
              </w:rPr>
              <w:t>4、2026年上半年，公司综合毛利率大幅提升至29.29%，且经营活动产生的现金流量净额同比大增37.42%至1.42亿元，盈利质量显著改善。请问毛利率的提升在多大程度上受益于猪肉等原材料价格的低位运行？若下半年原材料价格出现反弹，公司有何具体的成本对冲与价格传导机制？</w:t>
            </w:r>
          </w:p>
          <w:p w14:paraId="3ADC96F4" w14:textId="77777777" w:rsidR="0049251D" w:rsidRDefault="00000000">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公司上半年毛利率的提升主要受益于猪肉等原材料价格的低位运行。在成本控制方面，公司高度重视原材料成本波动风险，已建立常态化的原材料价格监测与预判机制，并通过多元化采购渠道及适度战略储备，尽可能降低成本波动影响。谢谢！</w:t>
            </w:r>
          </w:p>
          <w:p w14:paraId="3B97DE11" w14:textId="4B6CCEFF" w:rsidR="0049251D" w:rsidRDefault="0049251D">
            <w:pPr>
              <w:pStyle w:val="ab"/>
              <w:widowControl/>
              <w:spacing w:before="0" w:beforeAutospacing="0" w:after="0" w:afterAutospacing="0"/>
              <w:jc w:val="both"/>
              <w:rPr>
                <w:rFonts w:cs="宋体" w:hint="eastAsia"/>
                <w:sz w:val="22"/>
                <w:lang w:bidi="zh-CN"/>
              </w:rPr>
            </w:pPr>
          </w:p>
          <w:p w14:paraId="4C2EFA55" w14:textId="2A953BF6" w:rsidR="0049251D" w:rsidRDefault="00000000">
            <w:pPr>
              <w:pStyle w:val="ab"/>
              <w:widowControl/>
              <w:spacing w:before="0" w:beforeAutospacing="0" w:after="0" w:afterAutospacing="0"/>
              <w:jc w:val="both"/>
              <w:rPr>
                <w:rFonts w:cs="宋体" w:hint="eastAsia"/>
                <w:b/>
                <w:bCs/>
                <w:sz w:val="22"/>
                <w:lang w:bidi="zh-CN"/>
              </w:rPr>
            </w:pPr>
            <w:r>
              <w:rPr>
                <w:rFonts w:cs="宋体" w:hint="eastAsia"/>
                <w:b/>
                <w:bCs/>
                <w:sz w:val="22"/>
                <w:lang w:bidi="zh-CN"/>
              </w:rPr>
              <w:t>5、报告期内，团餐渠道收入同比下降2.1%至1.95亿元，主要系优化低毛利率客户所致。请问这一“主动降速”策略对当期利润的实际增厚效果如何？下半年随着华中、华南等区域大客户渠道的拓展（上半年同比增长31%），团餐业务何时能全面回归正增长通道？</w:t>
            </w:r>
          </w:p>
          <w:p w14:paraId="414665A5" w14:textId="273FAB17" w:rsidR="0049251D" w:rsidRDefault="00000000">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尊敬的投资者，您好！大客户零售业务的客户结构调整对公司该业务的利润率水平有所改善，并对整体利润质量形成了正向贡献。从季度节奏看，二季度</w:t>
            </w:r>
            <w:r w:rsidR="00C92163">
              <w:rPr>
                <w:rFonts w:cs="宋体" w:hint="eastAsia"/>
                <w:sz w:val="22"/>
                <w:lang w:bidi="zh-CN"/>
              </w:rPr>
              <w:t>大客户零售业务</w:t>
            </w:r>
            <w:r>
              <w:rPr>
                <w:rFonts w:cs="宋体" w:hint="eastAsia"/>
                <w:sz w:val="22"/>
                <w:lang w:bidi="zh-CN"/>
              </w:rPr>
              <w:t>收入降幅已明显收窄，业务修复趋势向好。下半年，公司将持续聚焦高价值客户、深耕团餐等多元定制场景，加快全国渠道布局，推动</w:t>
            </w:r>
            <w:bookmarkStart w:id="0" w:name="OLE_LINK5"/>
            <w:r>
              <w:rPr>
                <w:rFonts w:cs="宋体" w:hint="eastAsia"/>
                <w:sz w:val="22"/>
                <w:lang w:bidi="zh-CN"/>
              </w:rPr>
              <w:t>大客户零售业务</w:t>
            </w:r>
            <w:bookmarkEnd w:id="0"/>
            <w:r>
              <w:rPr>
                <w:rFonts w:cs="宋体" w:hint="eastAsia"/>
                <w:sz w:val="22"/>
                <w:lang w:bidi="zh-CN"/>
              </w:rPr>
              <w:t>稳步回归增长通道。谢谢！</w:t>
            </w:r>
          </w:p>
          <w:p w14:paraId="44B651D1" w14:textId="284DDD30" w:rsidR="0049251D" w:rsidRDefault="0049251D">
            <w:pPr>
              <w:pStyle w:val="ab"/>
              <w:widowControl/>
              <w:spacing w:before="0" w:beforeAutospacing="0" w:after="0" w:afterAutospacing="0"/>
              <w:jc w:val="both"/>
              <w:rPr>
                <w:rFonts w:cs="宋体" w:hint="eastAsia"/>
                <w:sz w:val="22"/>
                <w:lang w:bidi="zh-CN"/>
              </w:rPr>
            </w:pPr>
          </w:p>
          <w:p w14:paraId="216DA7D4"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6、作为独立董事，您如何看待公司在当前餐饮消费偏弱、行业竞争加剧的宏观背景下，坚定推进门店模型迭代与供应链体系重构的战略决策？在短期单店收入承压、管理费用率因中介服务费及人力成本上升的背景下，独董团队如何评估这一转型期对公司长期盈利能力的实质性影响？</w:t>
            </w:r>
          </w:p>
          <w:p w14:paraId="06CC2EE2" w14:textId="1F83688A"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公司推进门店模型迭代与供应链体系重构，是顺应早餐行业趋势做出的前瞻性战略选择。传统外带早餐模式存在消费场景单一、同质化竞争加剧等问题，粗放式的门店数量增长已不可持续。公司向“早午餐小吃店”转型，意在拓展消费时段、丰富产品矩阵、提升单店产值，契合餐饮消费升级方向。</w:t>
            </w:r>
          </w:p>
          <w:p w14:paraId="622F56C9" w14:textId="4E2B4F08" w:rsidR="0049251D" w:rsidRDefault="00000000" w:rsidP="00372E01">
            <w:pPr>
              <w:pStyle w:val="ab"/>
              <w:widowControl/>
              <w:spacing w:before="0" w:beforeAutospacing="0" w:after="0" w:afterAutospacing="0"/>
              <w:ind w:firstLine="420"/>
              <w:jc w:val="both"/>
              <w:rPr>
                <w:rFonts w:cs="宋体" w:hint="eastAsia"/>
                <w:sz w:val="22"/>
                <w:lang w:bidi="zh-CN"/>
              </w:rPr>
            </w:pPr>
            <w:r>
              <w:rPr>
                <w:rFonts w:cs="宋体" w:hint="eastAsia"/>
                <w:sz w:val="22"/>
                <w:lang w:bidi="zh-CN"/>
              </w:rPr>
              <w:t>独立董事将持续关注转型过程中的经营及财务风险。虽然短期传统门店单店存在压力，但上半年公司经营性现金流同比增长37.42%，扣非净利润同比增长4.5%，盈利质量与现金创造能力持续改善，财务层面可以支撑本次战略转型。</w:t>
            </w:r>
          </w:p>
          <w:p w14:paraId="4D21502F" w14:textId="77777777" w:rsidR="0049251D" w:rsidRDefault="00000000" w:rsidP="00372E01">
            <w:pPr>
              <w:pStyle w:val="ab"/>
              <w:widowControl/>
              <w:spacing w:before="0" w:beforeAutospacing="0" w:after="0" w:afterAutospacing="0"/>
              <w:ind w:firstLine="420"/>
              <w:jc w:val="both"/>
              <w:rPr>
                <w:rFonts w:cs="宋体" w:hint="eastAsia"/>
                <w:sz w:val="22"/>
                <w:lang w:bidi="zh-CN"/>
              </w:rPr>
            </w:pPr>
            <w:r>
              <w:rPr>
                <w:rFonts w:cs="宋体" w:hint="eastAsia"/>
                <w:sz w:val="22"/>
                <w:lang w:bidi="zh-CN"/>
              </w:rPr>
              <w:t>对于长期盈利能力：新店型单店收入显著优于传统店型，随着占比提升，结构性效益会逐步释放；冷冻面皮、数字化巡店等供应链与管理升级，将降低门店技术门槛与运营成本，利好加盟商收益及公司供应链效率。但转型是循序渐进的过程，公司将在验证新店型单店盈</w:t>
            </w:r>
            <w:r>
              <w:rPr>
                <w:rFonts w:cs="宋体" w:hint="eastAsia"/>
                <w:sz w:val="22"/>
                <w:lang w:bidi="zh-CN"/>
              </w:rPr>
              <w:lastRenderedPageBreak/>
              <w:t>利、加盟商满意度后再扩大复制节奏，合理管控成本，并及时披露转型进展与相关风险。谢谢！</w:t>
            </w:r>
          </w:p>
          <w:p w14:paraId="120DFBE2" w14:textId="6E83C284" w:rsidR="0049251D" w:rsidRDefault="0049251D" w:rsidP="00372E01">
            <w:pPr>
              <w:pStyle w:val="ab"/>
              <w:widowControl/>
              <w:spacing w:before="0" w:beforeAutospacing="0" w:after="0" w:afterAutospacing="0"/>
              <w:jc w:val="both"/>
              <w:rPr>
                <w:rFonts w:cs="宋体" w:hint="eastAsia"/>
                <w:sz w:val="22"/>
                <w:lang w:bidi="zh-CN"/>
              </w:rPr>
            </w:pPr>
          </w:p>
          <w:p w14:paraId="3D84DAA7"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7、目前新店型中，真正具备全时段堂食能力的门店占比是多少？对于物理条件受限的升级店，公司有何解决方案？</w:t>
            </w:r>
          </w:p>
          <w:p w14:paraId="2CC5126F" w14:textId="77777777"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结合不同商圈属性、门店面积与经营定位，公司已搭建标准堂食店、轻量化外带店等多元店型矩阵，既可提供全时段堂食消费场景，也能适配小面积点位的高效外带经营需求。对于物理条件受限的传统升级店，公司因店施策，通过动线改造、设备适配、产品线调整等方式实现过渡，既保留传统外带刚需客流，又叠加堂食增量。谢谢！</w:t>
            </w:r>
          </w:p>
          <w:p w14:paraId="1F60F708" w14:textId="4FCA2F46" w:rsidR="0049251D" w:rsidRDefault="0049251D" w:rsidP="00372E01">
            <w:pPr>
              <w:pStyle w:val="ab"/>
              <w:widowControl/>
              <w:spacing w:before="0" w:beforeAutospacing="0" w:after="0" w:afterAutospacing="0"/>
              <w:jc w:val="both"/>
              <w:rPr>
                <w:rFonts w:cs="宋体" w:hint="eastAsia"/>
                <w:sz w:val="22"/>
                <w:lang w:bidi="zh-CN"/>
              </w:rPr>
            </w:pPr>
          </w:p>
          <w:p w14:paraId="65F1A50D"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8、营收增速从11%骤降至2%，公司认为是短期现象还是长期趋势？Q3能否看到增速回升？</w:t>
            </w:r>
          </w:p>
          <w:p w14:paraId="0255D7F1" w14:textId="0FB329E4"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营收增速放缓是多重因素叠加的结果：一是公司门店结构主动调整。上半年门店总数净减少40家，而新店型尚处于爬坡期，收入贡献的结构性替代需要时间。二是基数效应影响。去年受外卖大战等一次性事件影响</w:t>
            </w:r>
            <w:r w:rsidR="00A206CD">
              <w:rPr>
                <w:rFonts w:cs="宋体" w:hint="eastAsia"/>
                <w:sz w:val="22"/>
                <w:lang w:bidi="zh-CN"/>
              </w:rPr>
              <w:t>，</w:t>
            </w:r>
            <w:r>
              <w:rPr>
                <w:rFonts w:cs="宋体" w:hint="eastAsia"/>
                <w:sz w:val="22"/>
                <w:lang w:bidi="zh-CN"/>
              </w:rPr>
              <w:t>基数相对较高。三是</w:t>
            </w:r>
            <w:r w:rsidR="00440AB1">
              <w:rPr>
                <w:rFonts w:cs="宋体" w:hint="eastAsia"/>
                <w:sz w:val="22"/>
                <w:lang w:bidi="zh-CN"/>
              </w:rPr>
              <w:t>大客户零售业务</w:t>
            </w:r>
            <w:r>
              <w:rPr>
                <w:rFonts w:cs="宋体" w:hint="eastAsia"/>
                <w:sz w:val="22"/>
                <w:lang w:bidi="zh-CN"/>
              </w:rPr>
              <w:t>渠道主动优化。上半年</w:t>
            </w:r>
            <w:r w:rsidR="00440AB1">
              <w:rPr>
                <w:rFonts w:cs="宋体" w:hint="eastAsia"/>
                <w:sz w:val="22"/>
                <w:lang w:bidi="zh-CN"/>
              </w:rPr>
              <w:t>大客户零售业务</w:t>
            </w:r>
            <w:r>
              <w:rPr>
                <w:rFonts w:cs="宋体" w:hint="eastAsia"/>
                <w:sz w:val="22"/>
                <w:lang w:bidi="zh-CN"/>
              </w:rPr>
              <w:t>收入下降2.1%，主要系公司主动淘汰低毛利率客户、聚焦高价值订单所致，短期内对收入增速有一定拖累，但有利于提升整体盈利质量。公司将持续聚焦经营质量提升，稳健推进业务发展。谢谢！</w:t>
            </w:r>
          </w:p>
          <w:p w14:paraId="3249E176" w14:textId="1A846ADF" w:rsidR="0049251D" w:rsidRDefault="0049251D" w:rsidP="00372E01">
            <w:pPr>
              <w:pStyle w:val="ab"/>
              <w:widowControl/>
              <w:spacing w:before="0" w:beforeAutospacing="0" w:after="0" w:afterAutospacing="0"/>
              <w:jc w:val="both"/>
              <w:rPr>
                <w:rFonts w:cs="宋体" w:hint="eastAsia"/>
                <w:sz w:val="22"/>
                <w:lang w:bidi="zh-CN"/>
              </w:rPr>
            </w:pPr>
          </w:p>
          <w:p w14:paraId="575B4C73"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9、上半年非经常性损益占净利润超21%，公司如何看待这一比例？未来主业利润增长能否逐步替代非经常性收益的贡献？</w:t>
            </w:r>
          </w:p>
          <w:p w14:paraId="6490CDCA" w14:textId="6283C6FD"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w:t>
            </w:r>
            <w:r w:rsidR="00EF11C3" w:rsidRPr="00EF11C3">
              <w:rPr>
                <w:rFonts w:cs="宋体"/>
                <w:sz w:val="22"/>
                <w:lang w:bidi="zh-CN"/>
              </w:rPr>
              <w:t>经常性损益和非经常性损益是基于会计核算口径的划分。公司上半年非经常性损益主要是公司现金理财收益和政府补助，也是属于公司盈利的来源，能够增厚公司整体收益</w:t>
            </w:r>
            <w:r w:rsidR="00EF11C3">
              <w:rPr>
                <w:rFonts w:cs="宋体" w:hint="eastAsia"/>
                <w:sz w:val="22"/>
                <w:lang w:bidi="zh-CN"/>
              </w:rPr>
              <w:t>。</w:t>
            </w:r>
            <w:r>
              <w:rPr>
                <w:rFonts w:cs="宋体" w:hint="eastAsia"/>
                <w:sz w:val="22"/>
                <w:lang w:bidi="zh-CN"/>
              </w:rPr>
              <w:t>从主业经营情况看，上半年扣非净利润同比增长4.5%，增速高于归母净利润的2.3%，表明公司核心业务的盈利能力和增长质量稳健向好。随着手工小笼包新店型的规模化复制、单店收入提升及</w:t>
            </w:r>
            <w:r w:rsidR="00440AB1">
              <w:rPr>
                <w:rFonts w:cs="宋体" w:hint="eastAsia"/>
                <w:sz w:val="22"/>
                <w:lang w:bidi="zh-CN"/>
              </w:rPr>
              <w:t>大客户零售</w:t>
            </w:r>
            <w:r>
              <w:rPr>
                <w:rFonts w:cs="宋体" w:hint="eastAsia"/>
                <w:sz w:val="22"/>
                <w:lang w:bidi="zh-CN"/>
              </w:rPr>
              <w:t>业务结构优化，公司有信心推动主营业务的持续增长，并进一步提升盈利的可预测性和稳定性。谢谢！</w:t>
            </w:r>
          </w:p>
          <w:p w14:paraId="22339B72" w14:textId="6504A9B4" w:rsidR="0049251D" w:rsidRDefault="0049251D" w:rsidP="00372E01">
            <w:pPr>
              <w:pStyle w:val="ab"/>
              <w:widowControl/>
              <w:spacing w:before="0" w:beforeAutospacing="0" w:after="0" w:afterAutospacing="0"/>
              <w:jc w:val="both"/>
              <w:rPr>
                <w:rFonts w:cs="宋体" w:hint="eastAsia"/>
                <w:sz w:val="22"/>
                <w:lang w:bidi="zh-CN"/>
              </w:rPr>
            </w:pPr>
          </w:p>
          <w:p w14:paraId="30DF2ED2"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10、上半年期间费用增速（13.53%）远超营收增速（2.03%），公司预计费用率何时能见顶回落？</w:t>
            </w:r>
          </w:p>
          <w:p w14:paraId="7D13EFEC" w14:textId="3A2A18CB"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尊敬的投资者，您好！上半年期间费用增速高于营收增速，主要系公司处于战略转型期，相关投入前置所致。具体而言：一是新店型体系建设的阶段性投入，二是人力成本</w:t>
            </w:r>
            <w:r w:rsidR="00586CBB">
              <w:rPr>
                <w:rFonts w:cs="宋体" w:hint="eastAsia"/>
                <w:sz w:val="22"/>
                <w:lang w:bidi="zh-CN"/>
              </w:rPr>
              <w:t>小幅</w:t>
            </w:r>
            <w:r>
              <w:rPr>
                <w:rFonts w:cs="宋体" w:hint="eastAsia"/>
                <w:sz w:val="22"/>
                <w:lang w:bidi="zh-CN"/>
              </w:rPr>
              <w:t>上升，三是收入端的结构性替代尚未完全显现。公司认为随着新店型占比提升、单店收入贡献放大，规模效应将逐步显现，期间费用率有望趋于稳定并逐步优化。同时，公司正积极推进数字化工具应用，通过提升人效和管理效率，控制费用增速。谢谢！</w:t>
            </w:r>
          </w:p>
          <w:p w14:paraId="00E83570" w14:textId="7EEF3D2C" w:rsidR="0049251D" w:rsidRDefault="0049251D" w:rsidP="00372E01">
            <w:pPr>
              <w:pStyle w:val="ab"/>
              <w:widowControl/>
              <w:spacing w:before="0" w:beforeAutospacing="0" w:after="0" w:afterAutospacing="0"/>
              <w:jc w:val="both"/>
              <w:rPr>
                <w:rFonts w:cs="宋体" w:hint="eastAsia"/>
                <w:sz w:val="22"/>
                <w:lang w:bidi="zh-CN"/>
              </w:rPr>
            </w:pPr>
          </w:p>
          <w:p w14:paraId="6756B12C"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11、面对早餐赛道低门槛、区域品牌持续分流的竞争格局，公司认为自己真正的护城河是什么？</w:t>
            </w:r>
          </w:p>
          <w:p w14:paraId="03D7DAA1" w14:textId="11E9E2E3"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尊敬的投资者，您好！早餐赛道确实存在进入门槛相对较低的特点，区域品牌分流也是行业长期现象。但公司认为，真正的护城河</w:t>
            </w:r>
            <w:r>
              <w:rPr>
                <w:rFonts w:cs="宋体" w:hint="eastAsia"/>
                <w:sz w:val="22"/>
                <w:lang w:bidi="zh-CN"/>
              </w:rPr>
              <w:lastRenderedPageBreak/>
              <w:t>不在于单一维度，而是多重复合壁垒的叠加效应：第一，品牌与渠道卡位。公司在华东核心市场已形成强势品牌认知，占据优质点位资源。第二</w:t>
            </w:r>
            <w:r w:rsidR="002C4F05">
              <w:rPr>
                <w:rFonts w:cs="宋体" w:hint="eastAsia"/>
                <w:sz w:val="22"/>
                <w:lang w:bidi="zh-CN"/>
              </w:rPr>
              <w:t>，</w:t>
            </w:r>
            <w:r>
              <w:rPr>
                <w:rFonts w:cs="宋体" w:hint="eastAsia"/>
                <w:sz w:val="22"/>
                <w:lang w:bidi="zh-CN"/>
              </w:rPr>
              <w:t>规模化的供应链网络。公司已在全国布局上海、南京、东莞、天津、武汉五大中央厨房，冷链配送半径不断扩大，能够为近6000家门店提供稳定、优质、成本可控的原材料支持。第三</w:t>
            </w:r>
            <w:r w:rsidR="002C4F05">
              <w:rPr>
                <w:rFonts w:cs="宋体" w:hint="eastAsia"/>
                <w:sz w:val="22"/>
                <w:lang w:bidi="zh-CN"/>
              </w:rPr>
              <w:t>，</w:t>
            </w:r>
            <w:r>
              <w:rPr>
                <w:rFonts w:cs="宋体" w:hint="eastAsia"/>
                <w:sz w:val="22"/>
                <w:lang w:bidi="zh-CN"/>
              </w:rPr>
              <w:t>组织管理能力。公司在业务转型的过程中不断围绕人才梯队培养、流程授权优化和激励机制升级，系统性夯实转型落地的根基。同时，通过提升一线团队的市场响应速度与全员目标共识，确保组织效能与新店型复制、成本管控等重点工作形成高效协同。第四</w:t>
            </w:r>
            <w:r w:rsidR="002C4F05">
              <w:rPr>
                <w:rFonts w:cs="宋体" w:hint="eastAsia"/>
                <w:sz w:val="22"/>
                <w:lang w:bidi="zh-CN"/>
              </w:rPr>
              <w:t>，</w:t>
            </w:r>
            <w:r>
              <w:rPr>
                <w:rFonts w:cs="宋体" w:hint="eastAsia"/>
                <w:sz w:val="22"/>
                <w:lang w:bidi="zh-CN"/>
              </w:rPr>
              <w:t>时间沉淀的产品壁垒。公司持续聚焦产品创新与研发，在冷冻生胚、低温发酵等核心技术上持续取得突破，并不断丰富产品矩阵以满足消费者多样化需求。</w:t>
            </w:r>
          </w:p>
          <w:p w14:paraId="0AEAF1D0" w14:textId="5FB40082" w:rsidR="0049251D" w:rsidRDefault="00000000" w:rsidP="00372E01">
            <w:pPr>
              <w:pStyle w:val="ab"/>
              <w:widowControl/>
              <w:spacing w:before="0" w:beforeAutospacing="0" w:after="0" w:afterAutospacing="0"/>
              <w:ind w:firstLine="420"/>
              <w:jc w:val="both"/>
              <w:rPr>
                <w:rFonts w:cs="宋体" w:hint="eastAsia"/>
                <w:sz w:val="22"/>
                <w:lang w:bidi="zh-CN"/>
              </w:rPr>
            </w:pPr>
            <w:r>
              <w:rPr>
                <w:rFonts w:cs="宋体" w:hint="eastAsia"/>
                <w:sz w:val="22"/>
                <w:lang w:bidi="zh-CN"/>
              </w:rPr>
              <w:t>公司认为，未来的竞争不</w:t>
            </w:r>
            <w:r w:rsidR="0072032C">
              <w:rPr>
                <w:rFonts w:cs="宋体" w:hint="eastAsia"/>
                <w:sz w:val="22"/>
                <w:lang w:bidi="zh-CN"/>
              </w:rPr>
              <w:t>仅仅</w:t>
            </w:r>
            <w:r>
              <w:rPr>
                <w:rFonts w:cs="宋体" w:hint="eastAsia"/>
                <w:sz w:val="22"/>
                <w:lang w:bidi="zh-CN"/>
              </w:rPr>
              <w:t>是“谁能做出更好吃的包子”，而是“谁能以更低的成本、更高的效率、更稳定的品质，支撑数千家门店持续盈利”。这一点上，公司的综合壁垒正在不断加深。谢谢！</w:t>
            </w:r>
          </w:p>
          <w:p w14:paraId="724B6930" w14:textId="3B0AB892" w:rsidR="0049251D" w:rsidRDefault="0049251D" w:rsidP="00372E01">
            <w:pPr>
              <w:pStyle w:val="ab"/>
              <w:widowControl/>
              <w:spacing w:before="0" w:beforeAutospacing="0" w:after="0" w:afterAutospacing="0"/>
              <w:jc w:val="both"/>
              <w:rPr>
                <w:rFonts w:cs="宋体" w:hint="eastAsia"/>
                <w:sz w:val="22"/>
                <w:lang w:bidi="zh-CN"/>
              </w:rPr>
            </w:pPr>
          </w:p>
          <w:p w14:paraId="520F5238"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12、加盟商闭店率持续高位，公司认为根本原因是什么？新店型是否能有效提升加盟商的单店盈利能力？</w:t>
            </w:r>
          </w:p>
          <w:p w14:paraId="30D20AE2" w14:textId="77777777"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上半年加盟商闭店率仍处于相对高位，根本原因主要有两方面：一是外部消费环境变化。传统外带早餐模式消费场景单一，在外部消费承压背景下，部分门店客流量下降，经营压力加大。同时，区域竞争加剧，同质化低价竞争对传统门店的盈利空间形成挤压。</w:t>
            </w:r>
          </w:p>
          <w:p w14:paraId="04F84018" w14:textId="649F5CA4" w:rsidR="0049251D" w:rsidRDefault="00000000" w:rsidP="00372E01">
            <w:pPr>
              <w:pStyle w:val="ab"/>
              <w:widowControl/>
              <w:spacing w:before="0" w:beforeAutospacing="0" w:after="0" w:afterAutospacing="0"/>
              <w:ind w:firstLine="420"/>
              <w:jc w:val="both"/>
              <w:rPr>
                <w:rFonts w:cs="宋体" w:hint="eastAsia"/>
                <w:sz w:val="22"/>
                <w:lang w:bidi="zh-CN"/>
              </w:rPr>
            </w:pPr>
            <w:r>
              <w:rPr>
                <w:rFonts w:cs="宋体" w:hint="eastAsia"/>
                <w:sz w:val="22"/>
                <w:lang w:bidi="zh-CN"/>
              </w:rPr>
              <w:t>关于新店型对盈利能力的提升，从目前数据看效果较为明显。手工小笼包新店型通过拓展全时段经营、丰富产品矩阵、提升堂食体验，显著拓宽了单店的收入天花板。从已运营三个月以上的门店数据看，新店型营业额和利润水平均较传统模型有明显提升，加盟商普遍反馈升级后经营状况改善。目前380家新店型中约65%为老店升级改造，升级门店的加盟商均为业内资深经营者，其升级决策本身即是对新店型盈利能力的认可。随着新店型占比持续提升、口碑效应逐步释放，公司有信心推动整体加盟商盈利水平的结构性改善，进而降低闭店率。谢谢！</w:t>
            </w:r>
          </w:p>
          <w:p w14:paraId="42BF90D7" w14:textId="25578EFC" w:rsidR="0049251D" w:rsidRDefault="0049251D" w:rsidP="00372E01">
            <w:pPr>
              <w:pStyle w:val="ab"/>
              <w:widowControl/>
              <w:spacing w:before="0" w:beforeAutospacing="0" w:after="0" w:afterAutospacing="0"/>
              <w:ind w:firstLine="420"/>
              <w:jc w:val="both"/>
              <w:rPr>
                <w:rFonts w:cs="宋体" w:hint="eastAsia"/>
                <w:sz w:val="22"/>
                <w:lang w:bidi="zh-CN"/>
              </w:rPr>
            </w:pPr>
          </w:p>
          <w:p w14:paraId="4A2463D1"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13、门店数量增加后，如何保证近6000家门店的食品安全和品质一致性？督导体系能否跟上扩张速度？</w:t>
            </w:r>
          </w:p>
          <w:p w14:paraId="71162F5A" w14:textId="77777777"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公司始终将食品安全与产品品质放在首位，规模扩张坚持以品质可控为前提。公司在持续提升门店管理的信息化能力，推动门店管理体系向标准化、数字化、专业化转型，重点开展了以下工作：夯实门店标准化建设，出台覆盖门店卫生、服务规范、产品出品、新品落地等维度的管理制度，构建可量化、可核查的运营标准体系；依托移动端工具实现巡店全流程闭环管理，积极探索AI监控技术赋能门店监管；借助数字化手段扩大督导人均管理半径，避免单纯依靠人员数量扩张。同时，持续强化供应链全链条质量管控，通过五大中央厨房，完成原材料采购、生产加工、仓储物流到终端交付的全流程监管，从源头保障产品品质稳定统一。公司坚持规模思维不可凌驾于产品本质之上，持续锤炼核心竞争力，确保业务扩张速度与质量管控能力相匹配。谢谢！</w:t>
            </w:r>
          </w:p>
          <w:p w14:paraId="7B237525" w14:textId="2B151A23" w:rsidR="0049251D" w:rsidRDefault="0049251D" w:rsidP="00372E01">
            <w:pPr>
              <w:pStyle w:val="ab"/>
              <w:widowControl/>
              <w:spacing w:before="0" w:beforeAutospacing="0" w:after="0" w:afterAutospacing="0"/>
              <w:jc w:val="both"/>
              <w:rPr>
                <w:rFonts w:cs="宋体" w:hint="eastAsia"/>
                <w:sz w:val="22"/>
                <w:lang w:bidi="zh-CN"/>
              </w:rPr>
            </w:pPr>
          </w:p>
          <w:p w14:paraId="1A520A8C" w14:textId="77777777"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lastRenderedPageBreak/>
              <w:t>14、公司股价从高点跌超60%，当前估值是否被低估？管理层是否有增持或公司回购计划？</w:t>
            </w:r>
          </w:p>
          <w:p w14:paraId="586B6B4F" w14:textId="77777777"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感谢您对公司的关注，二级市场的股票价格波动受市场情绪等多重因素影响。公司将聚焦于经营管理本身，持续提升核心竞争能力，以优异业绩回报股东和社会，为股东创造实实在在的价值。谢谢！</w:t>
            </w:r>
          </w:p>
          <w:p w14:paraId="2C00965C" w14:textId="63987A38" w:rsidR="0049251D" w:rsidRDefault="0049251D" w:rsidP="00372E01">
            <w:pPr>
              <w:pStyle w:val="ab"/>
              <w:widowControl/>
              <w:spacing w:before="0" w:beforeAutospacing="0" w:after="0" w:afterAutospacing="0"/>
              <w:jc w:val="both"/>
              <w:rPr>
                <w:rFonts w:cs="宋体" w:hint="eastAsia"/>
                <w:sz w:val="22"/>
                <w:lang w:bidi="zh-CN"/>
              </w:rPr>
            </w:pPr>
          </w:p>
          <w:p w14:paraId="2D95070A" w14:textId="77777777"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15、公司间接持有的东鹏饮料股权目前还剩多少？预计何时能彻底退出，让利润不再受股价波动干扰？</w:t>
            </w:r>
          </w:p>
          <w:p w14:paraId="493BC647" w14:textId="77777777"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公司持有的东鹏饮料股权目前已减持完毕，相关投资收益已在前期报表中体现。未来公司利润将不再受该部分股权投资市值波动的影响，盈利结构更聚焦于公司主营业务，财务报表的可预测性和稳定性也将相应提升。谢谢！</w:t>
            </w:r>
          </w:p>
          <w:p w14:paraId="15325BC0" w14:textId="6B959773" w:rsidR="0049251D" w:rsidRDefault="0049251D" w:rsidP="00372E01">
            <w:pPr>
              <w:pStyle w:val="ab"/>
              <w:widowControl/>
              <w:spacing w:before="0" w:beforeAutospacing="0" w:after="0" w:afterAutospacing="0"/>
              <w:jc w:val="both"/>
              <w:rPr>
                <w:rFonts w:cs="宋体" w:hint="eastAsia"/>
                <w:sz w:val="22"/>
                <w:lang w:bidi="zh-CN"/>
              </w:rPr>
            </w:pPr>
          </w:p>
          <w:p w14:paraId="47F692F1" w14:textId="27CB7FB9"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16、现在这种消费环境下，公司认为有多大的把握战胜环境取得满意的成绩？信心来源</w:t>
            </w:r>
            <w:r w:rsidR="002C4F05">
              <w:rPr>
                <w:rFonts w:cs="宋体" w:hint="eastAsia"/>
                <w:b/>
                <w:bCs/>
                <w:sz w:val="22"/>
                <w:lang w:bidi="zh-CN"/>
              </w:rPr>
              <w:t>哪些</w:t>
            </w:r>
            <w:r>
              <w:rPr>
                <w:rFonts w:cs="宋体" w:hint="eastAsia"/>
                <w:b/>
                <w:bCs/>
                <w:sz w:val="22"/>
                <w:lang w:bidi="zh-CN"/>
              </w:rPr>
              <w:t>方面?</w:t>
            </w:r>
          </w:p>
          <w:p w14:paraId="596FF83F" w14:textId="4C441C13"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尊敬的投资者，您好！当前消费</w:t>
            </w:r>
            <w:r w:rsidR="00066854">
              <w:rPr>
                <w:rFonts w:cs="宋体" w:hint="eastAsia"/>
                <w:sz w:val="22"/>
                <w:lang w:bidi="zh-CN"/>
              </w:rPr>
              <w:t>市场</w:t>
            </w:r>
            <w:r>
              <w:rPr>
                <w:rFonts w:cs="宋体" w:hint="eastAsia"/>
                <w:sz w:val="22"/>
                <w:lang w:bidi="zh-CN"/>
              </w:rPr>
              <w:t>整体偏弱，是餐饮行业共同面对的外部环境，但公司对未来发展充满信心，信心主要来源于四个方面：第一，主业经营底盘扎实。报告期内，在消费承压的背景下，公司实现营收、利润正向增长，经营性现金流大幅改善，毛利率持续提升。第二，手工小笼包新店型转型已得到初步验证。截至半年末，小笼包新店型落地380家，单店订货额达到传统鲜包店的2倍，加盟商盈利反馈良好，门店模型已经跑通。店型由传统早餐外带向早午餐小吃店拓展，打开消费场景与单店成长天花板，是公司应对外部环境、谋求长期发展最重要的抓手，公司将全力冲刺全年600-700家小笼包门店拓展目标。第三，供应链构筑核心壁垒。公司拥有多品类面皮、馅料标准化生产供应能力，同时配套完善的堂食新品研发储备，产品与供应链综合实力突出。第四，公司具备成熟的加盟及组织赋能体系。经过多年行业沉淀，公司建立了完整的加盟商全周期赋能机制，为业务发展提供有力支撑。谢谢！</w:t>
            </w:r>
          </w:p>
          <w:p w14:paraId="37937AC7" w14:textId="64E00033" w:rsidR="0049251D" w:rsidRDefault="0049251D" w:rsidP="00372E01">
            <w:pPr>
              <w:pStyle w:val="ab"/>
              <w:widowControl/>
              <w:spacing w:before="0" w:beforeAutospacing="0" w:after="0" w:afterAutospacing="0"/>
              <w:jc w:val="both"/>
              <w:rPr>
                <w:rFonts w:cs="宋体" w:hint="eastAsia"/>
                <w:sz w:val="22"/>
                <w:lang w:bidi="zh-CN"/>
              </w:rPr>
            </w:pPr>
          </w:p>
          <w:p w14:paraId="2FDA01BB" w14:textId="229C772A" w:rsidR="0049251D" w:rsidRDefault="00000000" w:rsidP="00372E01">
            <w:pPr>
              <w:pStyle w:val="ab"/>
              <w:widowControl/>
              <w:spacing w:before="0" w:beforeAutospacing="0" w:after="0" w:afterAutospacing="0"/>
              <w:jc w:val="both"/>
              <w:rPr>
                <w:rFonts w:cs="宋体" w:hint="eastAsia"/>
                <w:b/>
                <w:bCs/>
                <w:sz w:val="22"/>
                <w:lang w:bidi="zh-CN"/>
              </w:rPr>
            </w:pPr>
            <w:r>
              <w:rPr>
                <w:rFonts w:cs="宋体" w:hint="eastAsia"/>
                <w:b/>
                <w:bCs/>
                <w:sz w:val="22"/>
                <w:lang w:bidi="zh-CN"/>
              </w:rPr>
              <w:t>17、目前新店型中开业满一年以上的门店有多少家？这些门店的营业额和利润稳定性如何？是否存在</w:t>
            </w:r>
            <w:r w:rsidR="00372E01">
              <w:rPr>
                <w:rFonts w:cs="宋体" w:hint="eastAsia"/>
                <w:b/>
                <w:bCs/>
                <w:sz w:val="22"/>
                <w:lang w:bidi="zh-CN"/>
              </w:rPr>
              <w:t>“开业脉冲”</w:t>
            </w:r>
            <w:r>
              <w:rPr>
                <w:rFonts w:cs="宋体" w:hint="eastAsia"/>
                <w:b/>
                <w:bCs/>
                <w:sz w:val="22"/>
                <w:lang w:bidi="zh-CN"/>
              </w:rPr>
              <w:t>后回落的现象？</w:t>
            </w:r>
          </w:p>
          <w:p w14:paraId="598129D1" w14:textId="43B0DDD7" w:rsidR="0049251D" w:rsidRDefault="00000000" w:rsidP="00372E01">
            <w:pPr>
              <w:pStyle w:val="ab"/>
              <w:widowControl/>
              <w:spacing w:before="0" w:beforeAutospacing="0" w:after="0" w:afterAutospacing="0"/>
              <w:jc w:val="both"/>
              <w:rPr>
                <w:rFonts w:cs="宋体" w:hint="eastAsia"/>
                <w:sz w:val="22"/>
                <w:lang w:bidi="zh-CN"/>
              </w:rPr>
            </w:pPr>
            <w:r>
              <w:rPr>
                <w:rFonts w:cs="宋体" w:hint="eastAsia"/>
                <w:b/>
                <w:bCs/>
                <w:sz w:val="22"/>
                <w:lang w:bidi="zh-CN"/>
              </w:rPr>
              <w:t>回复：</w:t>
            </w:r>
            <w:r>
              <w:rPr>
                <w:rFonts w:cs="宋体" w:hint="eastAsia"/>
                <w:sz w:val="22"/>
                <w:lang w:bidi="zh-CN"/>
              </w:rPr>
              <w:t>尊敬的投资者，您好！截至上半年末，公司累计开业的手工小笼包新店型共380家。从开店时间分布看，多数门店运营时间在数月至一年左右。从运营三个月以上的门店经营情况看，营业额整体保持在稳定区间，未出现显著的</w:t>
            </w:r>
            <w:r w:rsidR="00CA7901">
              <w:rPr>
                <w:rFonts w:cs="宋体" w:hint="eastAsia"/>
                <w:sz w:val="22"/>
                <w:lang w:bidi="zh-CN"/>
              </w:rPr>
              <w:t>“开业脉冲”</w:t>
            </w:r>
            <w:r>
              <w:rPr>
                <w:rFonts w:cs="宋体" w:hint="eastAsia"/>
                <w:sz w:val="22"/>
                <w:lang w:bidi="zh-CN"/>
              </w:rPr>
              <w:t>后大幅回落现象。部分早期升级门店已接近或达到一年运营期，经营数据持续向好。随着门店运营时间拉长、加盟商经营熟练度提升及本地化产品适配优化，新店型的盈利稳定性有望进一步巩固。公司将持续跟踪不同店龄门店的经营数据，为规模化复制提供决策依据。谢谢！</w:t>
            </w:r>
          </w:p>
          <w:p w14:paraId="4B2E0A52" w14:textId="00749440" w:rsidR="0049251D" w:rsidRDefault="0049251D" w:rsidP="00372E01">
            <w:pPr>
              <w:pStyle w:val="ab"/>
              <w:widowControl/>
              <w:spacing w:before="0" w:beforeAutospacing="0" w:after="0" w:afterAutospacing="0"/>
              <w:jc w:val="both"/>
              <w:rPr>
                <w:rFonts w:cs="宋体" w:hint="eastAsia"/>
                <w:sz w:val="22"/>
                <w:lang w:bidi="zh-CN"/>
              </w:rPr>
            </w:pPr>
          </w:p>
          <w:p w14:paraId="404ECBFF" w14:textId="77777777" w:rsidR="0049251D" w:rsidRDefault="00000000" w:rsidP="00372E01">
            <w:pPr>
              <w:widowControl/>
              <w:jc w:val="both"/>
              <w:rPr>
                <w:rFonts w:hint="eastAsia"/>
                <w:b/>
                <w:bCs/>
              </w:rPr>
            </w:pPr>
            <w:r>
              <w:rPr>
                <w:rFonts w:hint="eastAsia"/>
                <w:b/>
                <w:bCs/>
              </w:rPr>
              <w:t>18、</w:t>
            </w:r>
            <w:r>
              <w:rPr>
                <w:rFonts w:hint="eastAsia"/>
                <w:b/>
                <w:bCs/>
                <w:lang w:val="en-US"/>
              </w:rPr>
              <w:t>请问高校、高铁等特殊渠道的拓展进展如何？未来规划是什么？</w:t>
            </w:r>
          </w:p>
          <w:p w14:paraId="29F4D82B" w14:textId="77777777" w:rsidR="0049251D" w:rsidRDefault="00000000" w:rsidP="00372E01">
            <w:pPr>
              <w:widowControl/>
              <w:jc w:val="both"/>
              <w:rPr>
                <w:rFonts w:hint="eastAsia"/>
              </w:rPr>
            </w:pPr>
            <w:r>
              <w:rPr>
                <w:rFonts w:hint="eastAsia"/>
                <w:b/>
                <w:bCs/>
              </w:rPr>
              <w:t>回复：</w:t>
            </w:r>
            <w:r>
              <w:rPr>
                <w:rFonts w:hint="eastAsia"/>
                <w:lang w:val="en-US"/>
              </w:rPr>
              <w:t>尊敬的投资者，您好！在特殊渠道方面，公司正积极对接相关资源，探索高铁站等交通枢纽场景的落地可能，进一步打开增长空间。谢谢！</w:t>
            </w:r>
          </w:p>
          <w:p w14:paraId="3115BDFE" w14:textId="77777777" w:rsidR="0049251D" w:rsidRDefault="0049251D">
            <w:pPr>
              <w:pStyle w:val="TOC2"/>
              <w:ind w:leftChars="0" w:left="0"/>
              <w:rPr>
                <w:rFonts w:hint="eastAsia"/>
                <w:lang w:val="en-US"/>
              </w:rPr>
            </w:pPr>
          </w:p>
        </w:tc>
      </w:tr>
    </w:tbl>
    <w:p w14:paraId="7DCD5E19" w14:textId="77777777" w:rsidR="0049251D" w:rsidRDefault="0049251D">
      <w:pPr>
        <w:rPr>
          <w:rFonts w:hint="eastAsia"/>
        </w:rPr>
      </w:pPr>
    </w:p>
    <w:sectPr w:rsidR="0049251D">
      <w:headerReference w:type="default" r:id="rId7"/>
      <w:pgSz w:w="11910" w:h="16840"/>
      <w:pgMar w:top="1440" w:right="1800" w:bottom="1440" w:left="1800" w:header="87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0F81F" w14:textId="77777777" w:rsidR="00914F55" w:rsidRDefault="00914F55">
      <w:pPr>
        <w:rPr>
          <w:rFonts w:hint="eastAsia"/>
        </w:rPr>
      </w:pPr>
      <w:r>
        <w:separator/>
      </w:r>
    </w:p>
  </w:endnote>
  <w:endnote w:type="continuationSeparator" w:id="0">
    <w:p w14:paraId="7427E65A" w14:textId="77777777" w:rsidR="00914F55" w:rsidRDefault="00914F5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29A18" w14:textId="77777777" w:rsidR="00914F55" w:rsidRDefault="00914F55">
      <w:pPr>
        <w:rPr>
          <w:rFonts w:hint="eastAsia"/>
        </w:rPr>
      </w:pPr>
      <w:r>
        <w:separator/>
      </w:r>
    </w:p>
  </w:footnote>
  <w:footnote w:type="continuationSeparator" w:id="0">
    <w:p w14:paraId="593EC97A" w14:textId="77777777" w:rsidR="00914F55" w:rsidRDefault="00914F5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8D2B9" w14:textId="77777777" w:rsidR="0049251D" w:rsidRDefault="00000000">
    <w:pPr>
      <w:pStyle w:val="a5"/>
      <w:spacing w:before="0" w:line="14" w:lineRule="auto"/>
      <w:rPr>
        <w:rFonts w:hint="eastAsia"/>
        <w:b w:val="0"/>
        <w:sz w:val="20"/>
      </w:rPr>
    </w:pPr>
    <w:r>
      <w:rPr>
        <w:noProof/>
        <w:lang w:val="en-US" w:bidi="ar-SA"/>
      </w:rPr>
      <mc:AlternateContent>
        <mc:Choice Requires="wps">
          <w:drawing>
            <wp:anchor distT="0" distB="0" distL="114300" distR="114300" simplePos="0" relativeHeight="251659264" behindDoc="1" locked="0" layoutInCell="1" allowOverlap="1" wp14:anchorId="7386B873" wp14:editId="125F122F">
              <wp:simplePos x="0" y="0"/>
              <wp:positionH relativeFrom="page">
                <wp:posOffset>1124585</wp:posOffset>
              </wp:positionH>
              <wp:positionV relativeFrom="page">
                <wp:posOffset>705485</wp:posOffset>
              </wp:positionV>
              <wp:extent cx="5311775" cy="0"/>
              <wp:effectExtent l="0" t="0" r="0" b="0"/>
              <wp:wrapNone/>
              <wp:docPr id="1" name="直线 1"/>
              <wp:cNvGraphicFramePr/>
              <a:graphic xmlns:a="http://schemas.openxmlformats.org/drawingml/2006/main">
                <a:graphicData uri="http://schemas.microsoft.com/office/word/2010/wordprocessingShape">
                  <wps:wsp>
                    <wps:cNvCnPr/>
                    <wps:spPr>
                      <a:xfrm>
                        <a:off x="0" y="0"/>
                        <a:ext cx="5311775"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xmlns:wpsCustomData="http://www.wps.cn/officeDocument/2013/wpsCustomData">
          <w:pict>
            <v:line id="直线 1" o:spid="_x0000_s1026" o:spt="20" style="position:absolute;left:0pt;margin-left:88.55pt;margin-top:55.55pt;height:0pt;width:418.25pt;mso-position-horizontal-relative:page;mso-position-vertical-relative:page;z-index:-251657216;mso-width-relative:page;mso-height-relative:page;" filled="f" stroked="t" coordsize="21600,21600" o:gfxdata="UEsDBAoAAAAAAIdO4kAAAAAAAAAAAAAAAAAEAAAAZHJzL1BLAwQUAAAACACHTuJAVfQ71tUAAAAM&#10;AQAADwAAAGRycy9kb3ducmV2LnhtbE2PwU7DMAyG70i8Q2Sk3VhSkFpUmu4wlQviAGUP4DWmjWiS&#10;qsnWsaefJyGBT/7tX78/V5uTG8WR5miD15CtFQjyXTDW9xp2ny/3TyBiQm9wDJ40/FCETX17U2Fp&#10;wuI/6NimXnCIjyVqGFKaSiljN5DDuA4Ted59hdlhYjn30sy4cLgb5YNSuXRoPV8YcKLtQN13e3Aa&#10;2ve3JX89n5emaC3GlOzQNFutV3eZegaR6JT+zHDFZ3SomWkfDt5EMbIuioyt3HCBuDpU9piD2P+O&#10;ZF3J/0/UF1BLAwQUAAAACACHTuJA8k42VN8BAADPAwAADgAAAGRycy9lMm9Eb2MueG1srVNLchMx&#10;EN1TxR1U2uPxhITAlMdZxIQNBa4CDtDWx6Mq/UqteOyzcA1WbDhOrkFL4zgQNl4wC02r1f2631Nr&#10;cbN3lu1UQhN8z9vZnDPlRZDGb3v+7evdq7ecYQYvwQaven5QyG+WL18sxtipizAEK1ViBOKxG2PP&#10;h5xj1zQoBuUAZyEqT4c6JAeZtmnbyAQjoTvbXMznb5oxJBlTEAqRvKvpkB8R0zmAQWsj1CqIe6d8&#10;nlCTspCJEg4mIl/WbrVWIn/WGlVmtufENNeVipC9KWuzXEC3TRAHI44twDktPOPkwHgqeoJaQQZ2&#10;n8w/UM6IFDDoPBPBNRORqgixaOfPtPkyQFSVC0mN8SQ6/j9Y8Wm3TsxImgTOPDi68IfvPx5+/mJt&#10;0WaM2FHIrV+n4w7jOhWie51c+RMFtq96Hk56qn1mgpxXr9v2+vqKM/F41jwlxoT5gwqOFaPn1vhC&#10;FTrYfcRMxSj0MaS4rWdjz9+1l5cEBzR3mu6bTBepd/TbmovBGnlnrC0ZmLabW5vYDsrd169QIty/&#10;wkqRFeAwxdWjaSoGBfK9lywfIqni6THw0oJTkjOr6O0UiwChy2DsOZFU2nrqoKg66VisTZCHKm/1&#10;0z3XHo8zWQbpz33NfnqHy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V9DvW1QAAAAwBAAAPAAAA&#10;AAAAAAEAIAAAACIAAABkcnMvZG93bnJldi54bWxQSwECFAAUAAAACACHTuJA8k42VN8BAADPAwAA&#10;DgAAAAAAAAABACAAAAAkAQAAZHJzL2Uyb0RvYy54bWxQSwUGAAAAAAYABgBZAQAAdQUAAAAA&#10;">
              <v:fill on="f" focussize="0,0"/>
              <v:stroke weight="0.72pt" color="#000000" joinstyle="round"/>
              <v:imagedata o:title=""/>
              <o:lock v:ext="edit" aspectratio="f"/>
            </v:line>
          </w:pict>
        </mc:Fallback>
      </mc:AlternateContent>
    </w:r>
    <w:r>
      <w:rPr>
        <w:noProof/>
        <w:lang w:val="en-US" w:bidi="ar-SA"/>
      </w:rPr>
      <mc:AlternateContent>
        <mc:Choice Requires="wps">
          <w:drawing>
            <wp:anchor distT="0" distB="0" distL="114300" distR="114300" simplePos="0" relativeHeight="251660288" behindDoc="1" locked="0" layoutInCell="1" allowOverlap="1" wp14:anchorId="64495908" wp14:editId="6CE97E71">
              <wp:simplePos x="0" y="0"/>
              <wp:positionH relativeFrom="page">
                <wp:posOffset>1130300</wp:posOffset>
              </wp:positionH>
              <wp:positionV relativeFrom="page">
                <wp:posOffset>544195</wp:posOffset>
              </wp:positionV>
              <wp:extent cx="944880" cy="1524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944880" cy="152400"/>
                      </a:xfrm>
                      <a:prstGeom prst="rect">
                        <a:avLst/>
                      </a:prstGeom>
                      <a:noFill/>
                      <a:ln>
                        <a:noFill/>
                      </a:ln>
                    </wps:spPr>
                    <wps:txbx>
                      <w:txbxContent>
                        <w:p w14:paraId="3EB539DC" w14:textId="77777777" w:rsidR="0049251D" w:rsidRDefault="00000000">
                          <w:pPr>
                            <w:spacing w:line="225" w:lineRule="exact"/>
                            <w:ind w:left="20"/>
                            <w:rPr>
                              <w:rFonts w:ascii="Calibri" w:hint="eastAsia"/>
                              <w:sz w:val="18"/>
                              <w:lang w:val="en-US"/>
                            </w:rPr>
                          </w:pPr>
                          <w:r>
                            <w:rPr>
                              <w:sz w:val="18"/>
                            </w:rPr>
                            <w:t>证券代码：</w:t>
                          </w:r>
                          <w:r>
                            <w:rPr>
                              <w:rFonts w:hint="eastAsia"/>
                              <w:sz w:val="18"/>
                              <w:lang w:val="en-US"/>
                            </w:rPr>
                            <w:t>605338</w:t>
                          </w:r>
                        </w:p>
                      </w:txbxContent>
                    </wps:txbx>
                    <wps:bodyPr wrap="square" lIns="0" tIns="0" rIns="0" bIns="0" upright="1"/>
                  </wps:wsp>
                </a:graphicData>
              </a:graphic>
            </wp:anchor>
          </w:drawing>
        </mc:Choice>
        <mc:Fallback>
          <w:pict>
            <v:shapetype w14:anchorId="64495908" id="_x0000_t202" coordsize="21600,21600" o:spt="202" path="m,l,21600r21600,l21600,xe">
              <v:stroke joinstyle="miter"/>
              <v:path gradientshapeok="t" o:connecttype="rect"/>
            </v:shapetype>
            <v:shape id="文本框 2" o:spid="_x0000_s1026" type="#_x0000_t202" style="position:absolute;margin-left:89pt;margin-top:42.85pt;width:74.4pt;height:1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WSLiQEAAAsDAAAOAAAAZHJzL2Uyb0RvYy54bWysUttqGzEQfQ/0H4Tea62NU5zF60AJKYXS&#10;FpJ8gKyVvALdOiN713/fkeJL0r6VvsyOZrRnzpyj9f3kHTtoQBtDx+ezhjMdVOxt2HX85fnx44oz&#10;zDL00sWgO37UyO83H27WY2r1Ig7R9RoYgQRsx9TxIefUCoFq0F7iLCYdqGkieJnpCDvRgxwJ3Tux&#10;aJpPYozQJ4hKI1L14bXJNxXfGK3yD2NQZ+Y6TtxyjVDjtkSxWct2BzINVp1oyH9g4aUNNPQC9SCz&#10;ZHuwf0F5qyBiNHmmohfRGKt03YG2mTd/bPM0yKTrLiQOpotM+P9g1ffDU/oJLE+f40QGFkHGhC1S&#10;sewzGfDlS0wZ9UnC40U2PWWmqHi3XK5W1FHUmt8ulk2VVVx/ToD5i46elaTjQK5UseThG2YaSFfP&#10;V8qsEB+tc9UZF94V6GKpiCvDkuVpO51ob2N/pG1GMrTj+GsvQXPmvgZSrLh/TuCcbM/JPoHdDUSu&#10;KlAHkOKV2ul1FEvfniuN6xve/AYAAP//AwBQSwMEFAAGAAgAAAAhAHrMhIDfAAAACgEAAA8AAABk&#10;cnMvZG93bnJldi54bWxMjzFPwzAUhHck/oP1KrFRu0UkaYhTVQgmJEQaBkYndhOr8XOI3Tb8ex5T&#10;GU93uvuu2M5uYGczBetRwmopgBlsvbbYSfisX+8zYCEq1GrwaCT8mADb8vamULn2F6zMeR87RiUY&#10;ciWhj3HMOQ9tb5wKSz8aJO/gJ6ciyanjelIXKncDXwuRcKcs0kKvRvPcm/a4PzkJuy+sXuz3e/NR&#10;HSpb1xuBb8lRyrvFvHsCFs0cr2H4wyd0KImp8SfUgQ2k04y+RAnZYwqMAg/rhL405IhNCrws+P8L&#10;5S8AAAD//wMAUEsBAi0AFAAGAAgAAAAhALaDOJL+AAAA4QEAABMAAAAAAAAAAAAAAAAAAAAAAFtD&#10;b250ZW50X1R5cGVzXS54bWxQSwECLQAUAAYACAAAACEAOP0h/9YAAACUAQAACwAAAAAAAAAAAAAA&#10;AAAvAQAAX3JlbHMvLnJlbHNQSwECLQAUAAYACAAAACEAgm1ki4kBAAALAwAADgAAAAAAAAAAAAAA&#10;AAAuAgAAZHJzL2Uyb0RvYy54bWxQSwECLQAUAAYACAAAACEAesyEgN8AAAAKAQAADwAAAAAAAAAA&#10;AAAAAADjAwAAZHJzL2Rvd25yZXYueG1sUEsFBgAAAAAEAAQA8wAAAO8EAAAAAA==&#10;" filled="f" stroked="f">
              <v:textbox inset="0,0,0,0">
                <w:txbxContent>
                  <w:p w14:paraId="3EB539DC" w14:textId="77777777" w:rsidR="0049251D" w:rsidRDefault="00000000">
                    <w:pPr>
                      <w:spacing w:line="225" w:lineRule="exact"/>
                      <w:ind w:left="20"/>
                      <w:rPr>
                        <w:rFonts w:ascii="Calibri" w:hint="eastAsia"/>
                        <w:sz w:val="18"/>
                        <w:lang w:val="en-US"/>
                      </w:rPr>
                    </w:pPr>
                    <w:r>
                      <w:rPr>
                        <w:sz w:val="18"/>
                      </w:rPr>
                      <w:t>证券代码：</w:t>
                    </w:r>
                    <w:r>
                      <w:rPr>
                        <w:rFonts w:hint="eastAsia"/>
                        <w:sz w:val="18"/>
                        <w:lang w:val="en-US"/>
                      </w:rPr>
                      <w:t>605338</w:t>
                    </w:r>
                  </w:p>
                </w:txbxContent>
              </v:textbox>
              <w10:wrap anchorx="page" anchory="page"/>
            </v:shape>
          </w:pict>
        </mc:Fallback>
      </mc:AlternateContent>
    </w:r>
    <w:r>
      <w:rPr>
        <w:noProof/>
        <w:lang w:val="en-US" w:bidi="ar-SA"/>
      </w:rPr>
      <mc:AlternateContent>
        <mc:Choice Requires="wps">
          <w:drawing>
            <wp:anchor distT="0" distB="0" distL="114300" distR="114300" simplePos="0" relativeHeight="251661312" behindDoc="1" locked="0" layoutInCell="1" allowOverlap="1" wp14:anchorId="54A49C87" wp14:editId="4A15BB0A">
              <wp:simplePos x="0" y="0"/>
              <wp:positionH relativeFrom="page">
                <wp:posOffset>5367655</wp:posOffset>
              </wp:positionH>
              <wp:positionV relativeFrom="page">
                <wp:posOffset>544195</wp:posOffset>
              </wp:positionV>
              <wp:extent cx="1054100" cy="1397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054100" cy="139700"/>
                      </a:xfrm>
                      <a:prstGeom prst="rect">
                        <a:avLst/>
                      </a:prstGeom>
                      <a:noFill/>
                      <a:ln>
                        <a:noFill/>
                      </a:ln>
                    </wps:spPr>
                    <wps:txbx>
                      <w:txbxContent>
                        <w:p w14:paraId="58502032" w14:textId="77777777" w:rsidR="0049251D" w:rsidRDefault="00000000">
                          <w:pPr>
                            <w:spacing w:line="220" w:lineRule="exact"/>
                            <w:ind w:left="20"/>
                            <w:rPr>
                              <w:rFonts w:hint="eastAsia"/>
                              <w:sz w:val="18"/>
                              <w:lang w:val="en-US"/>
                            </w:rPr>
                          </w:pPr>
                          <w:r>
                            <w:rPr>
                              <w:sz w:val="18"/>
                            </w:rPr>
                            <w:t>证券简称：</w:t>
                          </w:r>
                          <w:r>
                            <w:rPr>
                              <w:rFonts w:hint="eastAsia"/>
                              <w:sz w:val="18"/>
                              <w:lang w:val="en-US"/>
                            </w:rPr>
                            <w:t>巴比食品</w:t>
                          </w:r>
                        </w:p>
                      </w:txbxContent>
                    </wps:txbx>
                    <wps:bodyPr wrap="square" lIns="0" tIns="0" rIns="0" bIns="0" upright="1"/>
                  </wps:wsp>
                </a:graphicData>
              </a:graphic>
            </wp:anchor>
          </w:drawing>
        </mc:Choice>
        <mc:Fallback>
          <w:pict>
            <v:shape w14:anchorId="54A49C87" id="文本框 3" o:spid="_x0000_s1027" type="#_x0000_t202" style="position:absolute;margin-left:422.65pt;margin-top:42.85pt;width:83pt;height:11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2V1iwEAABMDAAAOAAAAZHJzL2Uyb0RvYy54bWysUsFOGzEQvSP1HyzfG29ogbLKBqlCVEgI&#10;kGg/wPHaWUu2xx072c3fMzYkAXpDvYzHM/bze2+8uJq8Y1uNyULo+HzWcKaDgt6Gdcf//L75+oOz&#10;lGXopYOgO77TiV8tv5wsxtjqUxjA9RoZgYTUjrHjQ86xFSKpQXuZZhB1oKYB9DLTFteiRzkSunfi&#10;tGnOxQjYRwSlU6Lq9UuTLyu+MVrlB2OSzsx1nLjlGrHGVYliuZDtGmUcrHqlIT/Bwksb6NED1LXM&#10;km3Q/gPlrUJIYPJMgRdgjFW6aiA18+aDmqdBRl21kDkpHmxK/w9W3W+f4iOyPP2EiQZYDBljahMV&#10;i57JoC8rMWXUJwt3B9v0lJkql5qz7/OGWop682+XF5QTjDjejpjyLw2elaTjSGOpbsntXcovR/dH&#10;ymMBbqxzdTQuvCsQZqmII8WS5Wk1Mdu/ob+CfkeqRhpsx9PfjUTNmbsN5Fz5BfsE98lqn2wi2vVA&#10;HKsT9R1yvop5/SVltG/3lc3xLy+fAQAA//8DAFBLAwQUAAYACAAAACEAzmDZ7N8AAAALAQAADwAA&#10;AGRycy9kb3ducmV2LnhtbEyPwU7DMBBE70j8g7VI3KgdoE0JcaoKwQkJkYYDRyd2E6vxOsRuG/6e&#10;zancZndGs2/zzeR6djJjsB4lJAsBzGDjtcVWwlf1drcGFqJCrXqPRsKvCbAprq9ylWl/xtKcdrFl&#10;VIIhUxK6GIeM89B0xqmw8INB8vZ+dCrSOLZcj+pM5a7n90KsuFMW6UKnBvPSmeawOzoJ228sX+3P&#10;R/1Z7ktbVU8C31cHKW9vpu0zsGimeAnDjE/oUBBT7Y+oA+slrB+XDxQlsUyBzQGRJLSpZ5WmwIuc&#10;//+h+AMAAP//AwBQSwECLQAUAAYACAAAACEAtoM4kv4AAADhAQAAEwAAAAAAAAAAAAAAAAAAAAAA&#10;W0NvbnRlbnRfVHlwZXNdLnhtbFBLAQItABQABgAIAAAAIQA4/SH/1gAAAJQBAAALAAAAAAAAAAAA&#10;AAAAAC8BAABfcmVscy8ucmVsc1BLAQItABQABgAIAAAAIQCpR2V1iwEAABMDAAAOAAAAAAAAAAAA&#10;AAAAAC4CAABkcnMvZTJvRG9jLnhtbFBLAQItABQABgAIAAAAIQDOYNns3wAAAAsBAAAPAAAAAAAA&#10;AAAAAAAAAOUDAABkcnMvZG93bnJldi54bWxQSwUGAAAAAAQABADzAAAA8QQAAAAA&#10;" filled="f" stroked="f">
              <v:textbox inset="0,0,0,0">
                <w:txbxContent>
                  <w:p w14:paraId="58502032" w14:textId="77777777" w:rsidR="0049251D" w:rsidRDefault="00000000">
                    <w:pPr>
                      <w:spacing w:line="220" w:lineRule="exact"/>
                      <w:ind w:left="20"/>
                      <w:rPr>
                        <w:rFonts w:hint="eastAsia"/>
                        <w:sz w:val="18"/>
                        <w:lang w:val="en-US"/>
                      </w:rPr>
                    </w:pPr>
                    <w:r>
                      <w:rPr>
                        <w:sz w:val="18"/>
                      </w:rPr>
                      <w:t>证券简称：</w:t>
                    </w:r>
                    <w:r>
                      <w:rPr>
                        <w:rFonts w:hint="eastAsia"/>
                        <w:sz w:val="18"/>
                        <w:lang w:val="en-US"/>
                      </w:rPr>
                      <w:t>巴比食品</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noPunctuationKerning/>
  <w:characterSpacingControl w:val="doNotCompress"/>
  <w:hdrShapeDefaults>
    <o:shapedefaults v:ext="edit" spidmax="2050"/>
  </w:hdrShapeDefaults>
  <w:footnotePr>
    <w:footnote w:id="-1"/>
    <w:footnote w:id="0"/>
  </w:footnotePr>
  <w:endnotePr>
    <w:endnote w:id="-1"/>
    <w:endnote w:id="0"/>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RhZTEyYzhjYWM5YTdlMTNmOWQwNGQxMzM4ODdkOTkifQ=="/>
  </w:docVars>
  <w:rsids>
    <w:rsidRoot w:val="00ED1AD7"/>
    <w:rsid w:val="00000701"/>
    <w:rsid w:val="00003632"/>
    <w:rsid w:val="0000365E"/>
    <w:rsid w:val="00005D06"/>
    <w:rsid w:val="00010C50"/>
    <w:rsid w:val="00013735"/>
    <w:rsid w:val="0001433E"/>
    <w:rsid w:val="00014F4C"/>
    <w:rsid w:val="0002323F"/>
    <w:rsid w:val="000237CE"/>
    <w:rsid w:val="000259BB"/>
    <w:rsid w:val="00026104"/>
    <w:rsid w:val="0002692C"/>
    <w:rsid w:val="00027C6F"/>
    <w:rsid w:val="00030E6A"/>
    <w:rsid w:val="000319B9"/>
    <w:rsid w:val="000356DC"/>
    <w:rsid w:val="00043F8D"/>
    <w:rsid w:val="000443CB"/>
    <w:rsid w:val="00044630"/>
    <w:rsid w:val="00044B8F"/>
    <w:rsid w:val="000455ED"/>
    <w:rsid w:val="00047C8F"/>
    <w:rsid w:val="00053A46"/>
    <w:rsid w:val="00053B5E"/>
    <w:rsid w:val="0006285C"/>
    <w:rsid w:val="000629D4"/>
    <w:rsid w:val="00063BC8"/>
    <w:rsid w:val="000648B5"/>
    <w:rsid w:val="00066854"/>
    <w:rsid w:val="0006739F"/>
    <w:rsid w:val="0007061A"/>
    <w:rsid w:val="000714B8"/>
    <w:rsid w:val="00072762"/>
    <w:rsid w:val="000729E6"/>
    <w:rsid w:val="00075587"/>
    <w:rsid w:val="000769C2"/>
    <w:rsid w:val="00083625"/>
    <w:rsid w:val="00083E86"/>
    <w:rsid w:val="00086283"/>
    <w:rsid w:val="00092617"/>
    <w:rsid w:val="00097CBF"/>
    <w:rsid w:val="000A10F7"/>
    <w:rsid w:val="000A179C"/>
    <w:rsid w:val="000A1B77"/>
    <w:rsid w:val="000A31DA"/>
    <w:rsid w:val="000A5F3D"/>
    <w:rsid w:val="000B109B"/>
    <w:rsid w:val="000B1BA0"/>
    <w:rsid w:val="000B57E6"/>
    <w:rsid w:val="000B7C12"/>
    <w:rsid w:val="000C35B3"/>
    <w:rsid w:val="000C47A5"/>
    <w:rsid w:val="000C5A02"/>
    <w:rsid w:val="000C7156"/>
    <w:rsid w:val="000D0839"/>
    <w:rsid w:val="000D371A"/>
    <w:rsid w:val="000D478A"/>
    <w:rsid w:val="000D6C40"/>
    <w:rsid w:val="000E231A"/>
    <w:rsid w:val="000E2667"/>
    <w:rsid w:val="000E5940"/>
    <w:rsid w:val="000E60C9"/>
    <w:rsid w:val="000F3486"/>
    <w:rsid w:val="000F7017"/>
    <w:rsid w:val="000F768C"/>
    <w:rsid w:val="00103FCC"/>
    <w:rsid w:val="001100FD"/>
    <w:rsid w:val="00112ED3"/>
    <w:rsid w:val="00113A98"/>
    <w:rsid w:val="00114282"/>
    <w:rsid w:val="001157EF"/>
    <w:rsid w:val="0011639D"/>
    <w:rsid w:val="00116D72"/>
    <w:rsid w:val="001248F5"/>
    <w:rsid w:val="001317B8"/>
    <w:rsid w:val="00133936"/>
    <w:rsid w:val="001377D4"/>
    <w:rsid w:val="00142635"/>
    <w:rsid w:val="001426DF"/>
    <w:rsid w:val="00145C8C"/>
    <w:rsid w:val="00145FA6"/>
    <w:rsid w:val="0014707A"/>
    <w:rsid w:val="0015213C"/>
    <w:rsid w:val="00153BAF"/>
    <w:rsid w:val="00155250"/>
    <w:rsid w:val="00160660"/>
    <w:rsid w:val="00166FA4"/>
    <w:rsid w:val="00167EE7"/>
    <w:rsid w:val="001735F0"/>
    <w:rsid w:val="00177B1B"/>
    <w:rsid w:val="001819B7"/>
    <w:rsid w:val="001824D1"/>
    <w:rsid w:val="00185FAF"/>
    <w:rsid w:val="00186B93"/>
    <w:rsid w:val="00192794"/>
    <w:rsid w:val="001947E6"/>
    <w:rsid w:val="001949BC"/>
    <w:rsid w:val="001A098E"/>
    <w:rsid w:val="001A30D6"/>
    <w:rsid w:val="001A3626"/>
    <w:rsid w:val="001A64F2"/>
    <w:rsid w:val="001B2854"/>
    <w:rsid w:val="001C02E5"/>
    <w:rsid w:val="001C532E"/>
    <w:rsid w:val="001C57D8"/>
    <w:rsid w:val="001C688D"/>
    <w:rsid w:val="001C6E2B"/>
    <w:rsid w:val="001D0A4F"/>
    <w:rsid w:val="001D324C"/>
    <w:rsid w:val="001D79BA"/>
    <w:rsid w:val="001E3009"/>
    <w:rsid w:val="001E53B6"/>
    <w:rsid w:val="001F0D82"/>
    <w:rsid w:val="001F18FB"/>
    <w:rsid w:val="001F1EAF"/>
    <w:rsid w:val="001F2B51"/>
    <w:rsid w:val="001F496C"/>
    <w:rsid w:val="001F656B"/>
    <w:rsid w:val="002029D2"/>
    <w:rsid w:val="00202BB6"/>
    <w:rsid w:val="00206354"/>
    <w:rsid w:val="00210CDC"/>
    <w:rsid w:val="00212838"/>
    <w:rsid w:val="00220241"/>
    <w:rsid w:val="00220263"/>
    <w:rsid w:val="00220DC8"/>
    <w:rsid w:val="00220F3F"/>
    <w:rsid w:val="00221813"/>
    <w:rsid w:val="00221E45"/>
    <w:rsid w:val="00232DD7"/>
    <w:rsid w:val="0023384B"/>
    <w:rsid w:val="00233D73"/>
    <w:rsid w:val="00235190"/>
    <w:rsid w:val="00236C1C"/>
    <w:rsid w:val="00240BEE"/>
    <w:rsid w:val="00241EAD"/>
    <w:rsid w:val="002428EA"/>
    <w:rsid w:val="0024291E"/>
    <w:rsid w:val="00244483"/>
    <w:rsid w:val="00250A85"/>
    <w:rsid w:val="002521EF"/>
    <w:rsid w:val="00265C4A"/>
    <w:rsid w:val="002664C3"/>
    <w:rsid w:val="00271C02"/>
    <w:rsid w:val="00275DC0"/>
    <w:rsid w:val="00275FEE"/>
    <w:rsid w:val="00277C5D"/>
    <w:rsid w:val="0028033D"/>
    <w:rsid w:val="002825E7"/>
    <w:rsid w:val="00282643"/>
    <w:rsid w:val="002901E5"/>
    <w:rsid w:val="002903D6"/>
    <w:rsid w:val="002924E0"/>
    <w:rsid w:val="00292CBE"/>
    <w:rsid w:val="0029458C"/>
    <w:rsid w:val="00296600"/>
    <w:rsid w:val="00296C87"/>
    <w:rsid w:val="002A013E"/>
    <w:rsid w:val="002A0479"/>
    <w:rsid w:val="002A1C6C"/>
    <w:rsid w:val="002B0412"/>
    <w:rsid w:val="002B0D24"/>
    <w:rsid w:val="002B1723"/>
    <w:rsid w:val="002B5383"/>
    <w:rsid w:val="002C0C89"/>
    <w:rsid w:val="002C4F05"/>
    <w:rsid w:val="002C6B10"/>
    <w:rsid w:val="002D2872"/>
    <w:rsid w:val="002D4737"/>
    <w:rsid w:val="002D4FEB"/>
    <w:rsid w:val="002D5640"/>
    <w:rsid w:val="002D56B5"/>
    <w:rsid w:val="002D6F84"/>
    <w:rsid w:val="002E2875"/>
    <w:rsid w:val="002E4372"/>
    <w:rsid w:val="002E5F15"/>
    <w:rsid w:val="002E68AF"/>
    <w:rsid w:val="002F05BA"/>
    <w:rsid w:val="002F5C08"/>
    <w:rsid w:val="002F6A55"/>
    <w:rsid w:val="003031E1"/>
    <w:rsid w:val="003071B0"/>
    <w:rsid w:val="00307D86"/>
    <w:rsid w:val="00312AF9"/>
    <w:rsid w:val="00312E64"/>
    <w:rsid w:val="0031339D"/>
    <w:rsid w:val="00317DA9"/>
    <w:rsid w:val="003216E3"/>
    <w:rsid w:val="0032173C"/>
    <w:rsid w:val="00324FCC"/>
    <w:rsid w:val="00330F2A"/>
    <w:rsid w:val="003360CA"/>
    <w:rsid w:val="0034179B"/>
    <w:rsid w:val="00341B2D"/>
    <w:rsid w:val="00343104"/>
    <w:rsid w:val="00344B49"/>
    <w:rsid w:val="00350497"/>
    <w:rsid w:val="00352714"/>
    <w:rsid w:val="00354E01"/>
    <w:rsid w:val="00356DF9"/>
    <w:rsid w:val="00357136"/>
    <w:rsid w:val="00357228"/>
    <w:rsid w:val="003671FB"/>
    <w:rsid w:val="003676FA"/>
    <w:rsid w:val="00367895"/>
    <w:rsid w:val="00370678"/>
    <w:rsid w:val="00372A9B"/>
    <w:rsid w:val="00372E01"/>
    <w:rsid w:val="00373706"/>
    <w:rsid w:val="00374157"/>
    <w:rsid w:val="003768A9"/>
    <w:rsid w:val="00381B4F"/>
    <w:rsid w:val="003858B5"/>
    <w:rsid w:val="00390296"/>
    <w:rsid w:val="0039211A"/>
    <w:rsid w:val="00393B91"/>
    <w:rsid w:val="00394297"/>
    <w:rsid w:val="0039714C"/>
    <w:rsid w:val="003A2390"/>
    <w:rsid w:val="003A3130"/>
    <w:rsid w:val="003A328E"/>
    <w:rsid w:val="003A3D65"/>
    <w:rsid w:val="003A5458"/>
    <w:rsid w:val="003A7565"/>
    <w:rsid w:val="003A784A"/>
    <w:rsid w:val="003B177A"/>
    <w:rsid w:val="003B4C24"/>
    <w:rsid w:val="003C64CD"/>
    <w:rsid w:val="003C6B33"/>
    <w:rsid w:val="003D299A"/>
    <w:rsid w:val="003D2BD1"/>
    <w:rsid w:val="003E3814"/>
    <w:rsid w:val="003E39C9"/>
    <w:rsid w:val="003E49A0"/>
    <w:rsid w:val="003E5866"/>
    <w:rsid w:val="003F1151"/>
    <w:rsid w:val="003F72C2"/>
    <w:rsid w:val="003F7E25"/>
    <w:rsid w:val="004013FE"/>
    <w:rsid w:val="00401A5D"/>
    <w:rsid w:val="00401B88"/>
    <w:rsid w:val="0040652F"/>
    <w:rsid w:val="00406C9F"/>
    <w:rsid w:val="00407B75"/>
    <w:rsid w:val="004118C7"/>
    <w:rsid w:val="00411DAF"/>
    <w:rsid w:val="00416528"/>
    <w:rsid w:val="004165AD"/>
    <w:rsid w:val="00417E1F"/>
    <w:rsid w:val="0042286D"/>
    <w:rsid w:val="00424081"/>
    <w:rsid w:val="004242A7"/>
    <w:rsid w:val="004262A4"/>
    <w:rsid w:val="004326C4"/>
    <w:rsid w:val="00433E95"/>
    <w:rsid w:val="00433ED1"/>
    <w:rsid w:val="004351BA"/>
    <w:rsid w:val="00440AB1"/>
    <w:rsid w:val="00441CA7"/>
    <w:rsid w:val="00443560"/>
    <w:rsid w:val="00444AFC"/>
    <w:rsid w:val="00445B79"/>
    <w:rsid w:val="004466AB"/>
    <w:rsid w:val="00446FD6"/>
    <w:rsid w:val="0045072A"/>
    <w:rsid w:val="00454A0F"/>
    <w:rsid w:val="00460FF3"/>
    <w:rsid w:val="00461118"/>
    <w:rsid w:val="00464DAC"/>
    <w:rsid w:val="00465E7F"/>
    <w:rsid w:val="00470C00"/>
    <w:rsid w:val="004776E9"/>
    <w:rsid w:val="0047795D"/>
    <w:rsid w:val="00480EF7"/>
    <w:rsid w:val="00483405"/>
    <w:rsid w:val="00483D86"/>
    <w:rsid w:val="00490F49"/>
    <w:rsid w:val="0049251D"/>
    <w:rsid w:val="0049301A"/>
    <w:rsid w:val="00496640"/>
    <w:rsid w:val="004A26D8"/>
    <w:rsid w:val="004A32E7"/>
    <w:rsid w:val="004A3F4D"/>
    <w:rsid w:val="004A7825"/>
    <w:rsid w:val="004B0442"/>
    <w:rsid w:val="004B18F3"/>
    <w:rsid w:val="004B205C"/>
    <w:rsid w:val="004C0CDE"/>
    <w:rsid w:val="004C3990"/>
    <w:rsid w:val="004C5EE7"/>
    <w:rsid w:val="004C67DE"/>
    <w:rsid w:val="004D240F"/>
    <w:rsid w:val="004D2803"/>
    <w:rsid w:val="004D29CC"/>
    <w:rsid w:val="004D622C"/>
    <w:rsid w:val="004D6F9B"/>
    <w:rsid w:val="004D73AA"/>
    <w:rsid w:val="004D74AC"/>
    <w:rsid w:val="004D7786"/>
    <w:rsid w:val="004E0C13"/>
    <w:rsid w:val="004E2861"/>
    <w:rsid w:val="004E295F"/>
    <w:rsid w:val="004E52D7"/>
    <w:rsid w:val="004E6159"/>
    <w:rsid w:val="004F065E"/>
    <w:rsid w:val="004F0D3D"/>
    <w:rsid w:val="004F21EA"/>
    <w:rsid w:val="004F22E8"/>
    <w:rsid w:val="004F5734"/>
    <w:rsid w:val="00500AED"/>
    <w:rsid w:val="00502351"/>
    <w:rsid w:val="00503CEE"/>
    <w:rsid w:val="0050761A"/>
    <w:rsid w:val="005077B7"/>
    <w:rsid w:val="00507C00"/>
    <w:rsid w:val="00510FA4"/>
    <w:rsid w:val="0051152A"/>
    <w:rsid w:val="00512DD7"/>
    <w:rsid w:val="00514905"/>
    <w:rsid w:val="005160AB"/>
    <w:rsid w:val="005172BD"/>
    <w:rsid w:val="00522A3F"/>
    <w:rsid w:val="00522EA5"/>
    <w:rsid w:val="005253BD"/>
    <w:rsid w:val="005256DE"/>
    <w:rsid w:val="00526DBB"/>
    <w:rsid w:val="00530E83"/>
    <w:rsid w:val="00532161"/>
    <w:rsid w:val="00534248"/>
    <w:rsid w:val="00536237"/>
    <w:rsid w:val="0053692E"/>
    <w:rsid w:val="00537D1A"/>
    <w:rsid w:val="00537EB4"/>
    <w:rsid w:val="00540B9E"/>
    <w:rsid w:val="00542140"/>
    <w:rsid w:val="00542CA0"/>
    <w:rsid w:val="0054583D"/>
    <w:rsid w:val="0054660F"/>
    <w:rsid w:val="00547AB0"/>
    <w:rsid w:val="00557909"/>
    <w:rsid w:val="00557D3C"/>
    <w:rsid w:val="00560309"/>
    <w:rsid w:val="00564041"/>
    <w:rsid w:val="00564281"/>
    <w:rsid w:val="00564E0A"/>
    <w:rsid w:val="00565A34"/>
    <w:rsid w:val="00567FC9"/>
    <w:rsid w:val="00570CA7"/>
    <w:rsid w:val="00571174"/>
    <w:rsid w:val="00572AC1"/>
    <w:rsid w:val="005748CB"/>
    <w:rsid w:val="0057550F"/>
    <w:rsid w:val="005757F1"/>
    <w:rsid w:val="005758C8"/>
    <w:rsid w:val="005760CB"/>
    <w:rsid w:val="00577CF3"/>
    <w:rsid w:val="005817F7"/>
    <w:rsid w:val="005852D0"/>
    <w:rsid w:val="00586CBB"/>
    <w:rsid w:val="005900B8"/>
    <w:rsid w:val="00590D2B"/>
    <w:rsid w:val="00595A80"/>
    <w:rsid w:val="00595B52"/>
    <w:rsid w:val="00597B1D"/>
    <w:rsid w:val="005A1445"/>
    <w:rsid w:val="005A2CA4"/>
    <w:rsid w:val="005A3D38"/>
    <w:rsid w:val="005A49FF"/>
    <w:rsid w:val="005A5968"/>
    <w:rsid w:val="005A5BB0"/>
    <w:rsid w:val="005A5DA5"/>
    <w:rsid w:val="005B0079"/>
    <w:rsid w:val="005B01C0"/>
    <w:rsid w:val="005B42DC"/>
    <w:rsid w:val="005C1108"/>
    <w:rsid w:val="005C1565"/>
    <w:rsid w:val="005C392F"/>
    <w:rsid w:val="005C5BCA"/>
    <w:rsid w:val="005C7F72"/>
    <w:rsid w:val="005D321A"/>
    <w:rsid w:val="005E6D43"/>
    <w:rsid w:val="005E7977"/>
    <w:rsid w:val="005F6B00"/>
    <w:rsid w:val="00601163"/>
    <w:rsid w:val="00605F89"/>
    <w:rsid w:val="00610B1D"/>
    <w:rsid w:val="00612137"/>
    <w:rsid w:val="006129E0"/>
    <w:rsid w:val="006139D9"/>
    <w:rsid w:val="00613B36"/>
    <w:rsid w:val="00616950"/>
    <w:rsid w:val="00616A39"/>
    <w:rsid w:val="00617AC9"/>
    <w:rsid w:val="0062652C"/>
    <w:rsid w:val="00626F29"/>
    <w:rsid w:val="00627011"/>
    <w:rsid w:val="006277CC"/>
    <w:rsid w:val="00632DC1"/>
    <w:rsid w:val="006376B5"/>
    <w:rsid w:val="0064260C"/>
    <w:rsid w:val="006428F5"/>
    <w:rsid w:val="006434B4"/>
    <w:rsid w:val="006453E5"/>
    <w:rsid w:val="00650B03"/>
    <w:rsid w:val="00651B36"/>
    <w:rsid w:val="00652956"/>
    <w:rsid w:val="006549E9"/>
    <w:rsid w:val="00660F92"/>
    <w:rsid w:val="0066214A"/>
    <w:rsid w:val="00664C9A"/>
    <w:rsid w:val="00671012"/>
    <w:rsid w:val="006717AF"/>
    <w:rsid w:val="00672E4A"/>
    <w:rsid w:val="0067300A"/>
    <w:rsid w:val="00675BDE"/>
    <w:rsid w:val="006760FD"/>
    <w:rsid w:val="00676209"/>
    <w:rsid w:val="00676BE9"/>
    <w:rsid w:val="006841EA"/>
    <w:rsid w:val="006847F5"/>
    <w:rsid w:val="00685139"/>
    <w:rsid w:val="0068554D"/>
    <w:rsid w:val="00685866"/>
    <w:rsid w:val="006916D1"/>
    <w:rsid w:val="00695E67"/>
    <w:rsid w:val="006978A9"/>
    <w:rsid w:val="006A0B97"/>
    <w:rsid w:val="006B1EF7"/>
    <w:rsid w:val="006B4FBE"/>
    <w:rsid w:val="006B5BA1"/>
    <w:rsid w:val="006B5F48"/>
    <w:rsid w:val="006B767D"/>
    <w:rsid w:val="006C342B"/>
    <w:rsid w:val="006C3E6B"/>
    <w:rsid w:val="006C415E"/>
    <w:rsid w:val="006C6EF9"/>
    <w:rsid w:val="006D2EF9"/>
    <w:rsid w:val="006D419C"/>
    <w:rsid w:val="006D4293"/>
    <w:rsid w:val="006D5F3F"/>
    <w:rsid w:val="006D62C1"/>
    <w:rsid w:val="006E0FF9"/>
    <w:rsid w:val="006E7270"/>
    <w:rsid w:val="006F1D2B"/>
    <w:rsid w:val="006F31C5"/>
    <w:rsid w:val="006F35CB"/>
    <w:rsid w:val="006F77EB"/>
    <w:rsid w:val="007022B3"/>
    <w:rsid w:val="00703A20"/>
    <w:rsid w:val="00710678"/>
    <w:rsid w:val="00713D42"/>
    <w:rsid w:val="00715C5E"/>
    <w:rsid w:val="007160A9"/>
    <w:rsid w:val="0072032C"/>
    <w:rsid w:val="007228BE"/>
    <w:rsid w:val="00724FA4"/>
    <w:rsid w:val="0072652B"/>
    <w:rsid w:val="00730CF7"/>
    <w:rsid w:val="007337D6"/>
    <w:rsid w:val="0073517D"/>
    <w:rsid w:val="00735807"/>
    <w:rsid w:val="00740187"/>
    <w:rsid w:val="0074027F"/>
    <w:rsid w:val="0074241E"/>
    <w:rsid w:val="007430F4"/>
    <w:rsid w:val="007446B7"/>
    <w:rsid w:val="00745B2C"/>
    <w:rsid w:val="00747E4B"/>
    <w:rsid w:val="0075398A"/>
    <w:rsid w:val="00754D26"/>
    <w:rsid w:val="00754F8F"/>
    <w:rsid w:val="00764F04"/>
    <w:rsid w:val="00765AA6"/>
    <w:rsid w:val="00770184"/>
    <w:rsid w:val="00770796"/>
    <w:rsid w:val="00770C6F"/>
    <w:rsid w:val="00770DBB"/>
    <w:rsid w:val="00770F64"/>
    <w:rsid w:val="00771955"/>
    <w:rsid w:val="0077286F"/>
    <w:rsid w:val="00773D23"/>
    <w:rsid w:val="00776425"/>
    <w:rsid w:val="00780A68"/>
    <w:rsid w:val="00780D33"/>
    <w:rsid w:val="0078116F"/>
    <w:rsid w:val="0078262B"/>
    <w:rsid w:val="00782E96"/>
    <w:rsid w:val="00785781"/>
    <w:rsid w:val="00785B2E"/>
    <w:rsid w:val="00790FA7"/>
    <w:rsid w:val="00791678"/>
    <w:rsid w:val="00791D3B"/>
    <w:rsid w:val="0079495B"/>
    <w:rsid w:val="0079659A"/>
    <w:rsid w:val="00797D20"/>
    <w:rsid w:val="007A0915"/>
    <w:rsid w:val="007A1B70"/>
    <w:rsid w:val="007A20B5"/>
    <w:rsid w:val="007B065B"/>
    <w:rsid w:val="007C3F61"/>
    <w:rsid w:val="007C405F"/>
    <w:rsid w:val="007C7CE1"/>
    <w:rsid w:val="007D01EA"/>
    <w:rsid w:val="007D1047"/>
    <w:rsid w:val="007D1214"/>
    <w:rsid w:val="007D3BED"/>
    <w:rsid w:val="007D41C8"/>
    <w:rsid w:val="007D6A53"/>
    <w:rsid w:val="007E3C3B"/>
    <w:rsid w:val="007E6FC2"/>
    <w:rsid w:val="007E7430"/>
    <w:rsid w:val="007E78FA"/>
    <w:rsid w:val="007E795C"/>
    <w:rsid w:val="007F38AD"/>
    <w:rsid w:val="007F4F7B"/>
    <w:rsid w:val="007F7D19"/>
    <w:rsid w:val="008026CD"/>
    <w:rsid w:val="00802B1F"/>
    <w:rsid w:val="008031DD"/>
    <w:rsid w:val="00803EF9"/>
    <w:rsid w:val="00805B05"/>
    <w:rsid w:val="00806747"/>
    <w:rsid w:val="008069BF"/>
    <w:rsid w:val="008106DD"/>
    <w:rsid w:val="008116D4"/>
    <w:rsid w:val="00811C25"/>
    <w:rsid w:val="00812A6C"/>
    <w:rsid w:val="008137B4"/>
    <w:rsid w:val="00814113"/>
    <w:rsid w:val="008204CB"/>
    <w:rsid w:val="00826FC1"/>
    <w:rsid w:val="00832BF2"/>
    <w:rsid w:val="00836793"/>
    <w:rsid w:val="008367F0"/>
    <w:rsid w:val="00837B0B"/>
    <w:rsid w:val="00843A96"/>
    <w:rsid w:val="008473D0"/>
    <w:rsid w:val="0085005C"/>
    <w:rsid w:val="0085193B"/>
    <w:rsid w:val="0085196A"/>
    <w:rsid w:val="00852489"/>
    <w:rsid w:val="008527CA"/>
    <w:rsid w:val="008532BB"/>
    <w:rsid w:val="00853BAB"/>
    <w:rsid w:val="008543C6"/>
    <w:rsid w:val="00854C28"/>
    <w:rsid w:val="00856041"/>
    <w:rsid w:val="008575F7"/>
    <w:rsid w:val="0086646C"/>
    <w:rsid w:val="00872D19"/>
    <w:rsid w:val="0087566D"/>
    <w:rsid w:val="00882B05"/>
    <w:rsid w:val="008850C0"/>
    <w:rsid w:val="00885332"/>
    <w:rsid w:val="00886E24"/>
    <w:rsid w:val="00890398"/>
    <w:rsid w:val="008905D6"/>
    <w:rsid w:val="008918B1"/>
    <w:rsid w:val="0089593C"/>
    <w:rsid w:val="008A05A4"/>
    <w:rsid w:val="008A085B"/>
    <w:rsid w:val="008A3673"/>
    <w:rsid w:val="008A3D75"/>
    <w:rsid w:val="008A5ECE"/>
    <w:rsid w:val="008A72E7"/>
    <w:rsid w:val="008B128A"/>
    <w:rsid w:val="008B30BC"/>
    <w:rsid w:val="008B333D"/>
    <w:rsid w:val="008B47B9"/>
    <w:rsid w:val="008B5AF4"/>
    <w:rsid w:val="008B6367"/>
    <w:rsid w:val="008B63F3"/>
    <w:rsid w:val="008C37CD"/>
    <w:rsid w:val="008C45DB"/>
    <w:rsid w:val="008D25B5"/>
    <w:rsid w:val="008E168A"/>
    <w:rsid w:val="008E2BB5"/>
    <w:rsid w:val="008E39C1"/>
    <w:rsid w:val="008E7942"/>
    <w:rsid w:val="008F13DB"/>
    <w:rsid w:val="008F2414"/>
    <w:rsid w:val="008F425B"/>
    <w:rsid w:val="00900310"/>
    <w:rsid w:val="0090122D"/>
    <w:rsid w:val="00902084"/>
    <w:rsid w:val="0090241B"/>
    <w:rsid w:val="00903757"/>
    <w:rsid w:val="00905138"/>
    <w:rsid w:val="00905C10"/>
    <w:rsid w:val="00907AC0"/>
    <w:rsid w:val="00910A3A"/>
    <w:rsid w:val="00911DC4"/>
    <w:rsid w:val="00914F55"/>
    <w:rsid w:val="0091678D"/>
    <w:rsid w:val="00916FD4"/>
    <w:rsid w:val="00922E5C"/>
    <w:rsid w:val="00925F76"/>
    <w:rsid w:val="00930DAD"/>
    <w:rsid w:val="00930F24"/>
    <w:rsid w:val="00932EDA"/>
    <w:rsid w:val="009363B2"/>
    <w:rsid w:val="00937DF5"/>
    <w:rsid w:val="00941FE2"/>
    <w:rsid w:val="009430B0"/>
    <w:rsid w:val="009434DC"/>
    <w:rsid w:val="009443EB"/>
    <w:rsid w:val="009456F3"/>
    <w:rsid w:val="00950167"/>
    <w:rsid w:val="009515A8"/>
    <w:rsid w:val="00953241"/>
    <w:rsid w:val="00953B8F"/>
    <w:rsid w:val="00954F5F"/>
    <w:rsid w:val="00957B12"/>
    <w:rsid w:val="00962898"/>
    <w:rsid w:val="009641A6"/>
    <w:rsid w:val="009655D8"/>
    <w:rsid w:val="00970444"/>
    <w:rsid w:val="00972991"/>
    <w:rsid w:val="00973DDB"/>
    <w:rsid w:val="009755C4"/>
    <w:rsid w:val="00981E0B"/>
    <w:rsid w:val="00983920"/>
    <w:rsid w:val="00987B9E"/>
    <w:rsid w:val="00990883"/>
    <w:rsid w:val="009911A7"/>
    <w:rsid w:val="0099292D"/>
    <w:rsid w:val="00992C9F"/>
    <w:rsid w:val="00992D96"/>
    <w:rsid w:val="00995141"/>
    <w:rsid w:val="00995177"/>
    <w:rsid w:val="00995558"/>
    <w:rsid w:val="009A07C9"/>
    <w:rsid w:val="009A0F42"/>
    <w:rsid w:val="009A51A4"/>
    <w:rsid w:val="009A7957"/>
    <w:rsid w:val="009B196C"/>
    <w:rsid w:val="009C022D"/>
    <w:rsid w:val="009C1286"/>
    <w:rsid w:val="009C4AB4"/>
    <w:rsid w:val="009C50C2"/>
    <w:rsid w:val="009C5ED4"/>
    <w:rsid w:val="009C6296"/>
    <w:rsid w:val="009C7AA7"/>
    <w:rsid w:val="009D1090"/>
    <w:rsid w:val="009D1B50"/>
    <w:rsid w:val="009D2319"/>
    <w:rsid w:val="009D6838"/>
    <w:rsid w:val="009D7033"/>
    <w:rsid w:val="009D71D7"/>
    <w:rsid w:val="009D7358"/>
    <w:rsid w:val="009D7875"/>
    <w:rsid w:val="009E134F"/>
    <w:rsid w:val="009E6DC0"/>
    <w:rsid w:val="009F1E1E"/>
    <w:rsid w:val="009F25F0"/>
    <w:rsid w:val="009F294E"/>
    <w:rsid w:val="009F5A31"/>
    <w:rsid w:val="009F66C0"/>
    <w:rsid w:val="00A00359"/>
    <w:rsid w:val="00A01213"/>
    <w:rsid w:val="00A017A2"/>
    <w:rsid w:val="00A03161"/>
    <w:rsid w:val="00A03C52"/>
    <w:rsid w:val="00A07308"/>
    <w:rsid w:val="00A12648"/>
    <w:rsid w:val="00A1269E"/>
    <w:rsid w:val="00A12E47"/>
    <w:rsid w:val="00A143EB"/>
    <w:rsid w:val="00A16F18"/>
    <w:rsid w:val="00A17D2A"/>
    <w:rsid w:val="00A2014B"/>
    <w:rsid w:val="00A206CD"/>
    <w:rsid w:val="00A225AF"/>
    <w:rsid w:val="00A22C62"/>
    <w:rsid w:val="00A24183"/>
    <w:rsid w:val="00A25FAF"/>
    <w:rsid w:val="00A318AA"/>
    <w:rsid w:val="00A31924"/>
    <w:rsid w:val="00A31DB3"/>
    <w:rsid w:val="00A3573A"/>
    <w:rsid w:val="00A36B83"/>
    <w:rsid w:val="00A42757"/>
    <w:rsid w:val="00A45B4A"/>
    <w:rsid w:val="00A477FF"/>
    <w:rsid w:val="00A52302"/>
    <w:rsid w:val="00A52BBB"/>
    <w:rsid w:val="00A52CCA"/>
    <w:rsid w:val="00A546BE"/>
    <w:rsid w:val="00A54F6F"/>
    <w:rsid w:val="00A616A2"/>
    <w:rsid w:val="00A6177E"/>
    <w:rsid w:val="00A668E8"/>
    <w:rsid w:val="00A70E7B"/>
    <w:rsid w:val="00A71705"/>
    <w:rsid w:val="00A717E5"/>
    <w:rsid w:val="00A73C25"/>
    <w:rsid w:val="00A7726E"/>
    <w:rsid w:val="00A77FA9"/>
    <w:rsid w:val="00A83177"/>
    <w:rsid w:val="00A862F3"/>
    <w:rsid w:val="00A920D7"/>
    <w:rsid w:val="00A93129"/>
    <w:rsid w:val="00A93466"/>
    <w:rsid w:val="00A955E7"/>
    <w:rsid w:val="00AA2109"/>
    <w:rsid w:val="00AA4538"/>
    <w:rsid w:val="00AA5CAD"/>
    <w:rsid w:val="00AA6174"/>
    <w:rsid w:val="00AB03C4"/>
    <w:rsid w:val="00AB405C"/>
    <w:rsid w:val="00AB594F"/>
    <w:rsid w:val="00AB5C41"/>
    <w:rsid w:val="00AC0429"/>
    <w:rsid w:val="00AC3536"/>
    <w:rsid w:val="00AC436E"/>
    <w:rsid w:val="00AC47CB"/>
    <w:rsid w:val="00AC4A77"/>
    <w:rsid w:val="00AC6719"/>
    <w:rsid w:val="00AD4F51"/>
    <w:rsid w:val="00AD5CCB"/>
    <w:rsid w:val="00AE24AF"/>
    <w:rsid w:val="00AE3BA2"/>
    <w:rsid w:val="00AE41BE"/>
    <w:rsid w:val="00AE5CB9"/>
    <w:rsid w:val="00AE759E"/>
    <w:rsid w:val="00AF050C"/>
    <w:rsid w:val="00AF5078"/>
    <w:rsid w:val="00AF5361"/>
    <w:rsid w:val="00AF66EE"/>
    <w:rsid w:val="00AF6A0B"/>
    <w:rsid w:val="00B00D3F"/>
    <w:rsid w:val="00B01AA2"/>
    <w:rsid w:val="00B02B0F"/>
    <w:rsid w:val="00B052DB"/>
    <w:rsid w:val="00B062B0"/>
    <w:rsid w:val="00B06F5F"/>
    <w:rsid w:val="00B07320"/>
    <w:rsid w:val="00B07935"/>
    <w:rsid w:val="00B07CCB"/>
    <w:rsid w:val="00B148FB"/>
    <w:rsid w:val="00B14C10"/>
    <w:rsid w:val="00B16715"/>
    <w:rsid w:val="00B16F67"/>
    <w:rsid w:val="00B20261"/>
    <w:rsid w:val="00B20979"/>
    <w:rsid w:val="00B224EB"/>
    <w:rsid w:val="00B23AA0"/>
    <w:rsid w:val="00B243A7"/>
    <w:rsid w:val="00B24FCD"/>
    <w:rsid w:val="00B25152"/>
    <w:rsid w:val="00B2718D"/>
    <w:rsid w:val="00B27C82"/>
    <w:rsid w:val="00B3028A"/>
    <w:rsid w:val="00B3406C"/>
    <w:rsid w:val="00B36610"/>
    <w:rsid w:val="00B37D2E"/>
    <w:rsid w:val="00B42E98"/>
    <w:rsid w:val="00B4309B"/>
    <w:rsid w:val="00B440AE"/>
    <w:rsid w:val="00B5136E"/>
    <w:rsid w:val="00B51A89"/>
    <w:rsid w:val="00B53226"/>
    <w:rsid w:val="00B5448D"/>
    <w:rsid w:val="00B555B0"/>
    <w:rsid w:val="00B55B51"/>
    <w:rsid w:val="00B567A1"/>
    <w:rsid w:val="00B57C04"/>
    <w:rsid w:val="00B602C1"/>
    <w:rsid w:val="00B64663"/>
    <w:rsid w:val="00B65617"/>
    <w:rsid w:val="00B6651A"/>
    <w:rsid w:val="00B7120E"/>
    <w:rsid w:val="00B72181"/>
    <w:rsid w:val="00B7407C"/>
    <w:rsid w:val="00B744D4"/>
    <w:rsid w:val="00B81046"/>
    <w:rsid w:val="00B8355D"/>
    <w:rsid w:val="00B87E5F"/>
    <w:rsid w:val="00B91217"/>
    <w:rsid w:val="00B93F3B"/>
    <w:rsid w:val="00BA2A77"/>
    <w:rsid w:val="00BA2C39"/>
    <w:rsid w:val="00BA5456"/>
    <w:rsid w:val="00BA66D2"/>
    <w:rsid w:val="00BB123A"/>
    <w:rsid w:val="00BB2991"/>
    <w:rsid w:val="00BB3136"/>
    <w:rsid w:val="00BB3F22"/>
    <w:rsid w:val="00BB4C19"/>
    <w:rsid w:val="00BB7813"/>
    <w:rsid w:val="00BB7902"/>
    <w:rsid w:val="00BC162F"/>
    <w:rsid w:val="00BC3ADE"/>
    <w:rsid w:val="00BC3EF7"/>
    <w:rsid w:val="00BC411E"/>
    <w:rsid w:val="00BC4580"/>
    <w:rsid w:val="00BC64C6"/>
    <w:rsid w:val="00BC736E"/>
    <w:rsid w:val="00BC7EF8"/>
    <w:rsid w:val="00BD0D50"/>
    <w:rsid w:val="00BD1CF9"/>
    <w:rsid w:val="00BE0F99"/>
    <w:rsid w:val="00BE25C7"/>
    <w:rsid w:val="00BE55BE"/>
    <w:rsid w:val="00BE6E0E"/>
    <w:rsid w:val="00BF0064"/>
    <w:rsid w:val="00BF1CAD"/>
    <w:rsid w:val="00BF23B7"/>
    <w:rsid w:val="00C02CC4"/>
    <w:rsid w:val="00C037AF"/>
    <w:rsid w:val="00C06231"/>
    <w:rsid w:val="00C0643E"/>
    <w:rsid w:val="00C066D9"/>
    <w:rsid w:val="00C10A6C"/>
    <w:rsid w:val="00C12449"/>
    <w:rsid w:val="00C125EF"/>
    <w:rsid w:val="00C17B5B"/>
    <w:rsid w:val="00C17D13"/>
    <w:rsid w:val="00C202CF"/>
    <w:rsid w:val="00C23A74"/>
    <w:rsid w:val="00C23E8B"/>
    <w:rsid w:val="00C24ED6"/>
    <w:rsid w:val="00C2765D"/>
    <w:rsid w:val="00C334AE"/>
    <w:rsid w:val="00C34FAD"/>
    <w:rsid w:val="00C41428"/>
    <w:rsid w:val="00C4210F"/>
    <w:rsid w:val="00C42356"/>
    <w:rsid w:val="00C4644D"/>
    <w:rsid w:val="00C46577"/>
    <w:rsid w:val="00C51936"/>
    <w:rsid w:val="00C561AC"/>
    <w:rsid w:val="00C5636D"/>
    <w:rsid w:val="00C571E9"/>
    <w:rsid w:val="00C64769"/>
    <w:rsid w:val="00C672B5"/>
    <w:rsid w:val="00C70603"/>
    <w:rsid w:val="00C708F1"/>
    <w:rsid w:val="00C75CAB"/>
    <w:rsid w:val="00C76568"/>
    <w:rsid w:val="00C76714"/>
    <w:rsid w:val="00C85950"/>
    <w:rsid w:val="00C87BF1"/>
    <w:rsid w:val="00C90F6D"/>
    <w:rsid w:val="00C92163"/>
    <w:rsid w:val="00C92ECF"/>
    <w:rsid w:val="00C92EE6"/>
    <w:rsid w:val="00C9450E"/>
    <w:rsid w:val="00C97BDC"/>
    <w:rsid w:val="00C97C94"/>
    <w:rsid w:val="00CA2995"/>
    <w:rsid w:val="00CA5A96"/>
    <w:rsid w:val="00CA65E4"/>
    <w:rsid w:val="00CA6814"/>
    <w:rsid w:val="00CA6D89"/>
    <w:rsid w:val="00CA7901"/>
    <w:rsid w:val="00CB1E55"/>
    <w:rsid w:val="00CB299E"/>
    <w:rsid w:val="00CB2D95"/>
    <w:rsid w:val="00CB3987"/>
    <w:rsid w:val="00CB53E3"/>
    <w:rsid w:val="00CB5DD6"/>
    <w:rsid w:val="00CB7AAB"/>
    <w:rsid w:val="00CC1CEE"/>
    <w:rsid w:val="00CC3B77"/>
    <w:rsid w:val="00CC5508"/>
    <w:rsid w:val="00CC6DC8"/>
    <w:rsid w:val="00CD0B55"/>
    <w:rsid w:val="00CE0D76"/>
    <w:rsid w:val="00CE712B"/>
    <w:rsid w:val="00CF0EF6"/>
    <w:rsid w:val="00CF53CD"/>
    <w:rsid w:val="00D027A2"/>
    <w:rsid w:val="00D02E1C"/>
    <w:rsid w:val="00D04984"/>
    <w:rsid w:val="00D05907"/>
    <w:rsid w:val="00D07287"/>
    <w:rsid w:val="00D11FD9"/>
    <w:rsid w:val="00D1382C"/>
    <w:rsid w:val="00D1786C"/>
    <w:rsid w:val="00D17F19"/>
    <w:rsid w:val="00D20FEA"/>
    <w:rsid w:val="00D21BE1"/>
    <w:rsid w:val="00D24C3A"/>
    <w:rsid w:val="00D268EB"/>
    <w:rsid w:val="00D27802"/>
    <w:rsid w:val="00D3038D"/>
    <w:rsid w:val="00D34F6F"/>
    <w:rsid w:val="00D42338"/>
    <w:rsid w:val="00D429DB"/>
    <w:rsid w:val="00D460A4"/>
    <w:rsid w:val="00D46B5A"/>
    <w:rsid w:val="00D5033B"/>
    <w:rsid w:val="00D508B7"/>
    <w:rsid w:val="00D52E5B"/>
    <w:rsid w:val="00D56DBD"/>
    <w:rsid w:val="00D571C5"/>
    <w:rsid w:val="00D675CD"/>
    <w:rsid w:val="00D70DF6"/>
    <w:rsid w:val="00D7426B"/>
    <w:rsid w:val="00D7506E"/>
    <w:rsid w:val="00D76DA2"/>
    <w:rsid w:val="00D804EF"/>
    <w:rsid w:val="00D82F76"/>
    <w:rsid w:val="00D84798"/>
    <w:rsid w:val="00D84D8A"/>
    <w:rsid w:val="00D85C7B"/>
    <w:rsid w:val="00D92269"/>
    <w:rsid w:val="00D96200"/>
    <w:rsid w:val="00DA0E82"/>
    <w:rsid w:val="00DA3B8D"/>
    <w:rsid w:val="00DA50F2"/>
    <w:rsid w:val="00DA5777"/>
    <w:rsid w:val="00DA732B"/>
    <w:rsid w:val="00DA7E91"/>
    <w:rsid w:val="00DB295D"/>
    <w:rsid w:val="00DB3027"/>
    <w:rsid w:val="00DB43BF"/>
    <w:rsid w:val="00DB4449"/>
    <w:rsid w:val="00DB4E97"/>
    <w:rsid w:val="00DC2348"/>
    <w:rsid w:val="00DC52E8"/>
    <w:rsid w:val="00DD0A84"/>
    <w:rsid w:val="00DD2162"/>
    <w:rsid w:val="00DD39D1"/>
    <w:rsid w:val="00DD4730"/>
    <w:rsid w:val="00DD51B4"/>
    <w:rsid w:val="00DD5447"/>
    <w:rsid w:val="00DD586B"/>
    <w:rsid w:val="00DD5C5B"/>
    <w:rsid w:val="00DE3B90"/>
    <w:rsid w:val="00DE6289"/>
    <w:rsid w:val="00DF367A"/>
    <w:rsid w:val="00DF483E"/>
    <w:rsid w:val="00DF6A5E"/>
    <w:rsid w:val="00DF6D93"/>
    <w:rsid w:val="00E05526"/>
    <w:rsid w:val="00E058FD"/>
    <w:rsid w:val="00E1523B"/>
    <w:rsid w:val="00E153A1"/>
    <w:rsid w:val="00E175AC"/>
    <w:rsid w:val="00E17FBC"/>
    <w:rsid w:val="00E26C1C"/>
    <w:rsid w:val="00E27204"/>
    <w:rsid w:val="00E31477"/>
    <w:rsid w:val="00E377B3"/>
    <w:rsid w:val="00E3788F"/>
    <w:rsid w:val="00E41EB5"/>
    <w:rsid w:val="00E425D3"/>
    <w:rsid w:val="00E42767"/>
    <w:rsid w:val="00E468C9"/>
    <w:rsid w:val="00E4787D"/>
    <w:rsid w:val="00E5039F"/>
    <w:rsid w:val="00E5089E"/>
    <w:rsid w:val="00E514EE"/>
    <w:rsid w:val="00E5691C"/>
    <w:rsid w:val="00E6207C"/>
    <w:rsid w:val="00E64723"/>
    <w:rsid w:val="00E6697F"/>
    <w:rsid w:val="00E713EE"/>
    <w:rsid w:val="00E72131"/>
    <w:rsid w:val="00E75C9D"/>
    <w:rsid w:val="00E7613E"/>
    <w:rsid w:val="00E949F4"/>
    <w:rsid w:val="00E97ABD"/>
    <w:rsid w:val="00EA54A3"/>
    <w:rsid w:val="00EB2602"/>
    <w:rsid w:val="00EB76F4"/>
    <w:rsid w:val="00EC0734"/>
    <w:rsid w:val="00EC43BA"/>
    <w:rsid w:val="00EC4C63"/>
    <w:rsid w:val="00EC4D05"/>
    <w:rsid w:val="00EC520A"/>
    <w:rsid w:val="00EC53A7"/>
    <w:rsid w:val="00EC54E1"/>
    <w:rsid w:val="00EC5578"/>
    <w:rsid w:val="00ED0978"/>
    <w:rsid w:val="00ED18B9"/>
    <w:rsid w:val="00ED1AD7"/>
    <w:rsid w:val="00ED4546"/>
    <w:rsid w:val="00ED4E2E"/>
    <w:rsid w:val="00ED5B8D"/>
    <w:rsid w:val="00EE0CC0"/>
    <w:rsid w:val="00EE1BFE"/>
    <w:rsid w:val="00EE35E2"/>
    <w:rsid w:val="00EE4C46"/>
    <w:rsid w:val="00EE51E7"/>
    <w:rsid w:val="00EE7E6A"/>
    <w:rsid w:val="00EF1124"/>
    <w:rsid w:val="00EF11C3"/>
    <w:rsid w:val="00EF1765"/>
    <w:rsid w:val="00EF240D"/>
    <w:rsid w:val="00EF33C8"/>
    <w:rsid w:val="00F00D79"/>
    <w:rsid w:val="00F02E9B"/>
    <w:rsid w:val="00F03333"/>
    <w:rsid w:val="00F056AF"/>
    <w:rsid w:val="00F115A2"/>
    <w:rsid w:val="00F16F0E"/>
    <w:rsid w:val="00F250A1"/>
    <w:rsid w:val="00F25F58"/>
    <w:rsid w:val="00F35E3B"/>
    <w:rsid w:val="00F37FF5"/>
    <w:rsid w:val="00F40315"/>
    <w:rsid w:val="00F465C4"/>
    <w:rsid w:val="00F465D4"/>
    <w:rsid w:val="00F46D4B"/>
    <w:rsid w:val="00F46F32"/>
    <w:rsid w:val="00F52FC6"/>
    <w:rsid w:val="00F574D6"/>
    <w:rsid w:val="00F627DD"/>
    <w:rsid w:val="00F67D4C"/>
    <w:rsid w:val="00F71E6A"/>
    <w:rsid w:val="00F72EA7"/>
    <w:rsid w:val="00F81C7A"/>
    <w:rsid w:val="00F83618"/>
    <w:rsid w:val="00F86897"/>
    <w:rsid w:val="00F966E7"/>
    <w:rsid w:val="00FA2557"/>
    <w:rsid w:val="00FA71D3"/>
    <w:rsid w:val="00FA7365"/>
    <w:rsid w:val="00FA7721"/>
    <w:rsid w:val="00FA7C47"/>
    <w:rsid w:val="00FB396B"/>
    <w:rsid w:val="00FC04FB"/>
    <w:rsid w:val="00FC3B00"/>
    <w:rsid w:val="00FC67C4"/>
    <w:rsid w:val="00FC6DA5"/>
    <w:rsid w:val="00FD110A"/>
    <w:rsid w:val="00FD5248"/>
    <w:rsid w:val="00FE0330"/>
    <w:rsid w:val="00FE36BF"/>
    <w:rsid w:val="00FE5BEC"/>
    <w:rsid w:val="010811C4"/>
    <w:rsid w:val="01510A39"/>
    <w:rsid w:val="02584601"/>
    <w:rsid w:val="03016292"/>
    <w:rsid w:val="033365C7"/>
    <w:rsid w:val="045556A5"/>
    <w:rsid w:val="058034D0"/>
    <w:rsid w:val="05E03D0C"/>
    <w:rsid w:val="061E4834"/>
    <w:rsid w:val="066071A5"/>
    <w:rsid w:val="06E0050D"/>
    <w:rsid w:val="07A1396F"/>
    <w:rsid w:val="08935065"/>
    <w:rsid w:val="09B5725D"/>
    <w:rsid w:val="0A542A00"/>
    <w:rsid w:val="0AAC240E"/>
    <w:rsid w:val="0ACD4845"/>
    <w:rsid w:val="0B2467B8"/>
    <w:rsid w:val="0B3D39AE"/>
    <w:rsid w:val="0B576AE7"/>
    <w:rsid w:val="0B7F7B23"/>
    <w:rsid w:val="0BF24799"/>
    <w:rsid w:val="0C22579E"/>
    <w:rsid w:val="0C384CD2"/>
    <w:rsid w:val="0E9F3E75"/>
    <w:rsid w:val="0F0232AF"/>
    <w:rsid w:val="0F24110D"/>
    <w:rsid w:val="0F7D4857"/>
    <w:rsid w:val="0F9A1D90"/>
    <w:rsid w:val="0FAC24A5"/>
    <w:rsid w:val="10090303"/>
    <w:rsid w:val="1111121D"/>
    <w:rsid w:val="11280D37"/>
    <w:rsid w:val="114A2A50"/>
    <w:rsid w:val="121E62E8"/>
    <w:rsid w:val="122D5442"/>
    <w:rsid w:val="123A29F6"/>
    <w:rsid w:val="12EF3DD6"/>
    <w:rsid w:val="136441CE"/>
    <w:rsid w:val="137268BD"/>
    <w:rsid w:val="13726DF1"/>
    <w:rsid w:val="13D6541C"/>
    <w:rsid w:val="144B7D94"/>
    <w:rsid w:val="147E12BF"/>
    <w:rsid w:val="14EE3058"/>
    <w:rsid w:val="150D619F"/>
    <w:rsid w:val="15177F3A"/>
    <w:rsid w:val="152F25BA"/>
    <w:rsid w:val="155A0EF0"/>
    <w:rsid w:val="155E69FB"/>
    <w:rsid w:val="16041BC7"/>
    <w:rsid w:val="1629525B"/>
    <w:rsid w:val="1744303C"/>
    <w:rsid w:val="17C23271"/>
    <w:rsid w:val="17F56EDE"/>
    <w:rsid w:val="18BA0A37"/>
    <w:rsid w:val="18E611E1"/>
    <w:rsid w:val="18E9774D"/>
    <w:rsid w:val="1912647A"/>
    <w:rsid w:val="191F1353"/>
    <w:rsid w:val="191F54EE"/>
    <w:rsid w:val="197145CE"/>
    <w:rsid w:val="19AC2F5A"/>
    <w:rsid w:val="1A0C09A3"/>
    <w:rsid w:val="1A0C111B"/>
    <w:rsid w:val="1A1A47D1"/>
    <w:rsid w:val="1A522E26"/>
    <w:rsid w:val="1AF416CC"/>
    <w:rsid w:val="1BBC26CD"/>
    <w:rsid w:val="1BC97744"/>
    <w:rsid w:val="1BCD6AE7"/>
    <w:rsid w:val="1C182135"/>
    <w:rsid w:val="1C2D2A5D"/>
    <w:rsid w:val="1CA46214"/>
    <w:rsid w:val="1CFC0FD3"/>
    <w:rsid w:val="1D0B56BA"/>
    <w:rsid w:val="1DFF5310"/>
    <w:rsid w:val="1E2B5570"/>
    <w:rsid w:val="1E2F362A"/>
    <w:rsid w:val="1F15637C"/>
    <w:rsid w:val="1F1B761D"/>
    <w:rsid w:val="1F2E287D"/>
    <w:rsid w:val="1F3A483C"/>
    <w:rsid w:val="1F40172B"/>
    <w:rsid w:val="1F930BDA"/>
    <w:rsid w:val="1F9574BD"/>
    <w:rsid w:val="1FA47E80"/>
    <w:rsid w:val="1FA6165C"/>
    <w:rsid w:val="1FE558F6"/>
    <w:rsid w:val="1FE8583F"/>
    <w:rsid w:val="207E43F5"/>
    <w:rsid w:val="2105039F"/>
    <w:rsid w:val="213C22E6"/>
    <w:rsid w:val="21991BAE"/>
    <w:rsid w:val="21A974B5"/>
    <w:rsid w:val="22001566"/>
    <w:rsid w:val="228A72DA"/>
    <w:rsid w:val="22A53EBB"/>
    <w:rsid w:val="238B4E5F"/>
    <w:rsid w:val="23C465C3"/>
    <w:rsid w:val="23F25A09"/>
    <w:rsid w:val="246A53BC"/>
    <w:rsid w:val="247578DE"/>
    <w:rsid w:val="247E6772"/>
    <w:rsid w:val="25DC7BF4"/>
    <w:rsid w:val="25FA69A3"/>
    <w:rsid w:val="262B2929"/>
    <w:rsid w:val="26A02529"/>
    <w:rsid w:val="26B506EE"/>
    <w:rsid w:val="273D2914"/>
    <w:rsid w:val="27A25D8E"/>
    <w:rsid w:val="27D52B4D"/>
    <w:rsid w:val="27EB6814"/>
    <w:rsid w:val="28642123"/>
    <w:rsid w:val="28777BF4"/>
    <w:rsid w:val="28862099"/>
    <w:rsid w:val="28E765AF"/>
    <w:rsid w:val="29127DD1"/>
    <w:rsid w:val="29837BE6"/>
    <w:rsid w:val="2A403DF7"/>
    <w:rsid w:val="2B1700A6"/>
    <w:rsid w:val="2B2D4A4E"/>
    <w:rsid w:val="2B487ADA"/>
    <w:rsid w:val="2B887E8F"/>
    <w:rsid w:val="2B990335"/>
    <w:rsid w:val="2BA05EDA"/>
    <w:rsid w:val="2BD66F2D"/>
    <w:rsid w:val="2BF13CCD"/>
    <w:rsid w:val="2C527E4A"/>
    <w:rsid w:val="2C7072E8"/>
    <w:rsid w:val="2D085772"/>
    <w:rsid w:val="2D151C3D"/>
    <w:rsid w:val="2D2D6F87"/>
    <w:rsid w:val="2F1E0F22"/>
    <w:rsid w:val="2F5352C4"/>
    <w:rsid w:val="2F823A85"/>
    <w:rsid w:val="2FD91648"/>
    <w:rsid w:val="30277A2A"/>
    <w:rsid w:val="30BE2F56"/>
    <w:rsid w:val="3347697C"/>
    <w:rsid w:val="33490893"/>
    <w:rsid w:val="33DF6B01"/>
    <w:rsid w:val="33F627C9"/>
    <w:rsid w:val="34313D2C"/>
    <w:rsid w:val="34A26247"/>
    <w:rsid w:val="34BC67D7"/>
    <w:rsid w:val="34D04986"/>
    <w:rsid w:val="34E16FD5"/>
    <w:rsid w:val="35496928"/>
    <w:rsid w:val="356C2617"/>
    <w:rsid w:val="35DF0B77"/>
    <w:rsid w:val="36394BEF"/>
    <w:rsid w:val="3701698B"/>
    <w:rsid w:val="37790646"/>
    <w:rsid w:val="38433B03"/>
    <w:rsid w:val="38C3655B"/>
    <w:rsid w:val="39203E44"/>
    <w:rsid w:val="3AD1482B"/>
    <w:rsid w:val="3AD936A1"/>
    <w:rsid w:val="3AE8273F"/>
    <w:rsid w:val="3B7D1998"/>
    <w:rsid w:val="3B8B56B5"/>
    <w:rsid w:val="3BDF3B42"/>
    <w:rsid w:val="3C756255"/>
    <w:rsid w:val="3C881AAA"/>
    <w:rsid w:val="3C990801"/>
    <w:rsid w:val="3D2949E8"/>
    <w:rsid w:val="3D3103CE"/>
    <w:rsid w:val="3D3679ED"/>
    <w:rsid w:val="3DAA47D2"/>
    <w:rsid w:val="3DF123FF"/>
    <w:rsid w:val="3E1E128E"/>
    <w:rsid w:val="3F853907"/>
    <w:rsid w:val="3FFE185D"/>
    <w:rsid w:val="403B1563"/>
    <w:rsid w:val="40A627BD"/>
    <w:rsid w:val="40FE6E4A"/>
    <w:rsid w:val="42075459"/>
    <w:rsid w:val="426621C4"/>
    <w:rsid w:val="43AD2A6B"/>
    <w:rsid w:val="44042299"/>
    <w:rsid w:val="44093DE5"/>
    <w:rsid w:val="449000D0"/>
    <w:rsid w:val="44A2460A"/>
    <w:rsid w:val="45173602"/>
    <w:rsid w:val="458539AC"/>
    <w:rsid w:val="458C7954"/>
    <w:rsid w:val="45A51959"/>
    <w:rsid w:val="45F11042"/>
    <w:rsid w:val="45F147B5"/>
    <w:rsid w:val="46B34549"/>
    <w:rsid w:val="47290367"/>
    <w:rsid w:val="472B2213"/>
    <w:rsid w:val="472D7E58"/>
    <w:rsid w:val="47953C4F"/>
    <w:rsid w:val="47977365"/>
    <w:rsid w:val="47AA14A8"/>
    <w:rsid w:val="48E86E76"/>
    <w:rsid w:val="490E2B42"/>
    <w:rsid w:val="49172B6D"/>
    <w:rsid w:val="49184B37"/>
    <w:rsid w:val="49BF6D61"/>
    <w:rsid w:val="49CA418E"/>
    <w:rsid w:val="4A1654D1"/>
    <w:rsid w:val="4A3C6604"/>
    <w:rsid w:val="4AD54A8E"/>
    <w:rsid w:val="4B105AC6"/>
    <w:rsid w:val="4B8E2E8F"/>
    <w:rsid w:val="4B9761E7"/>
    <w:rsid w:val="4C202DB8"/>
    <w:rsid w:val="4C53077D"/>
    <w:rsid w:val="4C631237"/>
    <w:rsid w:val="4C7E695A"/>
    <w:rsid w:val="4D043409"/>
    <w:rsid w:val="4D232413"/>
    <w:rsid w:val="4D882D6A"/>
    <w:rsid w:val="4D9775E9"/>
    <w:rsid w:val="4E270E54"/>
    <w:rsid w:val="4EDF0F9F"/>
    <w:rsid w:val="4EF95E37"/>
    <w:rsid w:val="503264DF"/>
    <w:rsid w:val="507B7E86"/>
    <w:rsid w:val="50965A49"/>
    <w:rsid w:val="51025EB1"/>
    <w:rsid w:val="511A0733"/>
    <w:rsid w:val="51712933"/>
    <w:rsid w:val="51835FE1"/>
    <w:rsid w:val="525A6314"/>
    <w:rsid w:val="528B5CE5"/>
    <w:rsid w:val="528E5230"/>
    <w:rsid w:val="53E73A84"/>
    <w:rsid w:val="54602C8F"/>
    <w:rsid w:val="546A57B7"/>
    <w:rsid w:val="55344AA7"/>
    <w:rsid w:val="554622F4"/>
    <w:rsid w:val="55DC1C16"/>
    <w:rsid w:val="566077FB"/>
    <w:rsid w:val="56951575"/>
    <w:rsid w:val="56CC500A"/>
    <w:rsid w:val="56E147BB"/>
    <w:rsid w:val="57CB2DF5"/>
    <w:rsid w:val="586321FD"/>
    <w:rsid w:val="58B07B38"/>
    <w:rsid w:val="58B242A5"/>
    <w:rsid w:val="59122998"/>
    <w:rsid w:val="59BF06D2"/>
    <w:rsid w:val="5A0329AD"/>
    <w:rsid w:val="5A92169B"/>
    <w:rsid w:val="5AAB3234"/>
    <w:rsid w:val="5ABF3451"/>
    <w:rsid w:val="5AC81FAD"/>
    <w:rsid w:val="5B6F45BF"/>
    <w:rsid w:val="5B7025B1"/>
    <w:rsid w:val="5C5D48E3"/>
    <w:rsid w:val="5C7622AA"/>
    <w:rsid w:val="5C78171D"/>
    <w:rsid w:val="5D30585D"/>
    <w:rsid w:val="5DBF6738"/>
    <w:rsid w:val="5E14388B"/>
    <w:rsid w:val="5E370EEC"/>
    <w:rsid w:val="5E532609"/>
    <w:rsid w:val="5E547699"/>
    <w:rsid w:val="5E68756F"/>
    <w:rsid w:val="5E837C93"/>
    <w:rsid w:val="5E8C325E"/>
    <w:rsid w:val="5E953BF9"/>
    <w:rsid w:val="5F9C7C43"/>
    <w:rsid w:val="5FAF36A8"/>
    <w:rsid w:val="5FB8547F"/>
    <w:rsid w:val="60C05441"/>
    <w:rsid w:val="611D6D37"/>
    <w:rsid w:val="617050B9"/>
    <w:rsid w:val="622C5484"/>
    <w:rsid w:val="63172813"/>
    <w:rsid w:val="63861381"/>
    <w:rsid w:val="63E678B4"/>
    <w:rsid w:val="64FE478A"/>
    <w:rsid w:val="65295866"/>
    <w:rsid w:val="65705687"/>
    <w:rsid w:val="65A74E21"/>
    <w:rsid w:val="65C46E98"/>
    <w:rsid w:val="665755E5"/>
    <w:rsid w:val="66794A10"/>
    <w:rsid w:val="671D539B"/>
    <w:rsid w:val="67C93707"/>
    <w:rsid w:val="688E6C63"/>
    <w:rsid w:val="68FF7F45"/>
    <w:rsid w:val="69196036"/>
    <w:rsid w:val="69AF6E57"/>
    <w:rsid w:val="69BF098B"/>
    <w:rsid w:val="6A184540"/>
    <w:rsid w:val="6A310411"/>
    <w:rsid w:val="6A3A0B74"/>
    <w:rsid w:val="6A4E1D0F"/>
    <w:rsid w:val="6A8A71EB"/>
    <w:rsid w:val="6A944EE1"/>
    <w:rsid w:val="6A985AB9"/>
    <w:rsid w:val="6AE01FA6"/>
    <w:rsid w:val="6C2C42D2"/>
    <w:rsid w:val="6D4318EA"/>
    <w:rsid w:val="6D491D7F"/>
    <w:rsid w:val="6D642C33"/>
    <w:rsid w:val="6D761CFF"/>
    <w:rsid w:val="6DAB7B58"/>
    <w:rsid w:val="6E46528C"/>
    <w:rsid w:val="6E4E0530"/>
    <w:rsid w:val="6E71483D"/>
    <w:rsid w:val="6F651FD5"/>
    <w:rsid w:val="6F771834"/>
    <w:rsid w:val="6F9E54E7"/>
    <w:rsid w:val="6FAF16C2"/>
    <w:rsid w:val="73133AF6"/>
    <w:rsid w:val="73AB7D4A"/>
    <w:rsid w:val="744228E5"/>
    <w:rsid w:val="7590657C"/>
    <w:rsid w:val="763C15B6"/>
    <w:rsid w:val="765608C9"/>
    <w:rsid w:val="766F7295"/>
    <w:rsid w:val="76827C0C"/>
    <w:rsid w:val="76832D41"/>
    <w:rsid w:val="775F12C1"/>
    <w:rsid w:val="778A0C6D"/>
    <w:rsid w:val="78580A64"/>
    <w:rsid w:val="78A331BB"/>
    <w:rsid w:val="78A855C2"/>
    <w:rsid w:val="79652BD2"/>
    <w:rsid w:val="799B65F3"/>
    <w:rsid w:val="79A87950"/>
    <w:rsid w:val="79BF5D48"/>
    <w:rsid w:val="7AC81627"/>
    <w:rsid w:val="7C322CAF"/>
    <w:rsid w:val="7C5234AB"/>
    <w:rsid w:val="7C6A000F"/>
    <w:rsid w:val="7D705A6D"/>
    <w:rsid w:val="7DB34CED"/>
    <w:rsid w:val="7DF91B0E"/>
    <w:rsid w:val="7E59139E"/>
    <w:rsid w:val="7EB34D96"/>
    <w:rsid w:val="7EBB501E"/>
    <w:rsid w:val="7EF61968"/>
    <w:rsid w:val="7F233F5F"/>
    <w:rsid w:val="7F5D743D"/>
    <w:rsid w:val="7F76108C"/>
    <w:rsid w:val="7F9C47A9"/>
    <w:rsid w:val="7FA51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780DF1"/>
  <w15:docId w15:val="{3010CFBF-37F5-444F-B994-B19F2168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annotation text" w:qFormat="1"/>
    <w:lsdException w:name="header" w:uiPriority="99"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TOC2"/>
    <w:uiPriority w:val="1"/>
    <w:qFormat/>
    <w:pPr>
      <w:widowControl w:val="0"/>
      <w:autoSpaceDE w:val="0"/>
      <w:autoSpaceDN w:val="0"/>
    </w:pPr>
    <w:rPr>
      <w:rFonts w:ascii="宋体" w:hAnsi="宋体" w:cs="宋体"/>
      <w:sz w:val="22"/>
      <w:szCs w:val="22"/>
      <w:lang w:val="zh-CN" w:bidi="zh-CN"/>
    </w:rPr>
  </w:style>
  <w:style w:type="paragraph" w:styleId="2">
    <w:name w:val="heading 2"/>
    <w:basedOn w:val="a"/>
    <w:next w:val="a"/>
    <w:unhideWhenUsed/>
    <w:qFormat/>
    <w:pPr>
      <w:keepNext/>
      <w:keepLines/>
      <w:adjustRightInd w:val="0"/>
      <w:snapToGrid w:val="0"/>
      <w:spacing w:beforeLines="50" w:before="50" w:afterLines="50" w:after="50"/>
      <w:outlineLvl w:val="1"/>
    </w:pPr>
    <w:rPr>
      <w:rFonts w:ascii="Arial" w:hAnsi="Arial"/>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2">
    <w:name w:val="toc 2"/>
    <w:basedOn w:val="a"/>
    <w:next w:val="a"/>
    <w:qFormat/>
    <w:pPr>
      <w:ind w:leftChars="200" w:left="420"/>
    </w:pPr>
  </w:style>
  <w:style w:type="paragraph" w:styleId="a3">
    <w:name w:val="annotation text"/>
    <w:basedOn w:val="a"/>
    <w:link w:val="a4"/>
    <w:qFormat/>
  </w:style>
  <w:style w:type="paragraph" w:styleId="a5">
    <w:name w:val="Body Text"/>
    <w:basedOn w:val="a"/>
    <w:uiPriority w:val="1"/>
    <w:qFormat/>
    <w:pPr>
      <w:spacing w:before="9"/>
    </w:pPr>
    <w:rPr>
      <w:b/>
      <w:bCs/>
      <w:sz w:val="28"/>
      <w:szCs w:val="28"/>
    </w:rPr>
  </w:style>
  <w:style w:type="paragraph" w:styleId="a6">
    <w:name w:val="Balloon Text"/>
    <w:basedOn w:val="a"/>
    <w:link w:val="a7"/>
    <w:qFormat/>
    <w:rPr>
      <w:sz w:val="18"/>
      <w:szCs w:val="18"/>
    </w:rPr>
  </w:style>
  <w:style w:type="paragraph" w:styleId="a8">
    <w:name w:val="footer"/>
    <w:basedOn w:val="a"/>
    <w:qFormat/>
    <w:pPr>
      <w:tabs>
        <w:tab w:val="center" w:pos="4153"/>
        <w:tab w:val="right" w:pos="8306"/>
      </w:tabs>
      <w:snapToGrid w:val="0"/>
    </w:pPr>
    <w:rPr>
      <w:sz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qFormat/>
    <w:pPr>
      <w:spacing w:before="100" w:beforeAutospacing="1" w:after="100" w:afterAutospacing="1"/>
    </w:pPr>
    <w:rPr>
      <w:rFonts w:cs="Times New Roman"/>
      <w:sz w:val="24"/>
      <w:lang w:val="en-US" w:bidi="ar-SA"/>
    </w:rPr>
  </w:style>
  <w:style w:type="paragraph" w:styleId="ac">
    <w:name w:val="annotation subject"/>
    <w:basedOn w:val="a3"/>
    <w:next w:val="a3"/>
    <w:link w:val="ad"/>
    <w:qFormat/>
    <w:rPr>
      <w:b/>
      <w:bCs/>
    </w:rPr>
  </w:style>
  <w:style w:type="table" w:styleId="ae">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qFormat/>
    <w:rPr>
      <w:b/>
    </w:rPr>
  </w:style>
  <w:style w:type="character" w:styleId="af0">
    <w:name w:val="annotation reference"/>
    <w:basedOn w:val="a0"/>
    <w:qFormat/>
    <w:rPr>
      <w:sz w:val="21"/>
      <w:szCs w:val="21"/>
    </w:rPr>
  </w:style>
  <w:style w:type="paragraph" w:customStyle="1" w:styleId="TableParagraph">
    <w:name w:val="Table Paragraph"/>
    <w:basedOn w:val="a"/>
    <w:uiPriority w:val="1"/>
    <w:qFormat/>
    <w:pPr>
      <w:spacing w:before="22"/>
    </w:pPr>
  </w:style>
  <w:style w:type="paragraph" w:styleId="af1">
    <w:name w:val="List Paragraph"/>
    <w:basedOn w:val="a"/>
    <w:uiPriority w:val="1"/>
    <w:qFormat/>
  </w:style>
  <w:style w:type="table" w:customStyle="1" w:styleId="TableNormal">
    <w:name w:val="Table Normal"/>
    <w:uiPriority w:val="2"/>
    <w:unhideWhenUsed/>
    <w:qFormat/>
    <w:tblPr>
      <w:tblCellMar>
        <w:top w:w="0" w:type="dxa"/>
        <w:left w:w="0" w:type="dxa"/>
        <w:bottom w:w="0" w:type="dxa"/>
        <w:right w:w="0" w:type="dxa"/>
      </w:tblCellMar>
    </w:tblPr>
  </w:style>
  <w:style w:type="character" w:customStyle="1" w:styleId="aa">
    <w:name w:val="页眉 字符"/>
    <w:basedOn w:val="a0"/>
    <w:link w:val="a9"/>
    <w:uiPriority w:val="99"/>
    <w:qFormat/>
    <w:rPr>
      <w:rFonts w:ascii="宋体" w:hAnsi="宋体" w:cs="宋体"/>
      <w:sz w:val="18"/>
      <w:szCs w:val="18"/>
      <w:lang w:val="zh-CN" w:bidi="zh-CN"/>
    </w:rPr>
  </w:style>
  <w:style w:type="paragraph" w:customStyle="1" w:styleId="1">
    <w:name w:val="修订1"/>
    <w:hidden/>
    <w:uiPriority w:val="99"/>
    <w:semiHidden/>
    <w:qFormat/>
    <w:rPr>
      <w:rFonts w:ascii="宋体" w:hAnsi="宋体" w:cs="宋体"/>
      <w:sz w:val="22"/>
      <w:szCs w:val="22"/>
      <w:lang w:val="zh-CN" w:bidi="zh-CN"/>
    </w:rPr>
  </w:style>
  <w:style w:type="character" w:customStyle="1" w:styleId="a4">
    <w:name w:val="批注文字 字符"/>
    <w:basedOn w:val="a0"/>
    <w:link w:val="a3"/>
    <w:qFormat/>
    <w:rPr>
      <w:rFonts w:ascii="宋体" w:hAnsi="宋体" w:cs="宋体"/>
      <w:sz w:val="22"/>
      <w:szCs w:val="22"/>
      <w:lang w:val="zh-CN" w:bidi="zh-CN"/>
    </w:rPr>
  </w:style>
  <w:style w:type="character" w:customStyle="1" w:styleId="ad">
    <w:name w:val="批注主题 字符"/>
    <w:basedOn w:val="a4"/>
    <w:link w:val="ac"/>
    <w:qFormat/>
    <w:rPr>
      <w:rFonts w:ascii="宋体" w:hAnsi="宋体" w:cs="宋体"/>
      <w:b/>
      <w:bCs/>
      <w:sz w:val="22"/>
      <w:szCs w:val="22"/>
      <w:lang w:val="zh-CN" w:bidi="zh-CN"/>
    </w:rPr>
  </w:style>
  <w:style w:type="character" w:customStyle="1" w:styleId="a7">
    <w:name w:val="批注框文本 字符"/>
    <w:basedOn w:val="a0"/>
    <w:link w:val="a6"/>
    <w:qFormat/>
    <w:rPr>
      <w:rFonts w:ascii="宋体" w:hAnsi="宋体" w:cs="宋体"/>
      <w:sz w:val="18"/>
      <w:szCs w:val="18"/>
      <w:lang w:val="zh-CN" w:bidi="zh-CN"/>
    </w:rPr>
  </w:style>
  <w:style w:type="paragraph" w:customStyle="1" w:styleId="20">
    <w:name w:val="修订2"/>
    <w:hidden/>
    <w:uiPriority w:val="99"/>
    <w:semiHidden/>
    <w:qFormat/>
    <w:rPr>
      <w:rFonts w:ascii="宋体" w:hAnsi="宋体" w:cs="宋体"/>
      <w:sz w:val="22"/>
      <w:szCs w:val="22"/>
      <w:lang w:val="zh-CN" w:bidi="zh-CN"/>
    </w:rPr>
  </w:style>
  <w:style w:type="paragraph" w:customStyle="1" w:styleId="3">
    <w:name w:val="修订3"/>
    <w:hidden/>
    <w:uiPriority w:val="99"/>
    <w:semiHidden/>
    <w:qFormat/>
    <w:rPr>
      <w:rFonts w:ascii="宋体" w:hAnsi="宋体" w:cs="宋体"/>
      <w:sz w:val="22"/>
      <w:szCs w:val="22"/>
      <w:lang w:val="zh-CN" w:bidi="zh-CN"/>
    </w:rPr>
  </w:style>
  <w:style w:type="paragraph" w:customStyle="1" w:styleId="4">
    <w:name w:val="修订4"/>
    <w:hidden/>
    <w:uiPriority w:val="99"/>
    <w:semiHidden/>
    <w:qFormat/>
    <w:rPr>
      <w:rFonts w:ascii="宋体" w:hAnsi="宋体" w:cs="宋体"/>
      <w:sz w:val="22"/>
      <w:szCs w:val="22"/>
      <w:lang w:val="zh-CN" w:bidi="zh-CN"/>
    </w:rPr>
  </w:style>
  <w:style w:type="paragraph" w:customStyle="1" w:styleId="5">
    <w:name w:val="修订5"/>
    <w:hidden/>
    <w:uiPriority w:val="99"/>
    <w:semiHidden/>
    <w:qFormat/>
    <w:rPr>
      <w:rFonts w:ascii="宋体" w:hAnsi="宋体" w:cs="宋体"/>
      <w:sz w:val="22"/>
      <w:szCs w:val="22"/>
      <w:lang w:val="zh-CN" w:bidi="zh-CN"/>
    </w:rPr>
  </w:style>
  <w:style w:type="paragraph" w:customStyle="1" w:styleId="6">
    <w:name w:val="修订6"/>
    <w:hidden/>
    <w:uiPriority w:val="99"/>
    <w:semiHidden/>
    <w:qFormat/>
    <w:rPr>
      <w:rFonts w:ascii="宋体" w:hAnsi="宋体" w:cs="宋体"/>
      <w:sz w:val="22"/>
      <w:szCs w:val="22"/>
      <w:lang w:val="zh-CN" w:bidi="zh-CN"/>
    </w:rPr>
  </w:style>
  <w:style w:type="paragraph" w:customStyle="1" w:styleId="7">
    <w:name w:val="修订7"/>
    <w:hidden/>
    <w:uiPriority w:val="99"/>
    <w:unhideWhenUsed/>
    <w:qFormat/>
    <w:rPr>
      <w:rFonts w:ascii="宋体" w:hAnsi="宋体" w:cs="宋体"/>
      <w:sz w:val="22"/>
      <w:szCs w:val="22"/>
      <w:lang w:val="zh-CN" w:bidi="zh-CN"/>
    </w:rPr>
  </w:style>
  <w:style w:type="paragraph" w:customStyle="1" w:styleId="8">
    <w:name w:val="修订8"/>
    <w:hidden/>
    <w:uiPriority w:val="99"/>
    <w:unhideWhenUsed/>
    <w:qFormat/>
    <w:rPr>
      <w:rFonts w:ascii="宋体" w:hAnsi="宋体" w:cs="宋体"/>
      <w:sz w:val="22"/>
      <w:szCs w:val="22"/>
      <w:lang w:val="zh-CN" w:bidi="zh-CN"/>
    </w:rPr>
  </w:style>
  <w:style w:type="paragraph" w:customStyle="1" w:styleId="9">
    <w:name w:val="修订9"/>
    <w:hidden/>
    <w:uiPriority w:val="99"/>
    <w:unhideWhenUsed/>
    <w:qFormat/>
    <w:rPr>
      <w:rFonts w:ascii="宋体" w:hAnsi="宋体" w:cs="宋体"/>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874</Words>
  <Characters>4987</Characters>
  <Application>Microsoft Office Word</Application>
  <DocSecurity>0</DocSecurity>
  <Lines>41</Lines>
  <Paragraphs>11</Paragraphs>
  <ScaleCrop>false</ScaleCrop>
  <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Jiajia Li(李佳佳)</dc:creator>
  <cp:lastModifiedBy>杨扬</cp:lastModifiedBy>
  <cp:revision>293</cp:revision>
  <cp:lastPrinted>2024-04-01T03:17:00Z</cp:lastPrinted>
  <dcterms:created xsi:type="dcterms:W3CDTF">2023-09-11T09:27:00Z</dcterms:created>
  <dcterms:modified xsi:type="dcterms:W3CDTF">2026-09-04T09:21:00Z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2021-03-31T00:00:00Z</vt:filetime>
  </property>
  <property fmtid="{D5CDD505-2E9C-101B-9397-08002B2CF9AE}" pid="3" name="Creator">
    <vt:lpwstr>Microsoft® Word 2013</vt:lpwstr>
  </property>
  <property fmtid="{D5CDD505-2E9C-101B-9397-08002B2CF9AE}" pid="4" name="LastSaved">
    <vt:filetime>2021-04-02T00:00:00Z</vt:filetime>
  </property>
  <property fmtid="{D5CDD505-2E9C-101B-9397-08002B2CF9AE}" pid="5" name="KSOProductBuildVer">
    <vt:lpwstr>2052-12.1.0.28505</vt:lpwstr>
  </property>
  <property fmtid="{D5CDD505-2E9C-101B-9397-08002B2CF9AE}" pid="6" name="ICV">
    <vt:lpwstr>3024048F6A8F4396A21E797552D309A0_13</vt:lpwstr>
  </property>
  <property fmtid="{D5CDD505-2E9C-101B-9397-08002B2CF9AE}" pid="7" name="KSOTemplateDocerSaveRecord">
    <vt:lpwstr>eyJoZGlkIjoiMDljMDdhNTg2MjkxNDdhODgzZWYzM2E2M2E2N2I4ZTYiLCJ1c2VySWQiOiIzNzk3OTI5MDcifQ==</vt:lpwstr>
  </property>
</Properties>
</file>