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A175CE">
      <w:pPr>
        <w:tabs>
          <w:tab w:val="left" w:pos="420"/>
        </w:tabs>
        <w:jc w:val="center"/>
        <w:rPr>
          <w:rFonts w:hint="eastAsia" w:ascii="方正小标宋简体" w:hAnsi="方正小标宋简体" w:eastAsia="方正小标宋简体"/>
          <w:b/>
          <w:color w:val="FF0000"/>
          <w:w w:val="95"/>
          <w:kern w:val="0"/>
          <w:sz w:val="44"/>
          <w:szCs w:val="116"/>
        </w:rPr>
      </w:pPr>
      <w:bookmarkStart w:id="0" w:name="_Hlk141567855"/>
      <w:bookmarkEnd w:id="0"/>
      <w:r>
        <w:rPr>
          <w:rFonts w:hint="eastAsia" w:ascii="方正小标宋简体" w:hAnsi="方正小标宋简体" w:eastAsia="方正小标宋简体" w:cs="黑体"/>
          <w:b/>
          <w:color w:val="FF0000"/>
          <w:w w:val="95"/>
          <w:sz w:val="44"/>
          <w:szCs w:val="72"/>
        </w:rPr>
        <w:t>中国证券监督管理委员会广东监管局</w:t>
      </w:r>
    </w:p>
    <w:p w14:paraId="5B294B1B">
      <w:pPr>
        <w:jc w:val="center"/>
        <w:rPr>
          <w:rFonts w:hint="eastAsia" w:ascii="方正小标宋简体" w:hAnsi="方正小标宋简体" w:eastAsia="方正小标宋简体"/>
          <w:snapToGrid w:val="0"/>
          <w:spacing w:val="85"/>
          <w:w w:val="90"/>
          <w:sz w:val="72"/>
          <w:szCs w:val="72"/>
        </w:rPr>
      </w:pPr>
      <w:r>
        <w:rPr>
          <w:rFonts w:hint="eastAsia" w:ascii="方正小标宋简体" w:hAnsi="方正小标宋简体" w:eastAsia="方正小标宋简体"/>
          <w:b/>
          <w:bCs/>
          <w:snapToGrid w:val="0"/>
          <w:color w:val="FF0000"/>
          <w:spacing w:val="85"/>
          <w:w w:val="90"/>
          <w:sz w:val="72"/>
          <w:szCs w:val="72"/>
        </w:rPr>
        <w:t>行政监管措施决定书</w:t>
      </w:r>
    </w:p>
    <w:p w14:paraId="4E95026F">
      <w:pPr>
        <w:snapToGrid w:val="0"/>
        <w:jc w:val="center"/>
        <w:rPr>
          <w:rFonts w:hint="eastAsia" w:ascii="仿宋_GB2312" w:hAnsi="仿宋_GB2312" w:eastAsia="仿宋_GB2312" w:cs="宋体"/>
          <w:sz w:val="28"/>
          <w:szCs w:val="28"/>
        </w:rPr>
      </w:pPr>
    </w:p>
    <w:p w14:paraId="7A9F9BF5">
      <w:pPr>
        <w:suppressAutoHyphens/>
        <w:bidi w:val="0"/>
        <w:adjustRightInd/>
        <w:snapToGrid w:val="0"/>
        <w:spacing w:before="156" w:beforeLines="50"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20"/>
        </w:rPr>
      </w:pP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〔20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26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〕</w:t>
      </w:r>
      <w:r>
        <w:rPr>
          <w:rFonts w:hint="default" w:ascii="仿宋_GB2312" w:hAnsi="Times New Roman" w:eastAsia="仿宋_GB2312" w:cs="Times New Roman"/>
          <w:color w:val="000000"/>
          <w:spacing w:val="12"/>
          <w:sz w:val="28"/>
          <w:szCs w:val="20"/>
          <w:lang w:val="en-US"/>
        </w:rPr>
        <w:t>110</w:t>
      </w:r>
      <w:r>
        <w:rPr>
          <w:rFonts w:hint="eastAsia" w:ascii="仿宋_GB2312" w:hAnsi="Times New Roman" w:eastAsia="仿宋_GB2312" w:cs="Times New Roman"/>
          <w:color w:val="000000"/>
          <w:spacing w:val="12"/>
          <w:sz w:val="28"/>
          <w:szCs w:val="20"/>
        </w:rPr>
        <w:t>号</w:t>
      </w:r>
    </w:p>
    <w:p w14:paraId="663CC87F">
      <w:pPr>
        <w:suppressAutoHyphens/>
        <w:bidi w:val="0"/>
        <w:adjustRightInd/>
        <w:snapToGrid w:val="0"/>
        <w:spacing w:line="300" w:lineRule="auto"/>
        <w:ind w:firstLine="0" w:firstLineChars="0"/>
        <w:jc w:val="center"/>
        <w:rPr>
          <w:rFonts w:ascii="黑体" w:hAnsi="Times New Roman" w:eastAsia="黑体" w:cs="Times New Roman"/>
          <w:color w:val="000000"/>
          <w:spacing w:val="12"/>
          <w:sz w:val="32"/>
          <w:szCs w:val="32"/>
        </w:rPr>
      </w:pPr>
    </w:p>
    <w:p w14:paraId="3D58C0E3">
      <w:pPr>
        <w:widowControl w:val="0"/>
        <w:pBdr>
          <w:top w:val="none" w:color="auto" w:sz="0" w:space="1"/>
          <w:left w:val="none" w:color="auto" w:sz="0" w:space="4"/>
          <w:bottom w:val="none" w:color="auto" w:sz="0" w:space="0"/>
          <w:right w:val="none" w:color="auto" w:sz="0" w:space="4"/>
        </w:pBdr>
        <w:tabs>
          <w:tab w:val="left" w:pos="420"/>
        </w:tabs>
        <w:suppressAutoHyphens/>
        <w:bidi w:val="0"/>
        <w:adjustRightInd/>
        <w:snapToGrid w:val="0"/>
        <w:spacing w:line="300" w:lineRule="auto"/>
        <w:ind w:firstLine="0" w:firstLineChars="0"/>
        <w:jc w:val="both"/>
        <w:outlineLvl w:val="9"/>
        <w:rPr>
          <w:rFonts w:ascii="仿宋_GB2312" w:hAnsi="Times New Roman" w:eastAsia="仿宋_GB2312" w:cs="Times New Roman"/>
          <w:color w:val="000000"/>
          <w:spacing w:val="12"/>
          <w:kern w:val="2"/>
          <w:sz w:val="21"/>
          <w:szCs w:val="21"/>
          <w:lang w:val="en-US" w:eastAsia="zh-CN" w:bidi="ar-SA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-200660</wp:posOffset>
                </wp:positionV>
                <wp:extent cx="555180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1805" cy="635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35pt;margin-top:-15.8pt;height:0.05pt;width:437.15pt;z-index:251659264;mso-width-relative:page;mso-height-relative:page;" filled="f" stroked="t" coordsize="21600,21600" o:gfxdata="UEsDBAoAAAAAAIdO4kAAAAAAAAAAAAAAAAAEAAAAZHJzL1BLAwQUAAAACACHTuJANEt2WdgAAAAK&#10;AQAADwAAAGRycy9kb3ducmV2LnhtbE2PwU7DMBBE70j8g7VI3FonBZo0xKkQEpzg0FIOvTnxEgdi&#10;O7LdJPw9Sy9wnNmn2ZlyO5uejehD56yAdJkAQ9s41dlWwOHtaZEDC1FaJXtnUcA3BthWlxelLJSb&#10;7A7HfWwZhdhQSAE6xqHgPDQajQxLN6Cl24fzRkaSvuXKy4nCTc9XSbLmRnaWPmg54KPG5mt/MgJu&#10;X97rYfL6eNg9z9kG52l8/XwQ4voqTe6BRZzjHwy/9ak6VNSpdierAutJrzIiBSxu0jUwAvI8o3H1&#10;2bkDXpX8/4TqB1BLAwQUAAAACACHTuJAD47+Y/0BAAD1AwAADgAAAGRycy9lMm9Eb2MueG1srVNN&#10;jtMwFN4jcQfLe5o0qMMoajqLKWWDoBJwANd2Ekv+k5/btJfgAkjsYMWSPbdh5hg8O6EMw6YLsnCe&#10;/T5/ft/n5+XN0WhykAGUsw2dz0pKpOVOKNs19MP7zbNrSiAyK5h2Vjb0JIHerJ4+WQ6+lpXrnRYy&#10;ECSxUA++oX2Mvi4K4L00DGbOS4vJ1gXDIk5DV4jABmQ3uqjK8qoYXBA+OC4BcHU9JunEGC4hdG2r&#10;uFw7vjfSxpE1SM0iSoJeeaCrXG3bSh7fti3ISHRDUWnMIx6C8S6NxWrJ6i4w3ys+lcAuKeGRJsOU&#10;xUPPVGsWGdkH9Q+VUTw4cG2ccWeKUUh2BFXMy0fevOuZl1kLWg3+bDr8P1r+5rANRImGVpRYZvDC&#10;7z59//nxy/2PzzjefftKqmTS4KFG7K3dhmkGfhuS4mMbTPqjFnLMxp7OxspjJBwXF4vF/LpcUMIx&#10;d/V8kRiLP1t9gPhKOkNS0FCtbFLNanZ4DXGE/oakZW3JgJ1bvSjxFjnDHmzx7jE0HnWA7fJmcFqJ&#10;jdI6bYHQ7W51IAeGfbDZlPhNNfwFS6esGfQjLqcSjNW9ZOKlFSSePDpk8WHQVIORghIt8R2lKCMj&#10;U/oSJMrXNlHL3KWT0GTzaGyKdk6c8Hb2PqiuR2PmueaUwW7IDk6dm9rt4Rzjh6919Q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A0S3ZZ2AAAAAoBAAAPAAAAAAAAAAEAIAAAACIAAABkcnMvZG93bnJl&#10;di54bWxQSwECFAAUAAAACACHTuJAD47+Y/0BAAD1AwAADgAAAAAAAAABACAAAAAnAQAAZHJzL2Uy&#10;b0RvYy54bWxQSwUGAAAAAAYABgBZAQAAlgUAAAAA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630B1E54">
      <w:pPr>
        <w:pStyle w:val="4"/>
        <w:widowControl/>
        <w:pBdr>
          <w:bottom w:val="none" w:color="auto" w:sz="0" w:space="0"/>
        </w:pBdr>
        <w:adjustRightInd w:val="0"/>
        <w:snapToGrid w:val="0"/>
        <w:spacing w:afterLines="0" w:line="240" w:lineRule="auto"/>
        <w:jc w:val="center"/>
        <w:rPr>
          <w:rFonts w:hint="default" w:ascii="方正小标宋简体" w:hAnsi="方正小标宋简体" w:eastAsia="方正小标宋简体" w:cs="方正小标宋简体"/>
          <w:color w:val="auto"/>
          <w:spacing w:val="0"/>
          <w:sz w:val="44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/>
          <w:kern w:val="0"/>
          <w:sz w:val="44"/>
        </w:rPr>
        <w:t>关于对广州凡拓数字创意科技股份有限公司、伍穗颖、段一龙采取出具警示函措施的决定</w:t>
      </w:r>
    </w:p>
    <w:p w14:paraId="77CBD7F5">
      <w:pPr>
        <w:adjustRightInd w:val="0"/>
        <w:snapToGrid w:val="0"/>
        <w:spacing w:afterLines="0" w:line="240" w:lineRule="auto"/>
        <w:rPr>
          <w:rFonts w:hint="eastAsia" w:ascii="方正小标宋简体" w:hAnsi="方正小标宋简体" w:eastAsia="方正小标宋简体" w:cs="方正小标宋简体"/>
          <w:spacing w:val="8"/>
          <w:kern w:val="0"/>
          <w:sz w:val="32"/>
        </w:rPr>
      </w:pPr>
    </w:p>
    <w:p w14:paraId="014CC33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广州凡拓数字创意科技股份有限公司、伍穗颖、段一龙：</w:t>
      </w:r>
    </w:p>
    <w:p w14:paraId="5FC480F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firstLine="640"/>
        <w:rPr>
          <w:rFonts w:hint="eastAsia" w:ascii="仿宋_GB2312" w:hAnsi="仿宋_GB2312" w:eastAsia="仿宋_GB2312" w:cs="Times New Roman"/>
          <w:kern w:val="0"/>
          <w:sz w:val="32"/>
          <w:szCs w:val="2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经查，广州凡拓数字创意科技股份有限公司（以下简称凡拓数创或公司）</w:t>
      </w:r>
      <w:r>
        <w:rPr>
          <w:rFonts w:hint="eastAsia" w:ascii="仿宋_GB2312" w:hAnsi="Times New Roman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存在以</w:t>
      </w:r>
      <w:r>
        <w:rPr>
          <w:rFonts w:hint="eastAsia" w:ascii="仿宋_GB2312" w:hAnsi="仿宋_GB2312" w:eastAsia="仿宋_GB2312" w:cs="Times New Roman"/>
          <w:kern w:val="0"/>
          <w:sz w:val="32"/>
          <w:szCs w:val="20"/>
          <w:highlight w:val="none"/>
          <w:lang w:val="en-US" w:eastAsia="zh-CN"/>
        </w:rPr>
        <w:t>下违规问题：</w:t>
      </w:r>
    </w:p>
    <w:p w14:paraId="1B9C560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36" w:lineRule="auto"/>
        <w:ind w:firstLine="640" w:firstLineChars="200"/>
        <w:textAlignment w:val="auto"/>
        <w:rPr>
          <w:rFonts w:hint="default" w:ascii="仿宋_GB2312" w:hAnsi="仿宋_GB2312" w:eastAsia="仿宋_GB2312" w:cs="Times New Roman"/>
          <w:b w:val="0"/>
          <w:bCs w:val="0"/>
          <w:color w:val="auto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公司使用部分闲置募集资金进行现金管理时，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存在超出董事会审议有效期限以及未经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董事会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  <w:t>审议开展现金管理的违规情形。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上述情形违反了《上市公司信息披露管理办法》（证监会令第182号，下同）第三条第一款，《上市公司监管指引第2号——上市公司募集资金管理和使用的监管要求》（证监会公告〔2022〕15号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highlight w:val="none"/>
          <w:lang w:eastAsia="zh-CN" w:bidi="ar-SA"/>
        </w:rPr>
        <w:t>）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第八条第二款的规定。</w:t>
      </w:r>
    </w:p>
    <w:p w14:paraId="05CBCAB7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right="0" w:firstLine="640" w:firstLineChars="200"/>
        <w:jc w:val="both"/>
        <w:textAlignment w:val="auto"/>
        <w:outlineLvl w:val="2"/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伍穗颖</w:t>
      </w: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/>
        </w:rPr>
        <w:t>作为公司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0"/>
          <w:sz w:val="32"/>
          <w:szCs w:val="20"/>
          <w:highlight w:val="none"/>
          <w:lang w:val="en-US" w:eastAsia="zh-CN" w:bidi="ar-SA"/>
        </w:rPr>
        <w:t>董事长</w:t>
      </w:r>
      <w:r>
        <w:rPr>
          <w:rFonts w:hint="eastAsia" w:ascii="仿宋_GB2312" w:eastAsia="仿宋_GB2312" w:cs="Times New Roman"/>
          <w:b w:val="0"/>
          <w:bCs w:val="0"/>
          <w:color w:val="auto"/>
          <w:kern w:val="0"/>
          <w:sz w:val="32"/>
          <w:szCs w:val="20"/>
          <w:highlight w:val="none"/>
          <w:lang w:val="en-US" w:eastAsia="zh-CN" w:bidi="ar-SA"/>
        </w:rPr>
        <w:t>兼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0"/>
          <w:sz w:val="32"/>
          <w:szCs w:val="20"/>
          <w:highlight w:val="none"/>
          <w:lang w:val="en-US" w:eastAsia="zh-CN" w:bidi="ar-SA"/>
        </w:rPr>
        <w:t>总经理，</w:t>
      </w:r>
      <w:r>
        <w:rPr>
          <w:rFonts w:hint="eastAsia" w:ascii="仿宋_GB2312" w:eastAsia="仿宋_GB2312" w:cs="Times New Roman"/>
          <w:b w:val="0"/>
          <w:bCs w:val="0"/>
          <w:color w:val="auto"/>
          <w:kern w:val="0"/>
          <w:sz w:val="32"/>
          <w:szCs w:val="20"/>
          <w:highlight w:val="none"/>
          <w:lang w:val="en-US" w:eastAsia="zh-CN" w:bidi="ar-SA"/>
        </w:rPr>
        <w:t>段一龙</w:t>
      </w:r>
      <w:r>
        <w:rPr>
          <w:rFonts w:hint="eastAsia" w:ascii="仿宋_GB2312" w:hAnsi="Calibri" w:eastAsia="仿宋_GB2312" w:cs="Times New Roman"/>
          <w:b w:val="0"/>
          <w:bCs w:val="0"/>
          <w:color w:val="auto"/>
          <w:kern w:val="0"/>
          <w:sz w:val="32"/>
          <w:szCs w:val="20"/>
          <w:highlight w:val="none"/>
          <w:lang w:val="en-US" w:eastAsia="zh-CN" w:bidi="ar-SA"/>
        </w:rPr>
        <w:t>作为公司董事会秘书，未按照《上市公司信息披露管理办法》第四条的规定履行勤勉尽责义务，对公司上述违规行为负有主要责任。</w:t>
      </w:r>
    </w:p>
    <w:p w14:paraId="287A9964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336" w:lineRule="auto"/>
        <w:ind w:right="0" w:firstLine="640" w:firstLineChars="200"/>
        <w:jc w:val="both"/>
        <w:textAlignment w:val="auto"/>
        <w:outlineLvl w:val="2"/>
        <w:rPr>
          <w:rFonts w:hint="eastAsia" w:ascii="仿宋_GB2312" w:hAnsi="Calibri" w:eastAsia="仿宋_GB2312"/>
          <w:color w:val="auto"/>
          <w:spacing w:val="0"/>
          <w:kern w:val="0"/>
          <w:sz w:val="32"/>
          <w:szCs w:val="20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/>
        </w:rPr>
        <w:t>根据</w:t>
      </w: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 w:bidi="ar-SA"/>
        </w:rPr>
        <w:t>《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</w:rPr>
        <w:t>上市公司信息披露管理办法》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  <w:lang w:eastAsia="zh-CN"/>
        </w:rPr>
        <w:t>第</w:t>
      </w: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/>
        </w:rPr>
        <w:t>五十二条的规定，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我局决定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  <w:u w:val="none"/>
          <w:lang w:val="en-US" w:eastAsia="zh-CN" w:bidi="ar-SA"/>
        </w:rPr>
        <w:t>对</w:t>
      </w: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凡拓数创、伍穗颖和段一龙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  <w:u w:val="none"/>
          <w:lang w:val="en-US" w:eastAsia="zh-CN" w:bidi="ar-SA"/>
        </w:rPr>
        <w:t>采取出具警示函的行政监管措施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。</w:t>
      </w:r>
      <w:r>
        <w:rPr>
          <w:rFonts w:hint="eastAsia" w:ascii="仿宋_GB2312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公司及相关责任人</w:t>
      </w:r>
      <w:r>
        <w:rPr>
          <w:rFonts w:hint="eastAsia" w:ascii="仿宋_GB2312" w:hAnsi="Calibri" w:eastAsia="仿宋_GB2312" w:cs="Times New Roman"/>
          <w:color w:val="auto"/>
          <w:kern w:val="0"/>
          <w:sz w:val="32"/>
          <w:szCs w:val="20"/>
          <w:highlight w:val="none"/>
          <w:lang w:val="en-US" w:eastAsia="zh-CN"/>
        </w:rPr>
        <w:t>应认真吸取教训，切实提升依法合规履职意识，加强对证券法律法规的学习，杜绝此类问题再次发生</w:t>
      </w:r>
      <w:r>
        <w:rPr>
          <w:rFonts w:hint="eastAsia" w:ascii="仿宋_GB2312" w:hAnsi="Calibri" w:eastAsia="仿宋_GB2312"/>
          <w:color w:val="auto"/>
          <w:spacing w:val="0"/>
          <w:kern w:val="0"/>
          <w:sz w:val="32"/>
          <w:szCs w:val="20"/>
          <w:highlight w:val="none"/>
          <w:lang w:val="en-US" w:eastAsia="zh-CN"/>
        </w:rPr>
        <w:t>。同时公司应于收到本决定书30日内向我局报送整改报告，并抄报深圳证券交易所。</w:t>
      </w:r>
    </w:p>
    <w:p w14:paraId="01AD7A86">
      <w:pPr>
        <w:pStyle w:val="2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36" w:lineRule="auto"/>
        <w:ind w:left="0" w:leftChars="0" w:right="0" w:firstLine="0" w:firstLineChars="0"/>
        <w:jc w:val="both"/>
        <w:textAlignment w:val="auto"/>
        <w:outlineLvl w:val="9"/>
        <w:rPr>
          <w:rFonts w:hint="eastAsia" w:ascii="仿宋_GB2312" w:eastAsia="仿宋_GB2312"/>
          <w:color w:val="auto"/>
          <w:spacing w:val="0"/>
          <w:kern w:val="0"/>
          <w:sz w:val="32"/>
          <w:szCs w:val="20"/>
          <w:highlight w:val="none"/>
        </w:rPr>
      </w:pPr>
      <w:r>
        <w:rPr>
          <w:rFonts w:hint="eastAsia" w:ascii="仿宋_GB2312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/>
        </w:rPr>
        <w:t xml:space="preserve">    </w:t>
      </w: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</w:rPr>
        <w:t>如果对本监督管理措施不服，可以在收到本决定书之日起60日内向中国证券监督管理委员会提出行政复议申请</w:t>
      </w: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  <w:lang w:val="en-US" w:eastAsia="zh-CN"/>
        </w:rPr>
        <w:t>,</w:t>
      </w:r>
      <w:r>
        <w:rPr>
          <w:rFonts w:hint="eastAsia" w:ascii="仿宋_GB2312" w:hAnsi="Calibri" w:eastAsia="仿宋_GB2312" w:cs="Times New Roman"/>
          <w:color w:val="auto"/>
          <w:spacing w:val="0"/>
          <w:kern w:val="0"/>
          <w:sz w:val="32"/>
          <w:szCs w:val="20"/>
          <w:highlight w:val="none"/>
        </w:rPr>
        <w:t>也可以在收到本决定书之日起6个月内向有管辖权的人民法院提起诉讼。复议与诉讼期间，上述监督管理措施不停止执行。</w:t>
      </w:r>
    </w:p>
    <w:p w14:paraId="3CFE2839">
      <w:pPr>
        <w:widowControl w:val="0"/>
        <w:suppressAutoHyphens/>
        <w:overflowPunct w:val="0"/>
        <w:bidi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</w:p>
    <w:p w14:paraId="52556F06"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</w:p>
    <w:p w14:paraId="7BA84130">
      <w:pPr>
        <w:keepNext w:val="0"/>
        <w:keepLines w:val="0"/>
        <w:pageBreakBefore w:val="0"/>
        <w:widowControl w:val="0"/>
        <w:suppressAutoHyphens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eastAsia="宋体" w:cs="宋体"/>
          <w:color w:val="000000"/>
          <w:sz w:val="28"/>
          <w:szCs w:val="28"/>
        </w:rPr>
      </w:pPr>
    </w:p>
    <w:p w14:paraId="12091749">
      <w:pPr>
        <w:suppressAutoHyphens/>
        <w:overflowPunct w:val="0"/>
        <w:bidi w:val="0"/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  <w:szCs w:val="24"/>
        </w:rPr>
      </w:pPr>
      <w:r>
        <w:rPr>
          <w:rFonts w:hint="eastAsia" w:ascii="仿宋_GB2312" w:hAnsi="Times New Roman" w:eastAsia="仿宋_GB2312" w:cs="Times New Roman"/>
          <w:color w:val="000000"/>
          <w:sz w:val="32"/>
          <w:szCs w:val="24"/>
        </w:rPr>
        <w:t>广东证监局</w:t>
      </w:r>
    </w:p>
    <w:p w14:paraId="43D2A48E">
      <w:pPr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suppressAutoHyphens/>
        <w:overflowPunct w:val="0"/>
        <w:bidi w:val="0"/>
        <w:adjustRightInd w:val="0"/>
        <w:snapToGrid w:val="0"/>
        <w:spacing w:beforeLines="0" w:afterLines="0" w:line="360" w:lineRule="auto"/>
        <w:jc w:val="center"/>
        <w:outlineLvl w:val="9"/>
        <w:rPr>
          <w:rFonts w:ascii="Calibri" w:hAnsi="Calibri" w:eastAsia="宋体" w:cs="Times New Roman"/>
          <w:color w:val="auto"/>
          <w:sz w:val="21"/>
          <w:szCs w:val="24"/>
        </w:rPr>
      </w:pPr>
      <w:r>
        <w:rPr>
          <w:rFonts w:hint="eastAsia" w:ascii="仿宋_GB2312" w:hAnsi="Times New Roman" w:eastAsia="仿宋_GB2312" w:cs="Times New Roman"/>
          <w:color w:val="000000"/>
          <w:spacing w:val="10"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    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 xml:space="preserve">     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02</w:t>
      </w:r>
      <w:r>
        <w:rPr>
          <w:rFonts w:hint="default" w:ascii="仿宋_GB2312" w:hAnsi="Times New Roman" w:eastAsia="仿宋_GB2312" w:cs="Times New Roman"/>
          <w:color w:val="000000"/>
          <w:spacing w:val="10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年</w:t>
      </w:r>
      <w:r>
        <w:rPr>
          <w:rFonts w:hint="default" w:ascii="仿宋_GB2312" w:hAnsi="Calibri" w:eastAsia="仿宋_GB2312" w:cs="Times New Roman"/>
          <w:color w:val="000000"/>
          <w:spacing w:val="10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月</w:t>
      </w:r>
      <w:r>
        <w:rPr>
          <w:rFonts w:hint="default" w:ascii="仿宋_GB2312" w:hAnsi="Calibri" w:eastAsia="宋体" w:cs="Times New Roman"/>
          <w:color w:val="000000"/>
          <w:spacing w:val="10"/>
          <w:sz w:val="32"/>
          <w:szCs w:val="32"/>
          <w:lang w:val="en-US" w:eastAsia="zh-CN"/>
        </w:rPr>
        <w:t>25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szCs w:val="32"/>
        </w:rPr>
        <w:t>日</w:t>
      </w:r>
    </w:p>
    <w:p w14:paraId="141B1172"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65E9C5C4">
      <w:pPr>
        <w:keepNext w:val="0"/>
        <w:keepLines w:val="0"/>
        <w:widowControl/>
        <w:suppressLineNumbers w:val="0"/>
        <w:suppressAutoHyphens/>
        <w:bidi w:val="0"/>
        <w:snapToGrid w:val="0"/>
        <w:spacing w:line="360" w:lineRule="auto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46E54496">
      <w:pPr>
        <w:pStyle w:val="2"/>
        <w:rPr>
          <w:rFonts w:hint="eastAsia"/>
          <w:lang w:val="en-US" w:eastAsia="zh-CN"/>
        </w:rPr>
      </w:pPr>
      <w:bookmarkStart w:id="1" w:name="_GoBack"/>
      <w:bookmarkEnd w:id="1"/>
    </w:p>
    <w:p w14:paraId="1A8E5657">
      <w:pPr>
        <w:adjustRightInd w:val="0"/>
        <w:snapToGrid w:val="0"/>
        <w:spacing w:line="360" w:lineRule="auto"/>
        <w:ind w:right="1262"/>
        <w:jc w:val="both"/>
        <w:rPr>
          <w:rFonts w:hint="eastAsia" w:ascii="仿宋_GB2312" w:hAnsi="Times New Roman" w:eastAsia="仿宋_GB2312" w:cs="Times New Roman"/>
          <w:spacing w:val="10"/>
          <w:sz w:val="20"/>
          <w:szCs w:val="20"/>
        </w:rPr>
      </w:pPr>
    </w:p>
    <w:p w14:paraId="3638226A">
      <w:pPr>
        <w:keepNext w:val="0"/>
        <w:keepLines w:val="0"/>
        <w:pageBreakBefore w:val="0"/>
        <w:widowControl w:val="0"/>
        <w:pBdr>
          <w:top w:val="single" w:color="auto" w:sz="8" w:space="6"/>
        </w:pBd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09" w:afterLines="35"/>
        <w:ind w:firstLine="296" w:firstLineChars="100"/>
        <w:textAlignment w:val="auto"/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</w:pP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抄送：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eastAsia="zh-CN"/>
        </w:rPr>
        <w:t>证监会上市司、法治司；深圳证券交易所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。</w:t>
      </w:r>
    </w:p>
    <w:p w14:paraId="6DE406F5">
      <w:pPr>
        <w:pBdr>
          <w:top w:val="single" w:color="auto" w:sz="4" w:space="6"/>
        </w:pBdr>
        <w:adjustRightInd w:val="0"/>
        <w:snapToGrid w:val="0"/>
        <w:spacing w:after="109" w:afterLines="35"/>
        <w:ind w:firstLine="318"/>
        <w:jc w:val="left"/>
        <w:rPr>
          <w:rFonts w:hint="eastAsia" w:ascii="仿宋_GB2312" w:hAnsi="Times New Roman" w:eastAsia="仿宋_GB2312" w:cs="Times New Roman"/>
          <w:spacing w:val="8"/>
          <w:sz w:val="28"/>
          <w:szCs w:val="20"/>
        </w:rPr>
      </w:pP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 xml:space="preserve">广东证监局办公室           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 xml:space="preserve">  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 xml:space="preserve"> 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eastAsia="zh-CN"/>
        </w:rPr>
        <w:t>202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年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8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月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2</w:t>
      </w:r>
      <w:r>
        <w:rPr>
          <w:rFonts w:hint="default" w:ascii="仿宋_GB2312" w:hAnsi="Times New Roman" w:eastAsia="仿宋_GB2312" w:cs="Times New Roman"/>
          <w:spacing w:val="8"/>
          <w:sz w:val="28"/>
          <w:szCs w:val="20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spacing w:val="8"/>
          <w:sz w:val="28"/>
          <w:szCs w:val="20"/>
        </w:rPr>
        <w:t>日印发</w:t>
      </w:r>
    </w:p>
    <w:p w14:paraId="0D2DE392">
      <w:pPr>
        <w:keepNext w:val="0"/>
        <w:keepLines w:val="0"/>
        <w:pageBreakBefore w:val="0"/>
        <w:widowControl w:val="0"/>
        <w:pBdr>
          <w:top w:val="single" w:color="auto" w:sz="8" w:space="7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="0" w:afterLines="0"/>
        <w:ind w:firstLine="0"/>
        <w:jc w:val="left"/>
        <w:textAlignment w:val="auto"/>
        <w:outlineLvl w:val="9"/>
        <w:rPr>
          <w:rFonts w:hint="default" w:ascii="仿宋_GB2312" w:hAnsi="Times New Roman" w:eastAsia="仿宋_GB2312" w:cs="Times New Roman"/>
          <w:color w:val="auto"/>
          <w:spacing w:val="8"/>
          <w:sz w:val="2"/>
          <w:szCs w:val="2"/>
          <w:highlight w:val="none"/>
          <w:u w:val="none"/>
          <w:lang w:val="en-US" w:eastAsia="zh-CN"/>
        </w:rPr>
      </w:pPr>
    </w:p>
    <w:p w14:paraId="7FA26249"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A6474">
    <w:pPr>
      <w:pStyle w:val="3"/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1E6D68B">
                          <w:pPr>
                            <w:snapToGrid w:val="0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1E6D68B">
                    <w:pPr>
                      <w:snapToGrid w:val="0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4FF008">
    <w:pPr>
      <w:pStyle w:val="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5F4B62"/>
    <w:rsid w:val="1F6BD42C"/>
    <w:rsid w:val="475F4B62"/>
    <w:rsid w:val="6F6A01FD"/>
    <w:rsid w:val="6FC7E7BA"/>
    <w:rsid w:val="71A9CC62"/>
    <w:rsid w:val="7FFB7532"/>
    <w:rsid w:val="97FE4FBD"/>
    <w:rsid w:val="BD7EDD95"/>
    <w:rsid w:val="BFFD4F4C"/>
    <w:rsid w:val="CEEF8CD0"/>
    <w:rsid w:val="DE5FD77E"/>
    <w:rsid w:val="DEEF682F"/>
    <w:rsid w:val="F9F7942E"/>
    <w:rsid w:val="FEFB2308"/>
    <w:rsid w:val="FF7BA22E"/>
    <w:rsid w:val="FF7FBF3B"/>
    <w:rsid w:val="FFB5B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spacing w:line="240" w:lineRule="auto"/>
      <w:ind w:firstLine="420"/>
      <w:jc w:val="both"/>
      <w:textAlignment w:val="baseline"/>
    </w:pPr>
    <w:rPr>
      <w:rFonts w:ascii="宋体" w:hAnsi="Calibri"/>
      <w:kern w:val="0"/>
      <w:sz w:val="21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2026-08-16T14:16:00Z</dcterms:created>
  <dc:creator>张聪会</dc:creator>
  <cp:lastModifiedBy>于晓雷</cp:lastModifiedBy>
  <dcterms:modified xsi:type="dcterms:W3CDTF">2026-09-04T16:28:47Z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C569C2B83B289013EBE4906AB71EAC9A</vt:lpwstr>
  </property>
</Properties>
</file>