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29D41" w14:textId="77777777" w:rsidR="00791648" w:rsidRDefault="00000000">
      <w:pPr>
        <w:widowControl/>
        <w:jc w:val="center"/>
        <w:rPr>
          <w:rFonts w:ascii="宋体" w:hAnsi="宋体" w:hint="eastAsia"/>
          <w:bCs/>
          <w:iCs/>
          <w:color w:val="000000"/>
          <w:sz w:val="24"/>
        </w:rPr>
      </w:pPr>
      <w:bookmarkStart w:id="0" w:name="_Toc515462335"/>
      <w:r>
        <w:rPr>
          <w:rFonts w:ascii="宋体" w:hAnsi="宋体" w:hint="eastAsia"/>
          <w:bCs/>
          <w:iCs/>
          <w:color w:val="000000"/>
          <w:sz w:val="24"/>
        </w:rPr>
        <w:t xml:space="preserve">证券代码：600392  </w:t>
      </w:r>
      <w:r>
        <w:rPr>
          <w:rFonts w:ascii="宋体" w:hAnsi="宋体"/>
          <w:bCs/>
          <w:iCs/>
          <w:color w:val="000000"/>
          <w:sz w:val="24"/>
        </w:rPr>
        <w:t xml:space="preserve">         </w:t>
      </w:r>
      <w:r>
        <w:rPr>
          <w:rFonts w:ascii="宋体" w:hAnsi="宋体" w:hint="eastAsia"/>
          <w:bCs/>
          <w:iCs/>
          <w:color w:val="000000"/>
          <w:sz w:val="24"/>
        </w:rPr>
        <w:t xml:space="preserve">           证券简称：盛和资源</w:t>
      </w:r>
    </w:p>
    <w:p w14:paraId="4C37C4B8" w14:textId="77777777" w:rsidR="00791648" w:rsidRDefault="00791648">
      <w:pPr>
        <w:widowControl/>
        <w:jc w:val="center"/>
        <w:rPr>
          <w:rFonts w:ascii="宋体" w:hAnsi="宋体" w:hint="eastAsia"/>
          <w:bCs/>
          <w:iCs/>
          <w:color w:val="000000"/>
          <w:sz w:val="24"/>
        </w:rPr>
      </w:pPr>
    </w:p>
    <w:p w14:paraId="1282954C" w14:textId="77777777" w:rsidR="00791648" w:rsidRDefault="00000000">
      <w:pPr>
        <w:widowControl/>
        <w:spacing w:beforeLines="100" w:before="312"/>
        <w:jc w:val="center"/>
        <w:rPr>
          <w:rFonts w:ascii="宋体" w:hAnsi="宋体" w:hint="eastAsia"/>
          <w:bCs/>
          <w:iCs/>
          <w:color w:val="000000"/>
          <w:sz w:val="36"/>
          <w:szCs w:val="36"/>
        </w:rPr>
      </w:pPr>
      <w:r>
        <w:rPr>
          <w:rFonts w:ascii="宋体" w:hAnsi="宋体" w:hint="eastAsia"/>
          <w:bCs/>
          <w:iCs/>
          <w:color w:val="000000"/>
          <w:sz w:val="36"/>
          <w:szCs w:val="36"/>
        </w:rPr>
        <w:t>盛和资源控股股份有限公司</w:t>
      </w:r>
    </w:p>
    <w:p w14:paraId="36A63EE8" w14:textId="77777777" w:rsidR="00791648" w:rsidRDefault="00000000">
      <w:pPr>
        <w:widowControl/>
        <w:spacing w:afterLines="100" w:after="312"/>
        <w:jc w:val="center"/>
        <w:rPr>
          <w:rFonts w:ascii="宋体" w:hAnsi="宋体" w:hint="eastAsia"/>
          <w:color w:val="000000"/>
          <w:sz w:val="36"/>
          <w:szCs w:val="36"/>
        </w:rPr>
      </w:pPr>
      <w:r>
        <w:rPr>
          <w:rFonts w:ascii="宋体" w:hAnsi="宋体" w:hint="eastAsia"/>
          <w:bCs/>
          <w:iCs/>
          <w:color w:val="000000"/>
          <w:sz w:val="36"/>
          <w:szCs w:val="36"/>
        </w:rPr>
        <w:t>投资者关系活动记录表</w:t>
      </w:r>
    </w:p>
    <w:p w14:paraId="22C809E6" w14:textId="77777777" w:rsidR="00791648" w:rsidRDefault="00000000">
      <w:pPr>
        <w:spacing w:line="360" w:lineRule="auto"/>
        <w:rPr>
          <w:rFonts w:ascii="宋体" w:hAnsi="宋体" w:hint="eastAsia"/>
          <w:bCs/>
          <w:iCs/>
          <w:color w:val="000000"/>
          <w:szCs w:val="21"/>
          <w:highlight w:val="yellow"/>
        </w:rPr>
      </w:pPr>
      <w:r>
        <w:rPr>
          <w:rFonts w:ascii="宋体" w:hAnsi="宋体"/>
          <w:bCs/>
          <w:iCs/>
          <w:color w:val="000000"/>
          <w:szCs w:val="21"/>
        </w:rPr>
        <w:t xml:space="preserve">                                                     </w:t>
      </w:r>
      <w:r>
        <w:rPr>
          <w:rFonts w:ascii="宋体" w:hAnsi="宋体" w:hint="eastAsia"/>
          <w:bCs/>
          <w:iCs/>
          <w:color w:val="000000"/>
          <w:szCs w:val="21"/>
        </w:rPr>
        <w:t xml:space="preserve">            </w:t>
      </w:r>
      <w:r>
        <w:rPr>
          <w:rFonts w:ascii="宋体" w:hAnsi="宋体"/>
          <w:bCs/>
          <w:iCs/>
          <w:color w:val="000000"/>
          <w:szCs w:val="21"/>
        </w:rPr>
        <w:t>编号：</w:t>
      </w:r>
      <w:r>
        <w:rPr>
          <w:rFonts w:ascii="宋体" w:hAnsi="宋体" w:hint="eastAsia"/>
          <w:bCs/>
          <w:iCs/>
          <w:color w:val="000000"/>
          <w:szCs w:val="21"/>
        </w:rPr>
        <w:t>2</w:t>
      </w:r>
      <w:r>
        <w:rPr>
          <w:rFonts w:ascii="宋体" w:hAnsi="宋体"/>
          <w:bCs/>
          <w:iCs/>
          <w:color w:val="000000"/>
          <w:szCs w:val="21"/>
        </w:rPr>
        <w:t>02</w:t>
      </w:r>
      <w:r>
        <w:rPr>
          <w:rFonts w:ascii="宋体" w:hAnsi="宋体" w:hint="eastAsia"/>
          <w:bCs/>
          <w:iCs/>
          <w:color w:val="000000"/>
          <w:szCs w:val="21"/>
        </w:rPr>
        <w:t>6</w:t>
      </w:r>
      <w:r>
        <w:rPr>
          <w:rFonts w:ascii="宋体" w:hAnsi="宋体"/>
          <w:bCs/>
          <w:iCs/>
          <w:color w:val="000000"/>
          <w:szCs w:val="21"/>
        </w:rPr>
        <w:t>-</w:t>
      </w:r>
      <w:r>
        <w:rPr>
          <w:rFonts w:ascii="宋体" w:hAnsi="宋体" w:hint="eastAsia"/>
          <w:bCs/>
          <w:iCs/>
          <w:color w:val="000000"/>
          <w:szCs w:val="21"/>
        </w:rPr>
        <w:t>05</w:t>
      </w:r>
    </w:p>
    <w:tbl>
      <w:tblPr>
        <w:tblW w:w="9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7088"/>
      </w:tblGrid>
      <w:tr w:rsidR="00791648" w14:paraId="17858151" w14:textId="77777777">
        <w:trPr>
          <w:jc w:val="center"/>
        </w:trPr>
        <w:tc>
          <w:tcPr>
            <w:tcW w:w="2547" w:type="dxa"/>
            <w:vAlign w:val="center"/>
          </w:tcPr>
          <w:p w14:paraId="6F307832" w14:textId="77777777" w:rsidR="00791648" w:rsidRDefault="00000000">
            <w:pPr>
              <w:spacing w:line="360" w:lineRule="auto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投资者关系活动类别</w:t>
            </w:r>
            <w:r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  <w:t>“选中项请打√”</w:t>
            </w:r>
          </w:p>
        </w:tc>
        <w:tc>
          <w:tcPr>
            <w:tcW w:w="7088" w:type="dxa"/>
          </w:tcPr>
          <w:p w14:paraId="3180067C" w14:textId="77777777" w:rsidR="00791648" w:rsidRDefault="00000000">
            <w:pPr>
              <w:spacing w:line="360" w:lineRule="auto"/>
              <w:jc w:val="left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☑</w:t>
            </w:r>
            <w:r>
              <w:rPr>
                <w:rFonts w:ascii="宋体" w:hAnsi="宋体"/>
                <w:color w:val="000000"/>
                <w:szCs w:val="21"/>
              </w:rPr>
              <w:t xml:space="preserve">特定对象调研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sym w:font="Wingdings 2" w:char="00A3"/>
            </w:r>
            <w:r>
              <w:rPr>
                <w:rFonts w:ascii="宋体" w:hAnsi="宋体"/>
                <w:color w:val="000000"/>
                <w:szCs w:val="21"/>
              </w:rPr>
              <w:t>分析师会议</w:t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 xml:space="preserve">    </w:t>
            </w:r>
            <w:bookmarkStart w:id="1" w:name="OLE_LINK1"/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bookmarkEnd w:id="1"/>
            <w:r>
              <w:rPr>
                <w:rFonts w:ascii="宋体" w:hAnsi="宋体"/>
                <w:color w:val="000000"/>
                <w:szCs w:val="21"/>
              </w:rPr>
              <w:t xml:space="preserve">媒体采访   </w:t>
            </w:r>
            <w:r>
              <w:rPr>
                <w:rFonts w:ascii="宋体" w:hAnsi="宋体" w:hint="eastAsia"/>
                <w:color w:val="000000"/>
                <w:szCs w:val="21"/>
              </w:rPr>
              <w:t xml:space="preserve"> □</w:t>
            </w:r>
            <w:r>
              <w:rPr>
                <w:rFonts w:ascii="宋体" w:hAnsi="宋体"/>
                <w:color w:val="000000"/>
                <w:szCs w:val="21"/>
              </w:rPr>
              <w:t>业绩说明会</w:t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 xml:space="preserve">     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 xml:space="preserve">新闻发布会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>路演活动</w:t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 xml:space="preserve"> 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>现场参观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ab/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 xml:space="preserve">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sym w:font="Wingdings 2" w:char="0052"/>
            </w:r>
            <w:r>
              <w:rPr>
                <w:rFonts w:ascii="宋体" w:hAnsi="宋体"/>
                <w:color w:val="000000"/>
                <w:szCs w:val="21"/>
              </w:rPr>
              <w:t>其他</w:t>
            </w:r>
            <w:r>
              <w:rPr>
                <w:rFonts w:ascii="宋体" w:hAnsi="宋体" w:hint="eastAsia"/>
                <w:color w:val="000000"/>
                <w:szCs w:val="21"/>
              </w:rPr>
              <w:t>（电话</w:t>
            </w:r>
            <w:r>
              <w:rPr>
                <w:rFonts w:ascii="宋体" w:hAnsi="宋体"/>
                <w:color w:val="000000"/>
                <w:szCs w:val="21"/>
              </w:rPr>
              <w:t>会议</w:t>
            </w:r>
            <w:r>
              <w:rPr>
                <w:rFonts w:ascii="宋体" w:hAnsi="宋体" w:hint="eastAsia"/>
                <w:color w:val="000000"/>
                <w:szCs w:val="21"/>
              </w:rPr>
              <w:t>）</w:t>
            </w:r>
          </w:p>
        </w:tc>
      </w:tr>
      <w:tr w:rsidR="00791648" w14:paraId="63C0597D" w14:textId="77777777">
        <w:trPr>
          <w:trHeight w:val="569"/>
          <w:jc w:val="center"/>
        </w:trPr>
        <w:tc>
          <w:tcPr>
            <w:tcW w:w="2547" w:type="dxa"/>
            <w:vAlign w:val="center"/>
          </w:tcPr>
          <w:p w14:paraId="77BEB1BA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参与单位名称</w:t>
            </w:r>
          </w:p>
        </w:tc>
        <w:tc>
          <w:tcPr>
            <w:tcW w:w="7088" w:type="dxa"/>
            <w:vAlign w:val="center"/>
          </w:tcPr>
          <w:p w14:paraId="69B51A57" w14:textId="77777777" w:rsidR="00791648" w:rsidRDefault="00000000">
            <w:pPr>
              <w:spacing w:line="276" w:lineRule="auto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方正证券、国盛证券、国投证券、招商证券、浙商证券、广发证券、天风证券、中金公司、西部证券、长城证券、东方证券、华西证券、中邮证券、开源证券、银河证券、东方财富证券、中银国际证券、阳光资产、富国基金、丝元投资、中欧基金、国泰基金、华夏基金、中加基金、长盛基金、博时基金、中国五矿、艾芬豪矿业、淡水泉投资、和宸资本、弘尚资产、凛冬资产、嘉荣资本、北京泽铭投资、磐厚动量、上海上实资本、北京文博启胜投资、上海九方云智能科技有限公司、上海普行资产、淇琳投资、蚌埠明道资产、云南约牛证券投资咨询有限公司</w:t>
            </w:r>
          </w:p>
        </w:tc>
      </w:tr>
      <w:tr w:rsidR="00791648" w14:paraId="02BEE1C8" w14:textId="77777777">
        <w:trPr>
          <w:jc w:val="center"/>
        </w:trPr>
        <w:tc>
          <w:tcPr>
            <w:tcW w:w="2547" w:type="dxa"/>
            <w:vAlign w:val="center"/>
          </w:tcPr>
          <w:p w14:paraId="6536011A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时间</w:t>
            </w:r>
          </w:p>
        </w:tc>
        <w:tc>
          <w:tcPr>
            <w:tcW w:w="7088" w:type="dxa"/>
            <w:vAlign w:val="center"/>
          </w:tcPr>
          <w:p w14:paraId="63D5237A" w14:textId="77777777" w:rsidR="00791648" w:rsidRDefault="00000000">
            <w:pPr>
              <w:spacing w:line="276" w:lineRule="auto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Cs/>
                <w:iCs/>
                <w:color w:val="000000"/>
                <w:szCs w:val="21"/>
              </w:rPr>
              <w:t>202</w:t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6年8月</w:t>
            </w:r>
          </w:p>
        </w:tc>
      </w:tr>
      <w:tr w:rsidR="00791648" w14:paraId="61A29FCC" w14:textId="77777777">
        <w:trPr>
          <w:jc w:val="center"/>
        </w:trPr>
        <w:tc>
          <w:tcPr>
            <w:tcW w:w="2547" w:type="dxa"/>
            <w:vAlign w:val="center"/>
          </w:tcPr>
          <w:p w14:paraId="6FE85CB1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  <w:t>地点</w:t>
            </w:r>
          </w:p>
        </w:tc>
        <w:tc>
          <w:tcPr>
            <w:tcW w:w="7088" w:type="dxa"/>
            <w:vAlign w:val="center"/>
          </w:tcPr>
          <w:p w14:paraId="4038E47F" w14:textId="77777777" w:rsidR="00791648" w:rsidRDefault="00000000">
            <w:pPr>
              <w:spacing w:line="276" w:lineRule="auto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公司总部会议室、电话会议</w:t>
            </w:r>
          </w:p>
        </w:tc>
      </w:tr>
      <w:tr w:rsidR="00791648" w14:paraId="5B75BFF0" w14:textId="77777777">
        <w:trPr>
          <w:jc w:val="center"/>
        </w:trPr>
        <w:tc>
          <w:tcPr>
            <w:tcW w:w="2547" w:type="dxa"/>
            <w:vAlign w:val="center"/>
          </w:tcPr>
          <w:p w14:paraId="36D92FC6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上市公司接待人员姓名</w:t>
            </w:r>
          </w:p>
        </w:tc>
        <w:tc>
          <w:tcPr>
            <w:tcW w:w="7088" w:type="dxa"/>
            <w:vAlign w:val="center"/>
          </w:tcPr>
          <w:p w14:paraId="450A9087" w14:textId="77777777" w:rsidR="00791648" w:rsidRDefault="00000000">
            <w:pPr>
              <w:spacing w:line="276" w:lineRule="auto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董事、副总经理、董事会秘书：郭晓雷 </w:t>
            </w:r>
          </w:p>
          <w:p w14:paraId="41575D77" w14:textId="77777777" w:rsidR="00791648" w:rsidRDefault="00000000">
            <w:pPr>
              <w:spacing w:line="276" w:lineRule="auto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投资者关系总监：孙宇翔</w:t>
            </w:r>
          </w:p>
          <w:p w14:paraId="4FA97093" w14:textId="77777777" w:rsidR="00791648" w:rsidRDefault="00000000">
            <w:pPr>
              <w:spacing w:line="276" w:lineRule="auto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证券部经理、证券事务代表：陈冬梅</w:t>
            </w:r>
          </w:p>
          <w:p w14:paraId="3250A925" w14:textId="77777777" w:rsidR="00791648" w:rsidRDefault="00000000">
            <w:pPr>
              <w:spacing w:line="276" w:lineRule="auto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证券部副经理：王尧</w:t>
            </w:r>
          </w:p>
        </w:tc>
      </w:tr>
      <w:tr w:rsidR="00791648" w14:paraId="475B8F18" w14:textId="77777777">
        <w:trPr>
          <w:jc w:val="center"/>
        </w:trPr>
        <w:tc>
          <w:tcPr>
            <w:tcW w:w="2547" w:type="dxa"/>
            <w:vAlign w:val="center"/>
          </w:tcPr>
          <w:p w14:paraId="4F514FAD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调研</w:t>
            </w:r>
            <w:r>
              <w:rPr>
                <w:rFonts w:ascii="宋体" w:hAnsi="宋体"/>
              </w:rPr>
              <w:t>主要内容介绍</w:t>
            </w:r>
          </w:p>
          <w:p w14:paraId="7D6A727D" w14:textId="77777777" w:rsidR="00791648" w:rsidRDefault="00791648">
            <w:pPr>
              <w:spacing w:beforeLines="50" w:before="156"/>
              <w:ind w:firstLineChars="200" w:firstLine="420"/>
              <w:rPr>
                <w:rFonts w:ascii="宋体" w:hAnsi="宋体" w:hint="eastAsia"/>
              </w:rPr>
            </w:pPr>
          </w:p>
        </w:tc>
        <w:tc>
          <w:tcPr>
            <w:tcW w:w="7088" w:type="dxa"/>
          </w:tcPr>
          <w:p w14:paraId="77B73306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1、公司2026年半年度业绩情况？</w:t>
            </w:r>
          </w:p>
          <w:p w14:paraId="4A2D52B5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答：2026年上半年，公司实现营业收入87.59亿元，同比增长41.76%；归属于上市公司股东的净利润8.87亿元，同比增长135.24%。2026年第二季度，公司实现营业收入53.77亿元，同比增长68.70%；实现归属于上市公司股东的净利润5.59亿元，同比增长168.15%。</w:t>
            </w:r>
          </w:p>
          <w:p w14:paraId="47CAC863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2、公司2026年中期分红安排及相关考虑？</w:t>
            </w:r>
          </w:p>
          <w:p w14:paraId="4976679D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lastRenderedPageBreak/>
              <w:t>答：公司拟在2026年度中期向全体股东每股派发现金红利0.05元（含税）。公司《未来三年（2026-2028年）股东回报规划》经2026年4月9日第九届董事会第七次会议审议通过。公司按照上述规划的有关要求，牢固树立回报股东意识，合理提高分红率和股息率，提高分红的稳定性、及时性和可预期性。</w:t>
            </w:r>
          </w:p>
          <w:p w14:paraId="5E71D038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3、公司下一阶段的发展方向？</w:t>
            </w:r>
          </w:p>
          <w:p w14:paraId="4F4DDA8C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答：</w:t>
            </w:r>
            <w:r>
              <w:rPr>
                <w:rFonts w:hint="eastAsia"/>
                <w:color w:val="000000" w:themeColor="text1"/>
              </w:rPr>
              <w:t>为了更好地指引公司未来三年的发展，公司制定了</w:t>
            </w:r>
            <w:r>
              <w:rPr>
                <w:rFonts w:hint="eastAsia"/>
                <w:color w:val="000000" w:themeColor="text1"/>
              </w:rPr>
              <w:t>2026-2028</w:t>
            </w:r>
            <w:r>
              <w:rPr>
                <w:rFonts w:hint="eastAsia"/>
                <w:color w:val="000000" w:themeColor="text1"/>
              </w:rPr>
              <w:t>年发展规划，明确公司的总体发展目标：立足“负责任的关键原材料国际化供应商”发展定位，以稀土为核心、锆钛为增长极，打造“资源掌控</w:t>
            </w:r>
            <w:r>
              <w:rPr>
                <w:rFonts w:hint="eastAsia"/>
                <w:color w:val="000000" w:themeColor="text1"/>
              </w:rPr>
              <w:t>+</w:t>
            </w:r>
            <w:r>
              <w:rPr>
                <w:rFonts w:hint="eastAsia"/>
                <w:color w:val="000000" w:themeColor="text1"/>
              </w:rPr>
              <w:t>产业链协同</w:t>
            </w:r>
            <w:r>
              <w:rPr>
                <w:rFonts w:hint="eastAsia"/>
                <w:color w:val="000000" w:themeColor="text1"/>
              </w:rPr>
              <w:t>+</w:t>
            </w:r>
            <w:r>
              <w:rPr>
                <w:rFonts w:hint="eastAsia"/>
                <w:color w:val="000000" w:themeColor="text1"/>
              </w:rPr>
              <w:t>技术引领</w:t>
            </w:r>
            <w:r>
              <w:rPr>
                <w:rFonts w:hint="eastAsia"/>
                <w:color w:val="000000" w:themeColor="text1"/>
              </w:rPr>
              <w:t>+</w:t>
            </w:r>
            <w:r>
              <w:rPr>
                <w:rFonts w:hint="eastAsia"/>
                <w:color w:val="000000" w:themeColor="text1"/>
              </w:rPr>
              <w:t>全球布局”的综合型关键原材料供应企业，力争到</w:t>
            </w:r>
            <w:r>
              <w:rPr>
                <w:rFonts w:hint="eastAsia"/>
                <w:color w:val="000000" w:themeColor="text1"/>
              </w:rPr>
              <w:t>2028</w:t>
            </w:r>
            <w:r>
              <w:rPr>
                <w:rFonts w:hint="eastAsia"/>
                <w:color w:val="000000" w:themeColor="text1"/>
              </w:rPr>
              <w:t>年成为全球稀土领先企业、全球锆钛领域重要参与者，并择机拓展公司业务范围，参与“稀有、稀散、稀贵”资源的投资与开发，培育新的增长点。规划提出了到</w:t>
            </w:r>
            <w:r>
              <w:rPr>
                <w:rFonts w:hint="eastAsia"/>
                <w:color w:val="000000" w:themeColor="text1"/>
              </w:rPr>
              <w:t>2028</w:t>
            </w:r>
            <w:r>
              <w:rPr>
                <w:rFonts w:hint="eastAsia"/>
                <w:color w:val="000000" w:themeColor="text1"/>
              </w:rPr>
              <w:t>年</w:t>
            </w:r>
            <w:r>
              <w:rPr>
                <w:color w:val="000000" w:themeColor="text1"/>
              </w:rPr>
              <w:t>的</w:t>
            </w:r>
            <w:r>
              <w:rPr>
                <w:rFonts w:hint="eastAsia"/>
                <w:color w:val="000000" w:themeColor="text1"/>
              </w:rPr>
              <w:t>核心量化目标，经营目标：营业收入年均增长≥</w:t>
            </w:r>
            <w:r>
              <w:rPr>
                <w:rFonts w:hint="eastAsia"/>
                <w:color w:val="000000" w:themeColor="text1"/>
              </w:rPr>
              <w:t>10%</w:t>
            </w:r>
            <w:r>
              <w:rPr>
                <w:rFonts w:hint="eastAsia"/>
                <w:color w:val="000000" w:themeColor="text1"/>
              </w:rPr>
              <w:t>，净利润年均增速和净资产收益率高于同行业平均水平；业务目标：稀土精矿（</w:t>
            </w:r>
            <w:r>
              <w:rPr>
                <w:rFonts w:hint="eastAsia"/>
                <w:color w:val="000000" w:themeColor="text1"/>
              </w:rPr>
              <w:t>REO</w:t>
            </w:r>
            <w:r>
              <w:rPr>
                <w:rFonts w:hint="eastAsia"/>
                <w:color w:val="000000" w:themeColor="text1"/>
              </w:rPr>
              <w:t>）产能≥</w:t>
            </w:r>
            <w:r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万吨</w:t>
            </w:r>
            <w:r>
              <w:rPr>
                <w:rFonts w:hint="eastAsia"/>
                <w:color w:val="000000" w:themeColor="text1"/>
              </w:rPr>
              <w:t>/</w:t>
            </w:r>
            <w:r>
              <w:rPr>
                <w:rFonts w:hint="eastAsia"/>
                <w:color w:val="000000" w:themeColor="text1"/>
              </w:rPr>
              <w:t>年，国内稀土产品加工与循环产业产能利用率维持</w:t>
            </w:r>
            <w:r>
              <w:rPr>
                <w:rFonts w:hint="eastAsia"/>
                <w:color w:val="000000" w:themeColor="text1"/>
              </w:rPr>
              <w:t>95%</w:t>
            </w:r>
            <w:r>
              <w:rPr>
                <w:rFonts w:hint="eastAsia"/>
                <w:color w:val="000000" w:themeColor="text1"/>
              </w:rPr>
              <w:t>以上；自有矿山各类锆钛重砂矿产品产能≥</w:t>
            </w:r>
            <w:r>
              <w:rPr>
                <w:rFonts w:hint="eastAsia"/>
                <w:color w:val="000000" w:themeColor="text1"/>
              </w:rPr>
              <w:t>150</w:t>
            </w:r>
            <w:r>
              <w:rPr>
                <w:rFonts w:hint="eastAsia"/>
                <w:color w:val="000000" w:themeColor="text1"/>
              </w:rPr>
              <w:t>万吨</w:t>
            </w:r>
            <w:r>
              <w:rPr>
                <w:rFonts w:hint="eastAsia"/>
                <w:color w:val="000000" w:themeColor="text1"/>
              </w:rPr>
              <w:t>/</w:t>
            </w:r>
            <w:r>
              <w:rPr>
                <w:rFonts w:hint="eastAsia"/>
                <w:color w:val="000000" w:themeColor="text1"/>
              </w:rPr>
              <w:t>年，国内选矿厂产能利用率维持</w:t>
            </w:r>
            <w:r>
              <w:rPr>
                <w:rFonts w:hint="eastAsia"/>
                <w:color w:val="000000" w:themeColor="text1"/>
              </w:rPr>
              <w:t>80%</w:t>
            </w:r>
            <w:r>
              <w:rPr>
                <w:rFonts w:hint="eastAsia"/>
                <w:color w:val="000000" w:themeColor="text1"/>
              </w:rPr>
              <w:t>以上，整体锆钛业务营收占比≥</w:t>
            </w:r>
            <w:r>
              <w:rPr>
                <w:rFonts w:hint="eastAsia"/>
                <w:color w:val="000000" w:themeColor="text1"/>
              </w:rPr>
              <w:t>30%</w:t>
            </w:r>
            <w:r>
              <w:rPr>
                <w:rFonts w:hint="eastAsia"/>
                <w:color w:val="000000" w:themeColor="text1"/>
              </w:rPr>
              <w:t>；资源与下游布局目标：新增海外各类资源储备≥</w:t>
            </w:r>
            <w:r>
              <w:rPr>
                <w:rFonts w:hint="eastAsia"/>
                <w:color w:val="000000" w:themeColor="text1"/>
              </w:rPr>
              <w:t>3000</w:t>
            </w:r>
            <w:r>
              <w:rPr>
                <w:rFonts w:hint="eastAsia"/>
                <w:color w:val="000000" w:themeColor="text1"/>
              </w:rPr>
              <w:t>万吨；作为负责任的全球关键资源供应商，进一步建立健全合规运营全覆盖体系，深化</w:t>
            </w:r>
            <w:r>
              <w:rPr>
                <w:rFonts w:hint="eastAsia"/>
                <w:color w:val="000000" w:themeColor="text1"/>
              </w:rPr>
              <w:t>ESG</w:t>
            </w:r>
            <w:r>
              <w:rPr>
                <w:rFonts w:hint="eastAsia"/>
                <w:color w:val="000000" w:themeColor="text1"/>
              </w:rPr>
              <w:t>管理与赋能；加强稀土、锆钛下游应用领域投资探索，培育新增长动力，推动产业链向终端延伸。</w:t>
            </w:r>
          </w:p>
          <w:p w14:paraId="78C5FD67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4、公司坦桑尼亚锆钛矿项目进展如何？</w:t>
            </w:r>
          </w:p>
          <w:p w14:paraId="5E9762BC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答：公司位于坦桑尼亚的尼亚提重砂矿项目正稳步推进。其中Fungoni项目通过市电替代柴油发电降本控险，运行状况良好，已于7月份正式实现了重矿物精矿回运，与国内锆钛选矿业务形成协同联动效应；Tajiri项目粗选厂已实现连续稳产，完成当地精选厂建设手续办理，同步实现“三通一平”、水电配套及营地基建全面落地，朝全面投产迈出坚实步伐。</w:t>
            </w:r>
          </w:p>
          <w:p w14:paraId="70B3AC1F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5、公司江阴加华工厂目前产能利用率如何？</w:t>
            </w:r>
          </w:p>
          <w:p w14:paraId="37DF1BB2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答：江阴加华工厂已于2026年3月完成安全环保全面升级，恢复正常生产运营，依照国家指令性计划进行生产，业务运转状况良好。</w:t>
            </w:r>
          </w:p>
          <w:p w14:paraId="05364E04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6、公司国内重点项目的推进进展？</w:t>
            </w:r>
          </w:p>
          <w:p w14:paraId="0F5B9479" w14:textId="77777777" w:rsidR="00791648" w:rsidRDefault="00000000">
            <w:pPr>
              <w:spacing w:beforeLines="50" w:before="156"/>
              <w:ind w:firstLineChars="200" w:firstLine="420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答：</w:t>
            </w:r>
            <w:r>
              <w:rPr>
                <w:rFonts w:hint="eastAsia"/>
                <w:color w:val="000000" w:themeColor="text1"/>
              </w:rPr>
              <w:t>报告期内，“数字盛和”业财一体化信息平台核心功能已完成开发、测试及试点验证，各项性能指标达到预期，力求于今年年底前实现全公司范围内的正式建成与上线运行；乐山盛和</w:t>
            </w:r>
            <w:r>
              <w:rPr>
                <w:rFonts w:hint="eastAsia"/>
                <w:color w:val="000000" w:themeColor="text1"/>
              </w:rPr>
              <w:t>1.5</w:t>
            </w:r>
            <w:r>
              <w:rPr>
                <w:rFonts w:hint="eastAsia"/>
                <w:color w:val="000000" w:themeColor="text1"/>
              </w:rPr>
              <w:t>万吨</w:t>
            </w:r>
            <w:r>
              <w:rPr>
                <w:rFonts w:hint="eastAsia"/>
                <w:color w:val="000000" w:themeColor="text1"/>
              </w:rPr>
              <w:t>/</w:t>
            </w:r>
            <w:r>
              <w:rPr>
                <w:rFonts w:hint="eastAsia"/>
                <w:color w:val="000000" w:themeColor="text1"/>
              </w:rPr>
              <w:t>年高性能稀土抛光粉项目预计</w:t>
            </w:r>
            <w:r>
              <w:rPr>
                <w:rFonts w:hint="eastAsia"/>
                <w:color w:val="000000" w:themeColor="text1"/>
              </w:rPr>
              <w:t>9</w:t>
            </w:r>
            <w:r>
              <w:rPr>
                <w:rFonts w:hint="eastAsia"/>
                <w:color w:val="000000" w:themeColor="text1"/>
              </w:rPr>
              <w:t>月底竣工验收，</w:t>
            </w:r>
            <w:r>
              <w:rPr>
                <w:rFonts w:hint="eastAsia"/>
                <w:color w:val="000000" w:themeColor="text1"/>
              </w:rPr>
              <w:t>10</w:t>
            </w:r>
            <w:r>
              <w:rPr>
                <w:rFonts w:hint="eastAsia"/>
                <w:color w:val="000000" w:themeColor="text1"/>
              </w:rPr>
              <w:t>月投产试车；三稀环保公司渣库项目有序推进，预计</w:t>
            </w:r>
            <w:r>
              <w:rPr>
                <w:rFonts w:hint="eastAsia"/>
                <w:color w:val="000000" w:themeColor="text1"/>
              </w:rPr>
              <w:lastRenderedPageBreak/>
              <w:t>将于年底前完成验收及投产试运行；盛和德昌着力推动“</w:t>
            </w:r>
            <w:r>
              <w:rPr>
                <w:rFonts w:hint="eastAsia"/>
                <w:color w:val="000000" w:themeColor="text1"/>
              </w:rPr>
              <w:t>6000</w:t>
            </w:r>
            <w:r>
              <w:rPr>
                <w:rFonts w:hint="eastAsia"/>
                <w:color w:val="000000" w:themeColor="text1"/>
              </w:rPr>
              <w:t>吨</w:t>
            </w:r>
            <w:r>
              <w:rPr>
                <w:rFonts w:hint="eastAsia"/>
                <w:color w:val="000000" w:themeColor="text1"/>
              </w:rPr>
              <w:t>/</w:t>
            </w:r>
            <w:r>
              <w:rPr>
                <w:rFonts w:hint="eastAsia"/>
                <w:color w:val="000000" w:themeColor="text1"/>
              </w:rPr>
              <w:t>年稀土金属深加工技改项目”安评、能评编制及初评工作；国内锆钛选矿基地完成尾矿浮选线设备安装改造，为提升尾矿处理能力奠定了更为坚实的基础</w:t>
            </w:r>
            <w:r>
              <w:rPr>
                <w:rFonts w:ascii="宋体" w:hAnsi="宋体" w:cs="宋体" w:hint="eastAsia"/>
              </w:rPr>
              <w:t>。</w:t>
            </w:r>
          </w:p>
        </w:tc>
      </w:tr>
      <w:tr w:rsidR="00791648" w14:paraId="2E2FB6CA" w14:textId="77777777">
        <w:trPr>
          <w:jc w:val="center"/>
        </w:trPr>
        <w:tc>
          <w:tcPr>
            <w:tcW w:w="2547" w:type="dxa"/>
            <w:vAlign w:val="center"/>
          </w:tcPr>
          <w:p w14:paraId="1E8D5AD8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  <w:lastRenderedPageBreak/>
              <w:t xml:space="preserve"> </w:t>
            </w: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附件清单（如有）</w:t>
            </w:r>
          </w:p>
        </w:tc>
        <w:tc>
          <w:tcPr>
            <w:tcW w:w="7088" w:type="dxa"/>
          </w:tcPr>
          <w:p w14:paraId="2FE2E31E" w14:textId="77777777" w:rsidR="00791648" w:rsidRDefault="00000000">
            <w:pPr>
              <w:spacing w:line="360" w:lineRule="auto"/>
              <w:ind w:firstLineChars="50" w:firstLine="105"/>
              <w:jc w:val="center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无</w:t>
            </w:r>
          </w:p>
        </w:tc>
      </w:tr>
      <w:tr w:rsidR="00791648" w14:paraId="61EA9EC5" w14:textId="77777777">
        <w:trPr>
          <w:jc w:val="center"/>
        </w:trPr>
        <w:tc>
          <w:tcPr>
            <w:tcW w:w="2547" w:type="dxa"/>
            <w:vAlign w:val="center"/>
          </w:tcPr>
          <w:p w14:paraId="77842265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日期</w:t>
            </w:r>
          </w:p>
        </w:tc>
        <w:tc>
          <w:tcPr>
            <w:tcW w:w="7088" w:type="dxa"/>
          </w:tcPr>
          <w:p w14:paraId="232873AE" w14:textId="77777777" w:rsidR="00791648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Cs/>
                <w:iCs/>
                <w:color w:val="000000"/>
                <w:szCs w:val="21"/>
              </w:rPr>
              <w:t>202</w:t>
            </w:r>
            <w:r>
              <w:rPr>
                <w:rFonts w:ascii="宋体" w:hAnsi="宋体" w:hint="eastAsia"/>
                <w:bCs/>
                <w:iCs/>
                <w:color w:val="000000"/>
                <w:szCs w:val="21"/>
              </w:rPr>
              <w:t>6年9月7日</w:t>
            </w:r>
          </w:p>
        </w:tc>
      </w:tr>
      <w:bookmarkEnd w:id="0"/>
    </w:tbl>
    <w:p w14:paraId="00D9CD21" w14:textId="77777777" w:rsidR="00791648" w:rsidRDefault="00791648">
      <w:pPr>
        <w:widowControl/>
        <w:jc w:val="left"/>
        <w:rPr>
          <w:rFonts w:ascii="仿宋" w:eastAsia="仿宋" w:hAnsi="仿宋" w:hint="eastAsia"/>
          <w:sz w:val="28"/>
          <w:szCs w:val="28"/>
        </w:rPr>
      </w:pPr>
    </w:p>
    <w:sectPr w:rsidR="00791648">
      <w:footerReference w:type="even" r:id="rId6"/>
      <w:footerReference w:type="default" r:id="rId7"/>
      <w:pgSz w:w="11906" w:h="16838"/>
      <w:pgMar w:top="1701" w:right="1797" w:bottom="1134" w:left="179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FC68" w14:textId="77777777" w:rsidR="00963988" w:rsidRDefault="00963988">
      <w:pPr>
        <w:spacing w:line="240" w:lineRule="auto"/>
      </w:pPr>
      <w:r>
        <w:separator/>
      </w:r>
    </w:p>
  </w:endnote>
  <w:endnote w:type="continuationSeparator" w:id="0">
    <w:p w14:paraId="761637FB" w14:textId="77777777" w:rsidR="00963988" w:rsidRDefault="00963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F6DA1" w14:textId="77777777" w:rsidR="00791648" w:rsidRDefault="00000000">
    <w:pPr>
      <w:pStyle w:val="a8"/>
      <w:framePr w:wrap="around" w:vAnchor="text" w:hAnchor="margin" w:xAlign="center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end"/>
    </w:r>
  </w:p>
  <w:p w14:paraId="5B5D9C94" w14:textId="77777777" w:rsidR="00791648" w:rsidRDefault="0079164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C342" w14:textId="77777777" w:rsidR="00791648" w:rsidRDefault="00000000">
    <w:pPr>
      <w:pStyle w:val="a8"/>
      <w:framePr w:wrap="around" w:vAnchor="text" w:hAnchor="margin" w:xAlign="center" w:y="1"/>
      <w:rPr>
        <w:rStyle w:val="ad"/>
        <w:rFonts w:ascii="宋体" w:hAnsi="宋体" w:hint="eastAsia"/>
        <w:sz w:val="28"/>
        <w:szCs w:val="28"/>
      </w:rPr>
    </w:pPr>
    <w:r>
      <w:rPr>
        <w:rStyle w:val="ad"/>
        <w:rFonts w:ascii="宋体" w:hAnsi="宋体" w:hint="eastAsia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fldChar w:fldCharType="begin"/>
    </w:r>
    <w:r>
      <w:rPr>
        <w:rStyle w:val="ad"/>
        <w:rFonts w:ascii="宋体" w:hAnsi="宋体" w:hint="eastAsia"/>
        <w:sz w:val="28"/>
        <w:szCs w:val="28"/>
      </w:rPr>
      <w:instrText xml:space="preserve">PAGE  </w:instrText>
    </w:r>
    <w:r>
      <w:rPr>
        <w:rFonts w:ascii="宋体" w:hAnsi="宋体" w:hint="eastAsia"/>
        <w:sz w:val="28"/>
        <w:szCs w:val="28"/>
      </w:rPr>
      <w:fldChar w:fldCharType="separate"/>
    </w:r>
    <w:r>
      <w:rPr>
        <w:rStyle w:val="ad"/>
        <w:rFonts w:ascii="宋体" w:hAnsi="宋体"/>
        <w:sz w:val="28"/>
        <w:szCs w:val="28"/>
      </w:rPr>
      <w:t>2</w:t>
    </w:r>
    <w:r>
      <w:rPr>
        <w:rFonts w:ascii="宋体" w:hAnsi="宋体" w:hint="eastAsia"/>
        <w:sz w:val="28"/>
        <w:szCs w:val="28"/>
      </w:rPr>
      <w:fldChar w:fldCharType="end"/>
    </w:r>
    <w:r>
      <w:rPr>
        <w:rStyle w:val="ad"/>
        <w:rFonts w:ascii="宋体" w:hAnsi="宋体" w:hint="eastAsia"/>
        <w:sz w:val="28"/>
        <w:szCs w:val="28"/>
      </w:rPr>
      <w:t>—</w:t>
    </w:r>
  </w:p>
  <w:p w14:paraId="26CAA23B" w14:textId="77777777" w:rsidR="00791648" w:rsidRDefault="0079164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0A45E" w14:textId="77777777" w:rsidR="00963988" w:rsidRDefault="00963988">
      <w:pPr>
        <w:spacing w:after="0"/>
      </w:pPr>
      <w:r>
        <w:separator/>
      </w:r>
    </w:p>
  </w:footnote>
  <w:footnote w:type="continuationSeparator" w:id="0">
    <w:p w14:paraId="54FF4F7A" w14:textId="77777777" w:rsidR="00963988" w:rsidRDefault="009639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U3YWU0ODljM2NmZjU5OGNmMjFkOGY5YmJkOTk2ODUifQ=="/>
  </w:docVars>
  <w:rsids>
    <w:rsidRoot w:val="00953981"/>
    <w:rsid w:val="0001203A"/>
    <w:rsid w:val="00013509"/>
    <w:rsid w:val="00036947"/>
    <w:rsid w:val="000532C1"/>
    <w:rsid w:val="000550EB"/>
    <w:rsid w:val="0007285A"/>
    <w:rsid w:val="000731BB"/>
    <w:rsid w:val="00081574"/>
    <w:rsid w:val="000A4871"/>
    <w:rsid w:val="000A6FEC"/>
    <w:rsid w:val="000A705A"/>
    <w:rsid w:val="000B37B1"/>
    <w:rsid w:val="000B620F"/>
    <w:rsid w:val="000B7E1C"/>
    <w:rsid w:val="000D7761"/>
    <w:rsid w:val="00126512"/>
    <w:rsid w:val="00176F31"/>
    <w:rsid w:val="00177EC3"/>
    <w:rsid w:val="00180568"/>
    <w:rsid w:val="001A04B5"/>
    <w:rsid w:val="001A09A4"/>
    <w:rsid w:val="001C1D99"/>
    <w:rsid w:val="001F4540"/>
    <w:rsid w:val="002001C1"/>
    <w:rsid w:val="00214702"/>
    <w:rsid w:val="0023626F"/>
    <w:rsid w:val="00273F00"/>
    <w:rsid w:val="00295305"/>
    <w:rsid w:val="002B7B99"/>
    <w:rsid w:val="002E1978"/>
    <w:rsid w:val="002F790C"/>
    <w:rsid w:val="0031359B"/>
    <w:rsid w:val="003543E6"/>
    <w:rsid w:val="003635FB"/>
    <w:rsid w:val="003751F0"/>
    <w:rsid w:val="003E0D6D"/>
    <w:rsid w:val="003F075D"/>
    <w:rsid w:val="00431FFB"/>
    <w:rsid w:val="004460E0"/>
    <w:rsid w:val="004C55DA"/>
    <w:rsid w:val="004D4ECC"/>
    <w:rsid w:val="004E149C"/>
    <w:rsid w:val="004E7079"/>
    <w:rsid w:val="004F5FC7"/>
    <w:rsid w:val="00503F30"/>
    <w:rsid w:val="00593A9B"/>
    <w:rsid w:val="005B097F"/>
    <w:rsid w:val="005B151D"/>
    <w:rsid w:val="005C1E93"/>
    <w:rsid w:val="005F33F1"/>
    <w:rsid w:val="0060780A"/>
    <w:rsid w:val="00621A53"/>
    <w:rsid w:val="006401DD"/>
    <w:rsid w:val="00650410"/>
    <w:rsid w:val="00656C48"/>
    <w:rsid w:val="00676A4E"/>
    <w:rsid w:val="00681D44"/>
    <w:rsid w:val="006924FD"/>
    <w:rsid w:val="006D761D"/>
    <w:rsid w:val="007549ED"/>
    <w:rsid w:val="0077568A"/>
    <w:rsid w:val="00791648"/>
    <w:rsid w:val="007A7D5B"/>
    <w:rsid w:val="007C2390"/>
    <w:rsid w:val="007C5823"/>
    <w:rsid w:val="007D4949"/>
    <w:rsid w:val="007E1E56"/>
    <w:rsid w:val="007E4551"/>
    <w:rsid w:val="007E7F4E"/>
    <w:rsid w:val="007F5049"/>
    <w:rsid w:val="007F51F0"/>
    <w:rsid w:val="00814133"/>
    <w:rsid w:val="008359E8"/>
    <w:rsid w:val="00836509"/>
    <w:rsid w:val="00871D04"/>
    <w:rsid w:val="0089239A"/>
    <w:rsid w:val="008C3B4A"/>
    <w:rsid w:val="008C44AA"/>
    <w:rsid w:val="008D5F92"/>
    <w:rsid w:val="008F346F"/>
    <w:rsid w:val="00905BC4"/>
    <w:rsid w:val="009456A9"/>
    <w:rsid w:val="00953981"/>
    <w:rsid w:val="009628D4"/>
    <w:rsid w:val="00963988"/>
    <w:rsid w:val="00992AD5"/>
    <w:rsid w:val="009B0861"/>
    <w:rsid w:val="009F4110"/>
    <w:rsid w:val="009F45A2"/>
    <w:rsid w:val="00A05D19"/>
    <w:rsid w:val="00A103B1"/>
    <w:rsid w:val="00A130E2"/>
    <w:rsid w:val="00A30EA4"/>
    <w:rsid w:val="00A46045"/>
    <w:rsid w:val="00A540D5"/>
    <w:rsid w:val="00A903B2"/>
    <w:rsid w:val="00AA3A2F"/>
    <w:rsid w:val="00AB65AE"/>
    <w:rsid w:val="00AC431B"/>
    <w:rsid w:val="00AE0CFB"/>
    <w:rsid w:val="00AE58F2"/>
    <w:rsid w:val="00AF6245"/>
    <w:rsid w:val="00B0411F"/>
    <w:rsid w:val="00B10F99"/>
    <w:rsid w:val="00B22C28"/>
    <w:rsid w:val="00B23358"/>
    <w:rsid w:val="00B34641"/>
    <w:rsid w:val="00B61496"/>
    <w:rsid w:val="00B61558"/>
    <w:rsid w:val="00B943F5"/>
    <w:rsid w:val="00BB0618"/>
    <w:rsid w:val="00BC283B"/>
    <w:rsid w:val="00BE138D"/>
    <w:rsid w:val="00BF20BB"/>
    <w:rsid w:val="00C00ED0"/>
    <w:rsid w:val="00C037C8"/>
    <w:rsid w:val="00C125C5"/>
    <w:rsid w:val="00C3495A"/>
    <w:rsid w:val="00C40C24"/>
    <w:rsid w:val="00C655A8"/>
    <w:rsid w:val="00C73011"/>
    <w:rsid w:val="00C74CFE"/>
    <w:rsid w:val="00C8030F"/>
    <w:rsid w:val="00CC0983"/>
    <w:rsid w:val="00CE0A43"/>
    <w:rsid w:val="00CE6605"/>
    <w:rsid w:val="00CF0A1F"/>
    <w:rsid w:val="00D03E6A"/>
    <w:rsid w:val="00D0557B"/>
    <w:rsid w:val="00D15A3A"/>
    <w:rsid w:val="00D16C08"/>
    <w:rsid w:val="00D23B76"/>
    <w:rsid w:val="00D346BD"/>
    <w:rsid w:val="00D35C68"/>
    <w:rsid w:val="00D41450"/>
    <w:rsid w:val="00D53AA6"/>
    <w:rsid w:val="00D5647D"/>
    <w:rsid w:val="00D70AE6"/>
    <w:rsid w:val="00D74D49"/>
    <w:rsid w:val="00DA7E5B"/>
    <w:rsid w:val="00DB45D0"/>
    <w:rsid w:val="00DE22B5"/>
    <w:rsid w:val="00E62C0E"/>
    <w:rsid w:val="00E877F5"/>
    <w:rsid w:val="00E91845"/>
    <w:rsid w:val="00E92BDF"/>
    <w:rsid w:val="00EA062D"/>
    <w:rsid w:val="00EC0E1C"/>
    <w:rsid w:val="00EC289B"/>
    <w:rsid w:val="00ED31BF"/>
    <w:rsid w:val="00F273B8"/>
    <w:rsid w:val="00F4436E"/>
    <w:rsid w:val="00F536E6"/>
    <w:rsid w:val="00F619A6"/>
    <w:rsid w:val="00F72C4E"/>
    <w:rsid w:val="00F958D0"/>
    <w:rsid w:val="00FA38A8"/>
    <w:rsid w:val="00FA7A09"/>
    <w:rsid w:val="00FB5270"/>
    <w:rsid w:val="00FD2C33"/>
    <w:rsid w:val="035E62A9"/>
    <w:rsid w:val="0C1C4875"/>
    <w:rsid w:val="0E9771F2"/>
    <w:rsid w:val="0ECB5A9B"/>
    <w:rsid w:val="111F2240"/>
    <w:rsid w:val="115D3D0D"/>
    <w:rsid w:val="1E38504E"/>
    <w:rsid w:val="222A111F"/>
    <w:rsid w:val="28A91541"/>
    <w:rsid w:val="2C0B44D1"/>
    <w:rsid w:val="2DC5405B"/>
    <w:rsid w:val="2DD8111C"/>
    <w:rsid w:val="31B04883"/>
    <w:rsid w:val="335F4851"/>
    <w:rsid w:val="36C22E36"/>
    <w:rsid w:val="3878105D"/>
    <w:rsid w:val="3A8638A8"/>
    <w:rsid w:val="3ADF03A2"/>
    <w:rsid w:val="3ED65E91"/>
    <w:rsid w:val="40075FB4"/>
    <w:rsid w:val="40692574"/>
    <w:rsid w:val="41C10393"/>
    <w:rsid w:val="4599357F"/>
    <w:rsid w:val="4F432B74"/>
    <w:rsid w:val="5539593A"/>
    <w:rsid w:val="58535244"/>
    <w:rsid w:val="5CC34FC4"/>
    <w:rsid w:val="5D864CC7"/>
    <w:rsid w:val="5E0F28E8"/>
    <w:rsid w:val="5FE86BB1"/>
    <w:rsid w:val="60F224FB"/>
    <w:rsid w:val="62EC076F"/>
    <w:rsid w:val="63133F4E"/>
    <w:rsid w:val="658E7179"/>
    <w:rsid w:val="67085D12"/>
    <w:rsid w:val="6AC94A9A"/>
    <w:rsid w:val="6BE4A5F8"/>
    <w:rsid w:val="6C6D256F"/>
    <w:rsid w:val="742A657F"/>
    <w:rsid w:val="B8DF46EA"/>
    <w:rsid w:val="BB77B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25D8D"/>
  <w15:docId w15:val="{D4BA4056-B241-4A84-977A-0FA01615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Dat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Pr>
      <w:sz w:val="28"/>
    </w:rPr>
  </w:style>
  <w:style w:type="paragraph" w:styleId="a5">
    <w:name w:val="Date"/>
    <w:basedOn w:val="a"/>
    <w:next w:val="a"/>
    <w:qFormat/>
    <w:pPr>
      <w:ind w:leftChars="2500" w:left="100"/>
    </w:pPr>
  </w:style>
  <w:style w:type="paragraph" w:styleId="a6">
    <w:name w:val="Balloon Text"/>
    <w:basedOn w:val="a"/>
    <w:link w:val="a7"/>
    <w:qFormat/>
    <w:rPr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qFormat/>
    <w:rPr>
      <w:rFonts w:ascii="Calibri" w:hAnsi="Calibri"/>
      <w:sz w:val="24"/>
    </w:rPr>
  </w:style>
  <w:style w:type="table" w:styleId="ab">
    <w:name w:val="Table Grid"/>
    <w:basedOn w:val="a1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qFormat/>
    <w:rPr>
      <w:b/>
    </w:rPr>
  </w:style>
  <w:style w:type="character" w:styleId="ad">
    <w:name w:val="page number"/>
    <w:qFormat/>
  </w:style>
  <w:style w:type="character" w:styleId="ae">
    <w:name w:val="Emphasis"/>
    <w:qFormat/>
    <w:rPr>
      <w:i/>
    </w:rPr>
  </w:style>
  <w:style w:type="character" w:styleId="af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"/>
    <w:qFormat/>
    <w:rPr>
      <w:rFonts w:ascii="Calibri" w:hAnsi="Calibri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"/>
    <w:qFormat/>
    <w:rPr>
      <w:rFonts w:ascii="Calibri Light" w:hAnsi="Calibri Light"/>
      <w:b/>
      <w:bCs/>
      <w:kern w:val="2"/>
      <w:sz w:val="32"/>
      <w:szCs w:val="32"/>
    </w:rPr>
  </w:style>
  <w:style w:type="character" w:customStyle="1" w:styleId="a4">
    <w:name w:val="正文文本 字符"/>
    <w:link w:val="a3"/>
    <w:qFormat/>
    <w:rPr>
      <w:kern w:val="2"/>
      <w:sz w:val="28"/>
      <w:szCs w:val="24"/>
    </w:rPr>
  </w:style>
  <w:style w:type="character" w:customStyle="1" w:styleId="a7">
    <w:name w:val="批注框文本 字符"/>
    <w:link w:val="a6"/>
    <w:qFormat/>
    <w:rPr>
      <w:kern w:val="2"/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ListParagraph1">
    <w:name w:val="List Paragraph1"/>
    <w:basedOn w:val="a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rFonts w:ascii="Calibri" w:hAnsi="Calibri"/>
      <w:szCs w:val="21"/>
    </w:rPr>
  </w:style>
  <w:style w:type="paragraph" w:customStyle="1" w:styleId="11">
    <w:name w:val="修订1"/>
    <w:hidden/>
    <w:uiPriority w:val="99"/>
    <w:unhideWhenUsed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1022</Characters>
  <Application>Microsoft Office Word</Application>
  <DocSecurity>0</DocSecurity>
  <Lines>44</Lines>
  <Paragraphs>36</Paragraphs>
  <ScaleCrop>false</ScaleCrop>
  <Company>SC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四川省上市公司协会文件</dc:title>
  <dc:creator>Li</dc:creator>
  <cp:lastModifiedBy>siegfried0509@outlook.com</cp:lastModifiedBy>
  <cp:revision>2</cp:revision>
  <cp:lastPrinted>2010-08-05T06:50:00Z</cp:lastPrinted>
  <dcterms:created xsi:type="dcterms:W3CDTF">2026-09-07T07:23:00Z</dcterms:created>
  <dcterms:modified xsi:type="dcterms:W3CDTF">2026-09-07T07:23:00Z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964032A804343D0347619E6A8864BA82_43</vt:lpwstr>
  </property>
  <property fmtid="{D5CDD505-2E9C-101B-9397-08002B2CF9AE}" pid="4" name="KSOTemplateDocerSaveRecord">
    <vt:lpwstr>eyJoZGlkIjoiMzEwNTM5NzYwMDRjMzkwZTVkZjY2ODkwMGIxNGU0OTUiLCJ1c2VySWQiOiIzMjYzODc0NzIifQ==</vt:lpwstr>
  </property>
</Properties>
</file>