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EF62B7">
      <w:pPr>
        <w:jc w:val="left"/>
        <w:rPr>
          <w:rFonts w:hint="eastAsia" w:ascii="宋体" w:hAnsi="宋体" w:eastAsia="宋体"/>
          <w:sz w:val="24"/>
          <w:szCs w:val="24"/>
          <w:lang w:val="en-US" w:eastAsia="zh-CN"/>
        </w:rPr>
      </w:pPr>
      <w:r>
        <w:rPr>
          <w:rFonts w:hint="eastAsia" w:ascii="宋体" w:hAnsi="宋体"/>
          <w:sz w:val="24"/>
          <w:szCs w:val="24"/>
        </w:rPr>
        <w:t>证券代码：</w:t>
      </w:r>
      <w:r>
        <w:rPr>
          <w:rFonts w:hint="default" w:ascii="宋体" w:hAnsi="宋体"/>
          <w:sz w:val="24"/>
          <w:szCs w:val="24"/>
          <w:lang w:val="en-US"/>
        </w:rPr>
        <w:t>600777</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lang w:val="en-US" w:eastAsia="zh-CN"/>
        </w:rPr>
        <w:t xml:space="preserve">        </w:t>
      </w:r>
      <w:r>
        <w:rPr>
          <w:rFonts w:ascii="宋体" w:hAnsi="宋体"/>
          <w:sz w:val="24"/>
          <w:szCs w:val="24"/>
        </w:rPr>
        <w:t xml:space="preserve">  </w:t>
      </w:r>
      <w:r>
        <w:rPr>
          <w:rFonts w:hint="eastAsia" w:ascii="宋体" w:hAnsi="宋体"/>
          <w:sz w:val="24"/>
          <w:szCs w:val="24"/>
        </w:rPr>
        <w:t>公司简称：</w:t>
      </w:r>
      <w:r>
        <w:rPr>
          <w:rFonts w:hint="default" w:ascii="宋体" w:hAnsi="宋体"/>
          <w:sz w:val="24"/>
          <w:szCs w:val="24"/>
          <w:lang w:val="en-US"/>
        </w:rPr>
        <w:t>新潮</w:t>
      </w:r>
      <w:r>
        <w:rPr>
          <w:rFonts w:hint="eastAsia" w:ascii="宋体" w:hAnsi="宋体"/>
          <w:sz w:val="24"/>
          <w:szCs w:val="24"/>
          <w:lang w:val="en-US" w:eastAsia="zh-CN"/>
        </w:rPr>
        <w:t>能源</w:t>
      </w:r>
    </w:p>
    <w:p w14:paraId="6E48E9B6">
      <w:pPr>
        <w:jc w:val="center"/>
        <w:rPr>
          <w:rFonts w:hint="eastAsia" w:ascii="黑体" w:hAnsi="黑体" w:eastAsia="黑体"/>
          <w:sz w:val="36"/>
          <w:szCs w:val="36"/>
        </w:rPr>
      </w:pPr>
      <w:r>
        <w:rPr>
          <w:rFonts w:hint="eastAsia" w:ascii="黑体" w:hAnsi="黑体" w:eastAsia="黑体"/>
          <w:sz w:val="36"/>
          <w:szCs w:val="36"/>
        </w:rPr>
        <w:t>山东新潮能源股份有限公司</w:t>
      </w:r>
    </w:p>
    <w:p w14:paraId="7C0D8A9B">
      <w:pPr>
        <w:jc w:val="center"/>
        <w:rPr>
          <w:rFonts w:ascii="黑体" w:hAnsi="黑体" w:eastAsia="黑体"/>
          <w:sz w:val="36"/>
          <w:szCs w:val="36"/>
        </w:rPr>
      </w:pPr>
      <w:r>
        <w:rPr>
          <w:rFonts w:hint="eastAsia" w:ascii="黑体" w:hAnsi="黑体" w:eastAsia="黑体"/>
          <w:sz w:val="36"/>
          <w:szCs w:val="36"/>
        </w:rPr>
        <w:t>投资者关系活动记录表</w:t>
      </w:r>
    </w:p>
    <w:p w14:paraId="056657CE">
      <w:pPr>
        <w:jc w:val="center"/>
        <w:rPr>
          <w:rFonts w:ascii="黑体" w:hAnsi="黑体" w:eastAsia="黑体"/>
          <w:sz w:val="24"/>
          <w:szCs w:val="24"/>
        </w:rPr>
      </w:pPr>
    </w:p>
    <w:p w14:paraId="559AD9A6">
      <w:pPr>
        <w:ind w:right="720"/>
        <w:jc w:val="right"/>
        <w:rPr>
          <w:rFonts w:hint="default" w:ascii="黑体" w:hAnsi="黑体" w:eastAsia="黑体"/>
          <w:sz w:val="24"/>
          <w:szCs w:val="24"/>
          <w:lang w:val="en-US" w:eastAsia="zh-CN"/>
        </w:rPr>
      </w:pPr>
      <w:r>
        <w:rPr>
          <w:rFonts w:hint="eastAsia" w:ascii="黑体" w:hAnsi="黑体" w:eastAsia="黑体"/>
          <w:sz w:val="24"/>
          <w:szCs w:val="24"/>
        </w:rPr>
        <w:t>编号：</w:t>
      </w:r>
      <w:r>
        <w:rPr>
          <w:rFonts w:hint="eastAsia" w:ascii="黑体" w:hAnsi="黑体" w:eastAsia="黑体"/>
          <w:sz w:val="24"/>
          <w:szCs w:val="24"/>
          <w:lang w:val="en-US" w:eastAsia="zh-CN"/>
        </w:rPr>
        <w:t>2026-002</w:t>
      </w:r>
    </w:p>
    <w:tbl>
      <w:tblPr>
        <w:tblStyle w:val="4"/>
        <w:tblW w:w="87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26"/>
        <w:gridCol w:w="7191"/>
      </w:tblGrid>
      <w:tr w14:paraId="67A4CC96">
        <w:trPr>
          <w:trHeight w:val="838" w:hRule="atLeast"/>
        </w:trPr>
        <w:tc>
          <w:tcPr>
            <w:tcW w:w="1526" w:type="dxa"/>
            <w:noWrap w:val="0"/>
            <w:vAlign w:val="center"/>
          </w:tcPr>
          <w:p w14:paraId="62F452C1">
            <w:pPr>
              <w:jc w:val="center"/>
              <w:rPr>
                <w:sz w:val="24"/>
                <w:szCs w:val="24"/>
              </w:rPr>
            </w:pPr>
            <w:r>
              <w:rPr>
                <w:rFonts w:hint="eastAsia"/>
                <w:sz w:val="24"/>
                <w:szCs w:val="24"/>
              </w:rPr>
              <w:t>投资者关系活动类别</w:t>
            </w:r>
          </w:p>
        </w:tc>
        <w:tc>
          <w:tcPr>
            <w:tcW w:w="7191" w:type="dxa"/>
            <w:noWrap w:val="0"/>
            <w:vAlign w:val="center"/>
          </w:tcPr>
          <w:p w14:paraId="1205F08F">
            <w:pPr>
              <w:spacing w:line="360" w:lineRule="auto"/>
              <w:jc w:val="both"/>
              <w:rPr>
                <w:rFonts w:hint="eastAsia"/>
                <w:sz w:val="24"/>
                <w:szCs w:val="24"/>
                <w:lang w:val="en-US" w:eastAsia="zh-CN"/>
              </w:rPr>
            </w:pPr>
            <w:r>
              <w:rPr>
                <w:rFonts w:hint="eastAsia"/>
                <w:sz w:val="24"/>
                <w:szCs w:val="24"/>
                <w:lang w:val="en-US" w:eastAsia="zh-CN"/>
              </w:rPr>
              <w:t>□特定对象调研     □分析师会议</w:t>
            </w:r>
          </w:p>
          <w:p w14:paraId="7D125158">
            <w:pPr>
              <w:spacing w:line="360" w:lineRule="auto"/>
              <w:jc w:val="both"/>
              <w:rPr>
                <w:rFonts w:hint="eastAsia"/>
                <w:sz w:val="24"/>
                <w:szCs w:val="24"/>
                <w:lang w:val="en-US" w:eastAsia="zh-CN"/>
              </w:rPr>
            </w:pPr>
            <w:r>
              <w:rPr>
                <w:rFonts w:hint="eastAsia"/>
                <w:sz w:val="24"/>
                <w:szCs w:val="24"/>
                <w:lang w:val="en-US" w:eastAsia="zh-CN"/>
              </w:rPr>
              <w:t>□媒体采访       ☑业绩说明会</w:t>
            </w:r>
          </w:p>
          <w:p w14:paraId="618304B2">
            <w:pPr>
              <w:spacing w:line="360" w:lineRule="auto"/>
              <w:jc w:val="both"/>
              <w:rPr>
                <w:rFonts w:hint="eastAsia"/>
                <w:sz w:val="24"/>
                <w:szCs w:val="24"/>
                <w:lang w:val="en-US" w:eastAsia="zh-CN"/>
              </w:rPr>
            </w:pPr>
            <w:r>
              <w:rPr>
                <w:rFonts w:hint="eastAsia"/>
                <w:sz w:val="24"/>
                <w:szCs w:val="24"/>
                <w:lang w:val="en-US" w:eastAsia="zh-CN"/>
              </w:rPr>
              <w:t>□新闻发布会       □路演活动</w:t>
            </w:r>
          </w:p>
          <w:p w14:paraId="6890F0AB">
            <w:pPr>
              <w:spacing w:line="360" w:lineRule="auto"/>
              <w:jc w:val="both"/>
              <w:rPr>
                <w:rFonts w:hint="eastAsia"/>
                <w:sz w:val="24"/>
                <w:szCs w:val="24"/>
              </w:rPr>
            </w:pPr>
            <w:r>
              <w:rPr>
                <w:rFonts w:hint="eastAsia"/>
                <w:sz w:val="24"/>
                <w:szCs w:val="24"/>
                <w:lang w:val="en-US" w:eastAsia="zh-CN"/>
              </w:rPr>
              <w:t>□现场参观         □其他</w:t>
            </w:r>
          </w:p>
          <w:p w14:paraId="62644150">
            <w:pPr>
              <w:spacing w:line="360" w:lineRule="auto"/>
              <w:rPr>
                <w:rFonts w:hint="eastAsia"/>
                <w:sz w:val="24"/>
                <w:szCs w:val="24"/>
              </w:rPr>
            </w:pPr>
          </w:p>
        </w:tc>
      </w:tr>
      <w:tr w14:paraId="3802302B">
        <w:trPr>
          <w:trHeight w:val="838" w:hRule="atLeast"/>
        </w:trPr>
        <w:tc>
          <w:tcPr>
            <w:tcW w:w="1526" w:type="dxa"/>
            <w:noWrap w:val="0"/>
            <w:vAlign w:val="center"/>
          </w:tcPr>
          <w:p w14:paraId="74781FDC">
            <w:pPr>
              <w:jc w:val="center"/>
              <w:rPr>
                <w:sz w:val="24"/>
                <w:szCs w:val="24"/>
              </w:rPr>
            </w:pPr>
            <w:r>
              <w:rPr>
                <w:rFonts w:hint="eastAsia"/>
                <w:sz w:val="24"/>
                <w:szCs w:val="24"/>
              </w:rPr>
              <w:t>活动主题</w:t>
            </w:r>
          </w:p>
        </w:tc>
        <w:tc>
          <w:tcPr>
            <w:tcW w:w="7191" w:type="dxa"/>
            <w:noWrap w:val="0"/>
            <w:vAlign w:val="center"/>
          </w:tcPr>
          <w:p w14:paraId="03B57081">
            <w:pPr>
              <w:rPr>
                <w:sz w:val="24"/>
                <w:szCs w:val="24"/>
              </w:rPr>
            </w:pPr>
            <w:r>
              <w:rPr>
                <w:rFonts w:hint="eastAsia" w:ascii="宋体" w:hAnsi="宋体" w:eastAsia="宋体" w:cs="宋体"/>
                <w:bCs/>
                <w:iCs/>
                <w:color w:val="000000"/>
                <w:sz w:val="24"/>
                <w:highlight w:val="none"/>
                <w:lang w:val="en-GB"/>
              </w:rPr>
              <w:t>新潮能源2026年半年度业绩暨现金分红说明会</w:t>
            </w:r>
          </w:p>
        </w:tc>
      </w:tr>
      <w:tr w14:paraId="35E4396F">
        <w:trPr>
          <w:trHeight w:val="799" w:hRule="atLeast"/>
        </w:trPr>
        <w:tc>
          <w:tcPr>
            <w:tcW w:w="1526" w:type="dxa"/>
            <w:noWrap w:val="0"/>
            <w:vAlign w:val="center"/>
          </w:tcPr>
          <w:p w14:paraId="624BDDA0">
            <w:pPr>
              <w:jc w:val="center"/>
              <w:rPr>
                <w:sz w:val="24"/>
                <w:szCs w:val="24"/>
              </w:rPr>
            </w:pPr>
            <w:r>
              <w:rPr>
                <w:rFonts w:hint="eastAsia"/>
                <w:sz w:val="24"/>
                <w:szCs w:val="24"/>
              </w:rPr>
              <w:t>时间</w:t>
            </w:r>
          </w:p>
        </w:tc>
        <w:tc>
          <w:tcPr>
            <w:tcW w:w="7191" w:type="dxa"/>
            <w:noWrap w:val="0"/>
            <w:vAlign w:val="center"/>
          </w:tcPr>
          <w:p w14:paraId="31D0871D">
            <w:pPr>
              <w:rPr>
                <w:rFonts w:hint="eastAsia"/>
                <w:sz w:val="24"/>
                <w:szCs w:val="24"/>
              </w:rPr>
            </w:pPr>
            <w:r>
              <w:rPr>
                <w:rFonts w:hint="eastAsia" w:ascii="宋体" w:hAnsi="宋体" w:eastAsia="宋体" w:cs="宋体"/>
                <w:bCs/>
                <w:iCs/>
                <w:color w:val="000000"/>
                <w:sz w:val="24"/>
                <w:highlight w:val="none"/>
              </w:rPr>
              <w:t>2026-09-07</w:t>
            </w:r>
            <w:bookmarkStart w:id="0" w:name="_GoBack"/>
            <w:bookmarkEnd w:id="0"/>
            <w:r>
              <w:rPr>
                <w:rFonts w:hint="eastAsia" w:ascii="宋体" w:hAnsi="宋体" w:eastAsia="宋体" w:cs="宋体"/>
                <w:bCs/>
                <w:iCs/>
                <w:color w:val="000000"/>
                <w:sz w:val="24"/>
                <w:highlight w:val="none"/>
              </w:rPr>
              <w:t>-10:00-11:00</w:t>
            </w:r>
          </w:p>
        </w:tc>
      </w:tr>
      <w:tr w14:paraId="3D865366">
        <w:trPr>
          <w:trHeight w:val="838" w:hRule="atLeast"/>
        </w:trPr>
        <w:tc>
          <w:tcPr>
            <w:tcW w:w="1526" w:type="dxa"/>
            <w:noWrap w:val="0"/>
            <w:vAlign w:val="center"/>
          </w:tcPr>
          <w:p w14:paraId="0BE9860C">
            <w:pPr>
              <w:jc w:val="center"/>
              <w:rPr>
                <w:sz w:val="24"/>
                <w:szCs w:val="24"/>
              </w:rPr>
            </w:pPr>
            <w:r>
              <w:rPr>
                <w:rFonts w:hint="eastAsia"/>
                <w:sz w:val="24"/>
                <w:szCs w:val="24"/>
              </w:rPr>
              <w:t>参会人员</w:t>
            </w:r>
          </w:p>
        </w:tc>
        <w:tc>
          <w:tcPr>
            <w:tcW w:w="7191" w:type="dxa"/>
            <w:noWrap w:val="0"/>
            <w:vAlign w:val="center"/>
          </w:tcPr>
          <w:p w14:paraId="1B6947DA">
            <w:pPr>
              <w:spacing w:line="360" w:lineRule="auto"/>
              <w:rPr>
                <w:rFonts w:hint="eastAsia" w:ascii="宋体" w:hAnsi="宋体" w:eastAsia="宋体" w:cs="宋体"/>
                <w:sz w:val="24"/>
                <w:szCs w:val="24"/>
              </w:rPr>
            </w:pPr>
            <w:r>
              <w:rPr>
                <w:rFonts w:hint="eastAsia" w:ascii="宋体" w:hAnsi="宋体" w:eastAsia="宋体" w:cs="宋体"/>
                <w:sz w:val="24"/>
                <w:szCs w:val="24"/>
              </w:rPr>
              <w:t>董事长、总经理：张钧昱</w:t>
            </w:r>
          </w:p>
          <w:p w14:paraId="3F296BC7">
            <w:pPr>
              <w:spacing w:line="360" w:lineRule="auto"/>
              <w:rPr>
                <w:rFonts w:hint="eastAsia" w:ascii="宋体" w:hAnsi="宋体" w:eastAsia="宋体" w:cs="宋体"/>
                <w:sz w:val="24"/>
                <w:szCs w:val="24"/>
              </w:rPr>
            </w:pPr>
            <w:r>
              <w:rPr>
                <w:rFonts w:hint="eastAsia" w:ascii="宋体" w:hAnsi="宋体" w:eastAsia="宋体" w:cs="宋体"/>
                <w:sz w:val="24"/>
                <w:szCs w:val="24"/>
              </w:rPr>
              <w:t>董事、董事会秘书、副总经理：廉涛</w:t>
            </w:r>
          </w:p>
          <w:p w14:paraId="0BD09C28">
            <w:pPr>
              <w:spacing w:line="360" w:lineRule="auto"/>
              <w:rPr>
                <w:rFonts w:hint="eastAsia" w:ascii="宋体" w:hAnsi="宋体" w:eastAsia="宋体" w:cs="宋体"/>
                <w:sz w:val="24"/>
                <w:szCs w:val="24"/>
              </w:rPr>
            </w:pPr>
            <w:r>
              <w:rPr>
                <w:rFonts w:hint="eastAsia" w:ascii="宋体" w:hAnsi="宋体" w:eastAsia="宋体" w:cs="宋体"/>
                <w:sz w:val="24"/>
                <w:szCs w:val="24"/>
              </w:rPr>
              <w:t>财务总监：余前波</w:t>
            </w:r>
          </w:p>
          <w:p w14:paraId="61D55964">
            <w:pPr>
              <w:spacing w:line="360" w:lineRule="auto"/>
              <w:rPr>
                <w:rFonts w:hint="eastAsia"/>
                <w:sz w:val="24"/>
                <w:szCs w:val="24"/>
              </w:rPr>
            </w:pPr>
            <w:r>
              <w:rPr>
                <w:rFonts w:hint="eastAsia" w:ascii="宋体" w:hAnsi="宋体" w:eastAsia="宋体" w:cs="宋体"/>
                <w:sz w:val="24"/>
                <w:szCs w:val="24"/>
              </w:rPr>
              <w:t>独立董事：XUHUAXI</w:t>
            </w:r>
          </w:p>
        </w:tc>
      </w:tr>
      <w:tr w14:paraId="31E2A6F3">
        <w:trPr>
          <w:trHeight w:val="557" w:hRule="atLeast"/>
        </w:trPr>
        <w:tc>
          <w:tcPr>
            <w:tcW w:w="1526" w:type="dxa"/>
            <w:noWrap w:val="0"/>
            <w:vAlign w:val="center"/>
          </w:tcPr>
          <w:p w14:paraId="7466EDBB">
            <w:pPr>
              <w:jc w:val="center"/>
              <w:rPr>
                <w:sz w:val="24"/>
                <w:szCs w:val="24"/>
              </w:rPr>
            </w:pPr>
            <w:r>
              <w:rPr>
                <w:rFonts w:hint="eastAsia"/>
                <w:sz w:val="24"/>
                <w:szCs w:val="24"/>
              </w:rPr>
              <w:t>投资者关系活动主要内容介绍</w:t>
            </w:r>
          </w:p>
        </w:tc>
        <w:tc>
          <w:tcPr>
            <w:tcW w:w="7191" w:type="dxa"/>
            <w:shd w:val="clear" w:color="auto" w:fill="auto"/>
            <w:noWrap w:val="0"/>
            <w:vAlign w:val="top"/>
          </w:tcPr>
          <w:p w14:paraId="175D7CD6">
            <w:pPr>
              <w:rPr>
                <w:b/>
                <w:bCs/>
              </w:rPr>
            </w:pPr>
            <w:r>
              <w:rPr>
                <w:rFonts w:hint="default" w:ascii="宋体"/>
                <w:b/>
                <w:bCs/>
                <w:sz w:val="24"/>
                <w:lang w:val="en-US"/>
              </w:rPr>
              <w:t>1、国际局势和政治博弈会不会影响新潮在国外的资产安全，有无对应的应对措施？</w:t>
            </w:r>
          </w:p>
          <w:p w14:paraId="1917B49D">
            <w:pPr>
              <w:spacing w:line="460" w:lineRule="auto"/>
              <w:rPr>
                <w:rFonts w:hint="default" w:ascii="宋体"/>
                <w:sz w:val="24"/>
                <w:lang w:val="en-US"/>
              </w:rPr>
            </w:pPr>
            <w:r>
              <w:rPr>
                <w:rFonts w:hint="default" w:ascii="宋体"/>
                <w:sz w:val="24"/>
                <w:lang w:val="en-US"/>
              </w:rPr>
              <w:t>答:尊敬的投资者，您好！
</w:t>
            </w:r>
          </w:p>
          <w:p w14:paraId="5AA3D649">
            <w:pPr>
              <w:keepNext w:val="0"/>
              <w:keepLines w:val="0"/>
              <w:pageBreakBefore w:val="0"/>
              <w:widowControl w:val="0"/>
              <w:kinsoku/>
              <w:wordWrap/>
              <w:overflowPunct/>
              <w:topLinePunct w:val="0"/>
              <w:autoSpaceDE/>
              <w:autoSpaceDN/>
              <w:bidi w:val="0"/>
              <w:adjustRightInd/>
              <w:snapToGrid/>
              <w:spacing w:line="461" w:lineRule="auto"/>
              <w:ind w:firstLine="480" w:firstLineChars="200"/>
              <w:textAlignment w:val="auto"/>
              <w:rPr>
                <w:rFonts w:hint="default" w:ascii="宋体"/>
                <w:sz w:val="24"/>
                <w:lang w:val="en-US"/>
              </w:rPr>
            </w:pPr>
            <w:r>
              <w:rPr>
                <w:rFonts w:hint="default" w:ascii="宋体"/>
                <w:sz w:val="24"/>
                <w:lang w:val="en-US"/>
              </w:rPr>
              <w:t>公司将持续密切关注美国联邦及地方政策法规、国际地缘政治形势及全球ESG政策的走向，顺应政策导向，及时调整油田开发策略，加强环保合规，积极履行社会责任，主动应对政策变化带来的潜在影响，降低政策调整对公司业务的不利影响。
</w:t>
            </w:r>
          </w:p>
          <w:p w14:paraId="65A3BABA">
            <w:pPr>
              <w:keepNext w:val="0"/>
              <w:keepLines w:val="0"/>
              <w:pageBreakBefore w:val="0"/>
              <w:widowControl w:val="0"/>
              <w:kinsoku/>
              <w:wordWrap/>
              <w:overflowPunct/>
              <w:topLinePunct w:val="0"/>
              <w:autoSpaceDE/>
              <w:autoSpaceDN/>
              <w:bidi w:val="0"/>
              <w:adjustRightInd/>
              <w:snapToGrid/>
              <w:spacing w:line="461" w:lineRule="auto"/>
              <w:ind w:firstLine="480" w:firstLineChars="200"/>
              <w:textAlignment w:val="auto"/>
              <w:rPr>
                <w:rFonts w:hint="default" w:ascii="宋体"/>
                <w:sz w:val="24"/>
                <w:lang w:val="en-US"/>
              </w:rPr>
            </w:pPr>
            <w:r>
              <w:rPr>
                <w:rFonts w:hint="default" w:ascii="宋体"/>
                <w:sz w:val="24"/>
                <w:lang w:val="en-US"/>
              </w:rPr>
              <w:t>感谢各位投资者对公司的关注！
</w:t>
            </w:r>
          </w:p>
          <w:p w14:paraId="046D8689">
            <w:pPr>
              <w:spacing w:line="460" w:lineRule="auto"/>
              <w:rPr>
                <w:rFonts w:hint="default" w:ascii="宋体"/>
                <w:sz w:val="24"/>
                <w:lang w:val="en-US"/>
              </w:rPr>
            </w:pPr>
          </w:p>
          <w:p w14:paraId="525A0448">
            <w:pPr>
              <w:rPr>
                <w:b/>
                <w:bCs/>
              </w:rPr>
            </w:pPr>
            <w:r>
              <w:rPr>
                <w:rFonts w:hint="default" w:ascii="宋体"/>
                <w:b/>
                <w:bCs/>
                <w:sz w:val="24"/>
                <w:lang w:val="en-US"/>
              </w:rPr>
              <w:t>2、请问境外资金回流国内是否存在外汇管制、税务或政策上的障碍？回流渠道是否顺畅？</w:t>
            </w:r>
          </w:p>
          <w:p w14:paraId="1A58B312">
            <w:pPr>
              <w:spacing w:line="460" w:lineRule="auto"/>
              <w:rPr>
                <w:rFonts w:hint="default" w:ascii="宋体"/>
                <w:sz w:val="24"/>
                <w:lang w:val="en-US"/>
              </w:rPr>
            </w:pPr>
            <w:r>
              <w:rPr>
                <w:rFonts w:hint="default" w:ascii="宋体"/>
                <w:sz w:val="24"/>
                <w:lang w:val="en-US"/>
              </w:rPr>
              <w:t>答:尊敬的投资者，您好！
</w:t>
            </w:r>
          </w:p>
          <w:p w14:paraId="66321D5C">
            <w:pPr>
              <w:keepNext w:val="0"/>
              <w:keepLines w:val="0"/>
              <w:pageBreakBefore w:val="0"/>
              <w:widowControl w:val="0"/>
              <w:kinsoku/>
              <w:wordWrap/>
              <w:overflowPunct/>
              <w:topLinePunct w:val="0"/>
              <w:autoSpaceDE/>
              <w:autoSpaceDN/>
              <w:bidi w:val="0"/>
              <w:adjustRightInd/>
              <w:snapToGrid/>
              <w:spacing w:line="461" w:lineRule="auto"/>
              <w:ind w:firstLine="480" w:firstLineChars="200"/>
              <w:textAlignment w:val="auto"/>
              <w:rPr>
                <w:rFonts w:hint="default" w:ascii="宋体"/>
                <w:sz w:val="24"/>
                <w:lang w:val="en-US"/>
              </w:rPr>
            </w:pPr>
            <w:r>
              <w:rPr>
                <w:rFonts w:hint="default" w:ascii="宋体"/>
                <w:sz w:val="24"/>
                <w:lang w:val="en-US"/>
              </w:rPr>
              <w:t>一、美国子公司未分配利润回流相关情况涉及到的合规体系与操作流程</w:t>
            </w:r>
            <w:r>
              <w:rPr>
                <w:rFonts w:hint="eastAsia" w:ascii="宋体"/>
                <w:sz w:val="24"/>
                <w:lang w:val="en-US" w:eastAsia="zh-CN"/>
              </w:rPr>
              <w:t>，</w:t>
            </w:r>
            <w:r>
              <w:rPr>
                <w:rFonts w:hint="default" w:ascii="宋体"/>
                <w:sz w:val="24"/>
                <w:lang w:val="en-US"/>
              </w:rPr>
              <w:t>并非单一资金划转，涉及到法律、税务、外汇三大合规要求：
</w:t>
            </w:r>
          </w:p>
          <w:p w14:paraId="15C8F5BF">
            <w:pPr>
              <w:keepNext w:val="0"/>
              <w:keepLines w:val="0"/>
              <w:pageBreakBefore w:val="0"/>
              <w:widowControl w:val="0"/>
              <w:kinsoku/>
              <w:wordWrap/>
              <w:overflowPunct/>
              <w:topLinePunct w:val="0"/>
              <w:autoSpaceDE/>
              <w:autoSpaceDN/>
              <w:bidi w:val="0"/>
              <w:adjustRightInd/>
              <w:snapToGrid/>
              <w:spacing w:line="461" w:lineRule="auto"/>
              <w:ind w:firstLine="480" w:firstLineChars="200"/>
              <w:textAlignment w:val="auto"/>
              <w:rPr>
                <w:rFonts w:hint="default" w:ascii="宋体"/>
                <w:sz w:val="24"/>
                <w:lang w:val="en-US"/>
              </w:rPr>
            </w:pPr>
            <w:r>
              <w:rPr>
                <w:rFonts w:hint="eastAsia" w:ascii="宋体"/>
                <w:sz w:val="24"/>
                <w:lang w:val="en-US" w:eastAsia="zh-CN"/>
              </w:rPr>
              <w:t>1.</w:t>
            </w:r>
            <w:r>
              <w:rPr>
                <w:rFonts w:hint="default" w:ascii="宋体"/>
                <w:sz w:val="24"/>
                <w:lang w:val="en-US"/>
              </w:rPr>
              <w:t>境外端：美国子公司履行董事会利润分配决议，办理联邦、得州两级税务清缴</w:t>
            </w:r>
            <w:r>
              <w:rPr>
                <w:rFonts w:hint="eastAsia" w:ascii="宋体"/>
                <w:sz w:val="24"/>
                <w:lang w:val="en-US" w:eastAsia="zh-CN"/>
              </w:rPr>
              <w:t>和</w:t>
            </w:r>
            <w:r>
              <w:rPr>
                <w:rFonts w:hint="default" w:ascii="宋体"/>
                <w:sz w:val="24"/>
                <w:lang w:val="en-US"/>
              </w:rPr>
              <w:t>股息对外支付手续；
</w:t>
            </w:r>
          </w:p>
          <w:p w14:paraId="4524DF1D">
            <w:pPr>
              <w:keepNext w:val="0"/>
              <w:keepLines w:val="0"/>
              <w:pageBreakBefore w:val="0"/>
              <w:widowControl w:val="0"/>
              <w:kinsoku/>
              <w:wordWrap/>
              <w:overflowPunct/>
              <w:topLinePunct w:val="0"/>
              <w:autoSpaceDE/>
              <w:autoSpaceDN/>
              <w:bidi w:val="0"/>
              <w:adjustRightInd/>
              <w:snapToGrid/>
              <w:spacing w:line="461" w:lineRule="auto"/>
              <w:ind w:firstLine="480" w:firstLineChars="200"/>
              <w:textAlignment w:val="auto"/>
              <w:rPr>
                <w:rFonts w:hint="default" w:ascii="宋体"/>
                <w:sz w:val="24"/>
                <w:lang w:val="en-US"/>
              </w:rPr>
            </w:pPr>
            <w:r>
              <w:rPr>
                <w:rFonts w:hint="eastAsia" w:ascii="宋体"/>
                <w:sz w:val="24"/>
                <w:lang w:val="en-US" w:eastAsia="zh-CN"/>
              </w:rPr>
              <w:t>2.</w:t>
            </w:r>
            <w:r>
              <w:rPr>
                <w:rFonts w:hint="default" w:ascii="宋体"/>
                <w:sz w:val="24"/>
                <w:lang w:val="en-US"/>
              </w:rPr>
              <w:t>跨境端：完成国际收支申报、跨境资金划转等配套合规要求；</w:t>
            </w:r>
          </w:p>
          <w:p w14:paraId="76A68522">
            <w:pPr>
              <w:keepNext w:val="0"/>
              <w:keepLines w:val="0"/>
              <w:pageBreakBefore w:val="0"/>
              <w:widowControl w:val="0"/>
              <w:kinsoku/>
              <w:wordWrap/>
              <w:overflowPunct/>
              <w:topLinePunct w:val="0"/>
              <w:autoSpaceDE/>
              <w:autoSpaceDN/>
              <w:bidi w:val="0"/>
              <w:adjustRightInd/>
              <w:snapToGrid/>
              <w:spacing w:line="461" w:lineRule="auto"/>
              <w:ind w:firstLine="480" w:firstLineChars="200"/>
              <w:textAlignment w:val="auto"/>
              <w:rPr>
                <w:rFonts w:hint="default" w:ascii="宋体"/>
                <w:sz w:val="24"/>
                <w:lang w:val="en-US"/>
              </w:rPr>
            </w:pPr>
            <w:r>
              <w:rPr>
                <w:rFonts w:hint="eastAsia" w:ascii="宋体"/>
                <w:sz w:val="24"/>
                <w:lang w:val="en-US" w:eastAsia="zh-CN"/>
              </w:rPr>
              <w:t>3.</w:t>
            </w:r>
            <w:r>
              <w:rPr>
                <w:rFonts w:hint="default" w:ascii="宋体"/>
                <w:sz w:val="24"/>
                <w:lang w:val="en-US"/>
              </w:rPr>
              <w:t>国内端：完成外汇登记与申报等相关部门的合规要求与流程。</w:t>
            </w:r>
          </w:p>
          <w:p w14:paraId="76DDEBAC">
            <w:pPr>
              <w:keepNext w:val="0"/>
              <w:keepLines w:val="0"/>
              <w:pageBreakBefore w:val="0"/>
              <w:widowControl w:val="0"/>
              <w:kinsoku/>
              <w:wordWrap/>
              <w:overflowPunct/>
              <w:topLinePunct w:val="0"/>
              <w:autoSpaceDE/>
              <w:autoSpaceDN/>
              <w:bidi w:val="0"/>
              <w:adjustRightInd/>
              <w:snapToGrid/>
              <w:spacing w:line="461" w:lineRule="auto"/>
              <w:ind w:firstLine="480" w:firstLineChars="200"/>
              <w:textAlignment w:val="auto"/>
              <w:rPr>
                <w:rFonts w:hint="default" w:ascii="宋体"/>
                <w:sz w:val="24"/>
                <w:lang w:val="en-US"/>
              </w:rPr>
            </w:pPr>
            <w:r>
              <w:rPr>
                <w:rFonts w:hint="default" w:ascii="宋体"/>
                <w:sz w:val="24"/>
                <w:lang w:val="en-US"/>
              </w:rPr>
              <w:t>截至目前，尚未发现有实质性障碍。若未来方案落地、进入实施阶段，</w:t>
            </w:r>
            <w:r>
              <w:rPr>
                <w:rFonts w:hint="eastAsia" w:ascii="宋体"/>
                <w:sz w:val="24"/>
                <w:lang w:val="en-US" w:eastAsia="zh-CN"/>
              </w:rPr>
              <w:t>公司</w:t>
            </w:r>
            <w:r>
              <w:rPr>
                <w:rFonts w:hint="default" w:ascii="宋体"/>
                <w:sz w:val="24"/>
                <w:lang w:val="en-US"/>
              </w:rPr>
              <w:t>将第一时间发布公告。
</w:t>
            </w:r>
          </w:p>
          <w:p w14:paraId="342FA181">
            <w:pPr>
              <w:keepNext w:val="0"/>
              <w:keepLines w:val="0"/>
              <w:pageBreakBefore w:val="0"/>
              <w:widowControl w:val="0"/>
              <w:kinsoku/>
              <w:wordWrap/>
              <w:overflowPunct/>
              <w:topLinePunct w:val="0"/>
              <w:autoSpaceDE/>
              <w:autoSpaceDN/>
              <w:bidi w:val="0"/>
              <w:adjustRightInd/>
              <w:snapToGrid/>
              <w:spacing w:line="461" w:lineRule="auto"/>
              <w:ind w:firstLine="480" w:firstLineChars="200"/>
              <w:textAlignment w:val="auto"/>
              <w:rPr>
                <w:rFonts w:hint="eastAsia" w:ascii="宋体" w:eastAsia="宋体"/>
                <w:sz w:val="24"/>
                <w:lang w:val="en-US" w:eastAsia="zh-CN"/>
              </w:rPr>
            </w:pPr>
            <w:r>
              <w:rPr>
                <w:rFonts w:hint="default" w:ascii="宋体"/>
                <w:sz w:val="24"/>
                <w:lang w:val="en-US"/>
              </w:rPr>
              <w:t>
二、分红</w:t>
            </w:r>
            <w:r>
              <w:rPr>
                <w:rFonts w:hint="eastAsia" w:ascii="宋体"/>
                <w:sz w:val="24"/>
                <w:lang w:val="en-US" w:eastAsia="zh-CN"/>
              </w:rPr>
              <w:t>相关税务说明</w:t>
            </w:r>
          </w:p>
          <w:p w14:paraId="5C6000C3">
            <w:pPr>
              <w:keepNext w:val="0"/>
              <w:keepLines w:val="0"/>
              <w:pageBreakBefore w:val="0"/>
              <w:widowControl w:val="0"/>
              <w:kinsoku/>
              <w:wordWrap/>
              <w:overflowPunct/>
              <w:topLinePunct w:val="0"/>
              <w:autoSpaceDE/>
              <w:autoSpaceDN/>
              <w:bidi w:val="0"/>
              <w:adjustRightInd/>
              <w:snapToGrid/>
              <w:spacing w:line="461" w:lineRule="auto"/>
              <w:ind w:firstLine="480" w:firstLineChars="200"/>
              <w:textAlignment w:val="auto"/>
              <w:rPr>
                <w:rFonts w:hint="default" w:ascii="宋体"/>
                <w:sz w:val="24"/>
                <w:lang w:val="en-US"/>
              </w:rPr>
            </w:pPr>
            <w:r>
              <w:rPr>
                <w:rFonts w:hint="default" w:ascii="宋体"/>
                <w:sz w:val="24"/>
                <w:lang w:val="en-US"/>
              </w:rPr>
              <w:t>
依法纳税是企业的法定义务。母公司目前存在大额待弥补亏损，根据《企业所得税法》相关规定，可用于抵减当期应纳税所得额，因此暂未计提企业所得税。该处理仅为管理层基于当前情况的判断，最终所得税费用及应纳税额需以2026年度企业所得税汇算清缴结果为准。关于境外子公司分红回流涉及的税收抵免等事项，公司将严格按照税法及中美税收协定相关规定执行。
</w:t>
            </w:r>
          </w:p>
          <w:p w14:paraId="04DDC2A3">
            <w:pPr>
              <w:keepNext w:val="0"/>
              <w:keepLines w:val="0"/>
              <w:pageBreakBefore w:val="0"/>
              <w:widowControl w:val="0"/>
              <w:kinsoku/>
              <w:wordWrap/>
              <w:overflowPunct/>
              <w:topLinePunct w:val="0"/>
              <w:autoSpaceDE/>
              <w:autoSpaceDN/>
              <w:bidi w:val="0"/>
              <w:adjustRightInd/>
              <w:snapToGrid/>
              <w:spacing w:line="461" w:lineRule="auto"/>
              <w:ind w:firstLine="480" w:firstLineChars="200"/>
              <w:textAlignment w:val="auto"/>
              <w:rPr>
                <w:rFonts w:hint="default" w:ascii="宋体"/>
                <w:sz w:val="24"/>
                <w:lang w:val="en-US"/>
              </w:rPr>
            </w:pPr>
            <w:r>
              <w:rPr>
                <w:rFonts w:hint="default" w:ascii="宋体"/>
                <w:sz w:val="24"/>
                <w:lang w:val="en-US"/>
              </w:rPr>
              <w:t>感谢各位投资者对公司的关注！</w:t>
            </w:r>
          </w:p>
          <w:p w14:paraId="478BFB91">
            <w:pPr>
              <w:spacing w:line="460" w:lineRule="auto"/>
              <w:rPr>
                <w:rFonts w:hint="default" w:ascii="宋体"/>
                <w:sz w:val="24"/>
                <w:lang w:val="en-US"/>
              </w:rPr>
            </w:pPr>
          </w:p>
          <w:p w14:paraId="0C903592">
            <w:pPr>
              <w:rPr>
                <w:b/>
                <w:bCs/>
              </w:rPr>
            </w:pPr>
            <w:r>
              <w:rPr>
                <w:rFonts w:hint="default" w:ascii="宋体"/>
                <w:b/>
                <w:bCs/>
                <w:sz w:val="24"/>
                <w:lang w:val="en-US"/>
              </w:rPr>
              <w:t>3、请问公司本次中期分红的利润分派方案及权益分派实施公告预计何时披露？股权登记日和除权除息日预计什么时候？想提前做好资金安排，谢谢。</w:t>
            </w:r>
          </w:p>
          <w:p w14:paraId="0FAF9C4F">
            <w:pPr>
              <w:spacing w:line="460" w:lineRule="auto"/>
              <w:rPr>
                <w:rFonts w:hint="default" w:ascii="宋体"/>
                <w:sz w:val="24"/>
                <w:lang w:val="en-US"/>
              </w:rPr>
            </w:pPr>
            <w:r>
              <w:rPr>
                <w:rFonts w:hint="default" w:ascii="宋体"/>
                <w:sz w:val="24"/>
                <w:lang w:val="en-US"/>
              </w:rPr>
              <w:t>答:尊敬的投资者，您好！
</w:t>
            </w:r>
          </w:p>
          <w:p w14:paraId="027366E7">
            <w:pPr>
              <w:keepNext w:val="0"/>
              <w:keepLines w:val="0"/>
              <w:pageBreakBefore w:val="0"/>
              <w:widowControl w:val="0"/>
              <w:kinsoku/>
              <w:wordWrap/>
              <w:overflowPunct/>
              <w:topLinePunct w:val="0"/>
              <w:autoSpaceDE/>
              <w:autoSpaceDN/>
              <w:bidi w:val="0"/>
              <w:adjustRightInd/>
              <w:snapToGrid/>
              <w:spacing w:line="461" w:lineRule="auto"/>
              <w:ind w:firstLine="480" w:firstLineChars="200"/>
              <w:textAlignment w:val="auto"/>
              <w:rPr>
                <w:rFonts w:hint="default" w:ascii="宋体"/>
                <w:sz w:val="24"/>
                <w:lang w:val="en-US"/>
              </w:rPr>
            </w:pPr>
            <w:r>
              <w:rPr>
                <w:rFonts w:hint="default" w:ascii="宋体"/>
                <w:sz w:val="24"/>
                <w:lang w:val="en-US"/>
              </w:rPr>
              <w:t>公司已于8月26日召开半年度报告董事会会议并审议通过了中期分红方案，相关公告已对外披露。目前，公司正结合资金到位安排及交易所和中登相关要求，推进权益分派实施的各项准备工作，力争尽快披露权益分派实施公告。后续将按照交易所及中登的规定，尽快确定股权登记日与除权除息日，红利将通过中登系统及时派发至投资者账户。
</w:t>
            </w:r>
          </w:p>
          <w:p w14:paraId="364BC3A5">
            <w:pPr>
              <w:keepNext w:val="0"/>
              <w:keepLines w:val="0"/>
              <w:pageBreakBefore w:val="0"/>
              <w:widowControl w:val="0"/>
              <w:kinsoku/>
              <w:wordWrap/>
              <w:overflowPunct/>
              <w:topLinePunct w:val="0"/>
              <w:autoSpaceDE/>
              <w:autoSpaceDN/>
              <w:bidi w:val="0"/>
              <w:adjustRightInd/>
              <w:snapToGrid/>
              <w:spacing w:line="461" w:lineRule="auto"/>
              <w:ind w:firstLine="480" w:firstLineChars="200"/>
              <w:textAlignment w:val="auto"/>
              <w:rPr>
                <w:rFonts w:hint="default" w:ascii="宋体"/>
                <w:sz w:val="24"/>
                <w:lang w:val="en-US"/>
              </w:rPr>
            </w:pPr>
            <w:r>
              <w:rPr>
                <w:rFonts w:hint="default" w:ascii="宋体"/>
                <w:sz w:val="24"/>
                <w:lang w:val="en-US"/>
              </w:rPr>
              <w:t>感谢各位投资者对公司的关注！</w:t>
            </w:r>
          </w:p>
          <w:p w14:paraId="0F00C7D2">
            <w:pPr>
              <w:spacing w:line="460" w:lineRule="auto"/>
              <w:rPr>
                <w:rFonts w:hint="default" w:ascii="宋体"/>
                <w:sz w:val="24"/>
                <w:lang w:val="en-US"/>
              </w:rPr>
            </w:pPr>
          </w:p>
          <w:p w14:paraId="4557DE3F">
            <w:pPr>
              <w:rPr>
                <w:b/>
                <w:bCs/>
              </w:rPr>
            </w:pPr>
            <w:r>
              <w:rPr>
                <w:rFonts w:hint="eastAsia" w:ascii="宋体"/>
                <w:b/>
                <w:bCs/>
                <w:sz w:val="24"/>
                <w:lang w:val="en-US" w:eastAsia="zh-CN"/>
              </w:rPr>
              <w:t>4</w:t>
            </w:r>
            <w:r>
              <w:rPr>
                <w:rFonts w:hint="default" w:ascii="宋体"/>
                <w:b/>
                <w:bCs/>
                <w:sz w:val="24"/>
                <w:lang w:val="en-US"/>
              </w:rPr>
              <w:t>、根据贵司市值管理制度，连续20个交易日内公司股票收盘价格跌幅累计达20%，应采取相应措施，请问市值管理制度是否落实？另伊泰股价是否有B转A的计划？</w:t>
            </w:r>
          </w:p>
          <w:p w14:paraId="26E03038">
            <w:pPr>
              <w:spacing w:line="460" w:lineRule="auto"/>
              <w:rPr>
                <w:rFonts w:hint="default" w:ascii="宋体"/>
                <w:sz w:val="24"/>
                <w:lang w:val="en-US"/>
              </w:rPr>
            </w:pPr>
            <w:r>
              <w:rPr>
                <w:rFonts w:hint="default" w:ascii="宋体"/>
                <w:sz w:val="24"/>
                <w:lang w:val="en-US"/>
              </w:rPr>
              <w:t>答:尊敬的投资者，您好！
</w:t>
            </w:r>
          </w:p>
          <w:p w14:paraId="578632A1">
            <w:pPr>
              <w:keepNext w:val="0"/>
              <w:keepLines w:val="0"/>
              <w:pageBreakBefore w:val="0"/>
              <w:widowControl w:val="0"/>
              <w:kinsoku/>
              <w:wordWrap/>
              <w:overflowPunct/>
              <w:topLinePunct w:val="0"/>
              <w:autoSpaceDE/>
              <w:autoSpaceDN/>
              <w:bidi w:val="0"/>
              <w:adjustRightInd/>
              <w:snapToGrid/>
              <w:spacing w:line="461" w:lineRule="auto"/>
              <w:ind w:firstLine="480" w:firstLineChars="200"/>
              <w:textAlignment w:val="auto"/>
              <w:rPr>
                <w:rFonts w:hint="default" w:ascii="宋体"/>
                <w:sz w:val="24"/>
                <w:lang w:val="en-US"/>
              </w:rPr>
            </w:pPr>
            <w:r>
              <w:rPr>
                <w:rFonts w:hint="default" w:ascii="宋体"/>
                <w:sz w:val="24"/>
                <w:lang w:val="en-US"/>
              </w:rPr>
              <w:t>目前公司经营重心聚焦油气主业发展、持续优化经营质量、稳固经营成果，暂未制定重组合并、重大资产重组等相关计划。公司始终严格遵守资本市场各项监管规则，未来如果根据战略发展需要，若筹划合并、分立、重大资产重组等重大资本运作事项，将严格按照《上市公司重大资产重组管理办法》《上海证券交易所股票上市规则》等规定，依次履行董事会、股东会审议程序，并第一时间对外披露相关公告，保障全体投资者的知情权。
</w:t>
            </w:r>
          </w:p>
          <w:p w14:paraId="0B92250D">
            <w:pPr>
              <w:keepNext w:val="0"/>
              <w:keepLines w:val="0"/>
              <w:pageBreakBefore w:val="0"/>
              <w:widowControl w:val="0"/>
              <w:kinsoku/>
              <w:wordWrap/>
              <w:overflowPunct/>
              <w:topLinePunct w:val="0"/>
              <w:autoSpaceDE/>
              <w:autoSpaceDN/>
              <w:bidi w:val="0"/>
              <w:adjustRightInd/>
              <w:snapToGrid/>
              <w:spacing w:line="461" w:lineRule="auto"/>
              <w:ind w:firstLine="480" w:firstLineChars="200"/>
              <w:textAlignment w:val="auto"/>
              <w:rPr>
                <w:rFonts w:hint="default" w:ascii="宋体"/>
                <w:sz w:val="24"/>
                <w:lang w:val="en-US"/>
              </w:rPr>
            </w:pPr>
            <w:r>
              <w:rPr>
                <w:rFonts w:hint="default" w:ascii="宋体"/>
                <w:sz w:val="24"/>
                <w:lang w:val="en-US"/>
              </w:rPr>
              <w:t>感谢各位投资者对公司的关注！</w:t>
            </w:r>
          </w:p>
          <w:p w14:paraId="1C7CE4A7">
            <w:pPr>
              <w:spacing w:line="460" w:lineRule="auto"/>
              <w:rPr>
                <w:rFonts w:hint="default" w:ascii="宋体"/>
                <w:sz w:val="24"/>
                <w:lang w:val="en-US"/>
              </w:rPr>
            </w:pPr>
          </w:p>
          <w:p w14:paraId="6441B542">
            <w:pPr>
              <w:rPr>
                <w:b/>
                <w:bCs/>
              </w:rPr>
            </w:pPr>
            <w:r>
              <w:rPr>
                <w:rFonts w:hint="eastAsia" w:ascii="宋体"/>
                <w:b/>
                <w:bCs/>
                <w:sz w:val="24"/>
                <w:lang w:val="en-US" w:eastAsia="zh-CN"/>
              </w:rPr>
              <w:t>5</w:t>
            </w:r>
            <w:r>
              <w:rPr>
                <w:rFonts w:hint="default" w:ascii="宋体"/>
                <w:b/>
                <w:bCs/>
                <w:sz w:val="24"/>
                <w:lang w:val="en-US"/>
              </w:rPr>
              <w:t>、请问贵公司关于股价管理方面是否有切实可行的措施？新潮能源自摘帽以来，股价从6块多跌到4块，跌幅达到三分之一，本着对公司及股东负责的态度，贵公司后续会有什么方案？</w:t>
            </w:r>
          </w:p>
          <w:p w14:paraId="100B5575">
            <w:pPr>
              <w:spacing w:line="460" w:lineRule="auto"/>
              <w:rPr>
                <w:rFonts w:hint="default" w:ascii="宋体"/>
                <w:sz w:val="24"/>
                <w:lang w:val="en-US"/>
              </w:rPr>
            </w:pPr>
            <w:r>
              <w:rPr>
                <w:rFonts w:hint="default" w:ascii="宋体"/>
                <w:sz w:val="24"/>
                <w:lang w:val="en-US"/>
              </w:rPr>
              <w:t>答:尊敬的投资者，您好！
</w:t>
            </w:r>
          </w:p>
          <w:p w14:paraId="50C70C21">
            <w:pPr>
              <w:keepNext w:val="0"/>
              <w:keepLines w:val="0"/>
              <w:pageBreakBefore w:val="0"/>
              <w:widowControl w:val="0"/>
              <w:kinsoku/>
              <w:wordWrap/>
              <w:overflowPunct/>
              <w:topLinePunct w:val="0"/>
              <w:autoSpaceDE/>
              <w:autoSpaceDN/>
              <w:bidi w:val="0"/>
              <w:adjustRightInd/>
              <w:snapToGrid/>
              <w:spacing w:line="461" w:lineRule="auto"/>
              <w:ind w:firstLine="480" w:firstLineChars="200"/>
              <w:textAlignment w:val="auto"/>
              <w:rPr>
                <w:rFonts w:hint="default" w:ascii="宋体"/>
                <w:sz w:val="24"/>
                <w:lang w:val="en-US"/>
              </w:rPr>
            </w:pPr>
            <w:r>
              <w:rPr>
                <w:rFonts w:hint="default" w:ascii="宋体"/>
                <w:sz w:val="24"/>
                <w:lang w:val="en-US"/>
              </w:rPr>
              <w:t>关于公司基本面</w:t>
            </w:r>
            <w:r>
              <w:rPr>
                <w:rFonts w:hint="eastAsia" w:ascii="宋体"/>
                <w:sz w:val="24"/>
                <w:lang w:val="en-US" w:eastAsia="zh-CN"/>
              </w:rPr>
              <w:t>的</w:t>
            </w:r>
            <w:r>
              <w:rPr>
                <w:rFonts w:hint="default" w:ascii="宋体"/>
                <w:sz w:val="24"/>
                <w:lang w:val="en-US"/>
              </w:rPr>
              <w:t>修复</w:t>
            </w:r>
            <w:r>
              <w:rPr>
                <w:rFonts w:hint="eastAsia" w:ascii="宋体"/>
                <w:sz w:val="24"/>
                <w:lang w:val="en-US" w:eastAsia="zh-CN"/>
              </w:rPr>
              <w:t>，实施了以下措施</w:t>
            </w:r>
            <w:r>
              <w:rPr>
                <w:rFonts w:hint="default" w:ascii="宋体"/>
                <w:sz w:val="24"/>
                <w:lang w:val="en-US"/>
              </w:rPr>
              <w:t>：</w:t>
            </w:r>
          </w:p>
          <w:p w14:paraId="39AA9D5D">
            <w:pPr>
              <w:keepNext w:val="0"/>
              <w:keepLines w:val="0"/>
              <w:pageBreakBefore w:val="0"/>
              <w:widowControl w:val="0"/>
              <w:kinsoku/>
              <w:wordWrap/>
              <w:overflowPunct/>
              <w:topLinePunct w:val="0"/>
              <w:autoSpaceDE/>
              <w:autoSpaceDN/>
              <w:bidi w:val="0"/>
              <w:adjustRightInd/>
              <w:snapToGrid/>
              <w:spacing w:line="461" w:lineRule="auto"/>
              <w:ind w:firstLine="480" w:firstLineChars="200"/>
              <w:textAlignment w:val="auto"/>
              <w:rPr>
                <w:rFonts w:hint="default" w:ascii="宋体"/>
                <w:sz w:val="24"/>
                <w:lang w:val="en-US"/>
              </w:rPr>
            </w:pPr>
            <w:r>
              <w:rPr>
                <w:rFonts w:hint="default" w:ascii="宋体"/>
                <w:sz w:val="24"/>
                <w:lang w:val="en-US"/>
              </w:rPr>
              <w:t>一是稳定</w:t>
            </w:r>
            <w:r>
              <w:rPr>
                <w:rFonts w:hint="eastAsia" w:ascii="宋体"/>
                <w:sz w:val="24"/>
                <w:lang w:val="en-US" w:eastAsia="zh-CN"/>
              </w:rPr>
              <w:t>主</w:t>
            </w:r>
            <w:r>
              <w:rPr>
                <w:rFonts w:hint="default" w:ascii="宋体"/>
                <w:sz w:val="24"/>
                <w:lang w:val="en-US"/>
              </w:rPr>
              <w:t>业</w:t>
            </w:r>
            <w:r>
              <w:rPr>
                <w:rFonts w:hint="eastAsia" w:ascii="宋体"/>
                <w:sz w:val="24"/>
                <w:lang w:val="en-US" w:eastAsia="zh-CN"/>
              </w:rPr>
              <w:t>底盘</w:t>
            </w:r>
            <w:r>
              <w:rPr>
                <w:rFonts w:hint="default" w:ascii="宋体"/>
                <w:sz w:val="24"/>
                <w:lang w:val="en-US"/>
              </w:rPr>
              <w:t>。公司全部资产聚焦二叠纪盆地核心页岩油产区，</w:t>
            </w:r>
            <w:r>
              <w:rPr>
                <w:rFonts w:hint="eastAsia" w:ascii="宋体"/>
                <w:sz w:val="24"/>
                <w:lang w:val="en-US" w:eastAsia="zh-CN"/>
              </w:rPr>
              <w:t>公司一直以来持续优化成本，不断夯实</w:t>
            </w:r>
            <w:r>
              <w:rPr>
                <w:rFonts w:hint="default" w:ascii="宋体"/>
                <w:sz w:val="24"/>
                <w:lang w:val="en-US"/>
              </w:rPr>
              <w:t>油气主业的盈利能力</w:t>
            </w:r>
            <w:r>
              <w:rPr>
                <w:rFonts w:hint="eastAsia" w:ascii="宋体"/>
                <w:sz w:val="24"/>
                <w:lang w:val="en-US" w:eastAsia="zh-CN"/>
              </w:rPr>
              <w:t>和</w:t>
            </w:r>
            <w:r>
              <w:rPr>
                <w:rFonts w:hint="default" w:ascii="宋体"/>
                <w:sz w:val="24"/>
                <w:lang w:val="en-US"/>
              </w:rPr>
              <w:t>现金流造血能力，</w:t>
            </w:r>
            <w:r>
              <w:rPr>
                <w:rFonts w:hint="eastAsia" w:ascii="宋体"/>
                <w:sz w:val="24"/>
                <w:lang w:val="en-US" w:eastAsia="zh-CN"/>
              </w:rPr>
              <w:t>作为</w:t>
            </w:r>
            <w:r>
              <w:rPr>
                <w:rFonts w:hint="default" w:ascii="宋体"/>
                <w:sz w:val="24"/>
                <w:lang w:val="en-US"/>
              </w:rPr>
              <w:t>公司最核心的价值基础。</w:t>
            </w:r>
          </w:p>
          <w:p w14:paraId="364AFBDE">
            <w:pPr>
              <w:keepNext w:val="0"/>
              <w:keepLines w:val="0"/>
              <w:pageBreakBefore w:val="0"/>
              <w:widowControl w:val="0"/>
              <w:kinsoku/>
              <w:wordWrap/>
              <w:overflowPunct/>
              <w:topLinePunct w:val="0"/>
              <w:autoSpaceDE/>
              <w:autoSpaceDN/>
              <w:bidi w:val="0"/>
              <w:adjustRightInd/>
              <w:snapToGrid/>
              <w:spacing w:line="461" w:lineRule="auto"/>
              <w:ind w:firstLine="480" w:firstLineChars="200"/>
              <w:textAlignment w:val="auto"/>
              <w:rPr>
                <w:rFonts w:hint="default" w:ascii="宋体"/>
                <w:sz w:val="24"/>
                <w:lang w:val="en-US"/>
              </w:rPr>
            </w:pPr>
            <w:r>
              <w:rPr>
                <w:rFonts w:hint="default" w:ascii="宋体"/>
                <w:sz w:val="24"/>
                <w:lang w:val="en-US"/>
              </w:rPr>
              <w:t>二是持续出清历史风险。</w:t>
            </w:r>
            <w:r>
              <w:rPr>
                <w:rFonts w:hint="eastAsia" w:ascii="宋体"/>
                <w:sz w:val="24"/>
                <w:lang w:val="en-US" w:eastAsia="zh-CN"/>
              </w:rPr>
              <w:t>公司</w:t>
            </w:r>
            <w:r>
              <w:rPr>
                <w:rFonts w:hint="default" w:ascii="宋体"/>
                <w:sz w:val="24"/>
                <w:lang w:val="en-US"/>
              </w:rPr>
              <w:t>逐步化解遗留问题，提升内控体系</w:t>
            </w:r>
            <w:r>
              <w:rPr>
                <w:rFonts w:hint="eastAsia" w:ascii="宋体"/>
                <w:sz w:val="24"/>
                <w:lang w:val="en-US" w:eastAsia="zh-CN"/>
              </w:rPr>
              <w:t>及</w:t>
            </w:r>
            <w:r>
              <w:rPr>
                <w:rFonts w:hint="default" w:ascii="宋体"/>
                <w:sz w:val="24"/>
                <w:lang w:val="en-US"/>
              </w:rPr>
              <w:t>合规治理质量，</w:t>
            </w:r>
            <w:r>
              <w:rPr>
                <w:rFonts w:hint="eastAsia" w:ascii="宋体"/>
                <w:sz w:val="24"/>
                <w:lang w:val="en-US" w:eastAsia="zh-CN"/>
              </w:rPr>
              <w:t>不断</w:t>
            </w:r>
            <w:r>
              <w:rPr>
                <w:rFonts w:hint="default" w:ascii="宋体"/>
                <w:sz w:val="24"/>
                <w:lang w:val="en-US"/>
              </w:rPr>
              <w:t>增强公司经营的稳健性</w:t>
            </w:r>
            <w:r>
              <w:rPr>
                <w:rFonts w:hint="eastAsia" w:ascii="宋体"/>
                <w:sz w:val="24"/>
                <w:lang w:val="en-US" w:eastAsia="zh-CN"/>
              </w:rPr>
              <w:t>和</w:t>
            </w:r>
            <w:r>
              <w:rPr>
                <w:rFonts w:hint="default" w:ascii="宋体"/>
                <w:sz w:val="24"/>
                <w:lang w:val="en-US"/>
              </w:rPr>
              <w:t>规范性。</w:t>
            </w:r>
          </w:p>
          <w:p w14:paraId="36BAF443">
            <w:pPr>
              <w:keepNext w:val="0"/>
              <w:keepLines w:val="0"/>
              <w:pageBreakBefore w:val="0"/>
              <w:widowControl w:val="0"/>
              <w:kinsoku/>
              <w:wordWrap/>
              <w:overflowPunct/>
              <w:topLinePunct w:val="0"/>
              <w:autoSpaceDE/>
              <w:autoSpaceDN/>
              <w:bidi w:val="0"/>
              <w:adjustRightInd/>
              <w:snapToGrid/>
              <w:spacing w:line="461" w:lineRule="auto"/>
              <w:ind w:firstLine="480" w:firstLineChars="200"/>
              <w:textAlignment w:val="auto"/>
              <w:rPr>
                <w:rFonts w:hint="default" w:ascii="宋体"/>
                <w:sz w:val="24"/>
                <w:lang w:val="en-US"/>
              </w:rPr>
            </w:pPr>
            <w:r>
              <w:rPr>
                <w:rFonts w:hint="default" w:ascii="宋体"/>
                <w:sz w:val="24"/>
                <w:lang w:val="en-US"/>
              </w:rPr>
              <w:t>三是清晰笃定发展战略。</w:t>
            </w:r>
            <w:r>
              <w:rPr>
                <w:rFonts w:hint="eastAsia" w:ascii="宋体"/>
                <w:sz w:val="24"/>
                <w:lang w:val="en-US" w:eastAsia="zh-CN"/>
              </w:rPr>
              <w:t>公司</w:t>
            </w:r>
            <w:r>
              <w:rPr>
                <w:rFonts w:hint="default" w:ascii="宋体"/>
                <w:sz w:val="24"/>
                <w:lang w:val="en-US"/>
              </w:rPr>
              <w:t>始终坚持聚焦上游油气主业，踏实做好钻井运营、降本增效、风险对冲，走稳健可持续的发展路线。</w:t>
            </w:r>
          </w:p>
          <w:p w14:paraId="0BD6D669">
            <w:pPr>
              <w:keepNext w:val="0"/>
              <w:keepLines w:val="0"/>
              <w:pageBreakBefore w:val="0"/>
              <w:widowControl w:val="0"/>
              <w:kinsoku/>
              <w:wordWrap/>
              <w:overflowPunct/>
              <w:topLinePunct w:val="0"/>
              <w:autoSpaceDE/>
              <w:autoSpaceDN/>
              <w:bidi w:val="0"/>
              <w:adjustRightInd/>
              <w:snapToGrid/>
              <w:spacing w:line="461" w:lineRule="auto"/>
              <w:ind w:firstLine="480" w:firstLineChars="200"/>
              <w:textAlignment w:val="auto"/>
              <w:rPr>
                <w:rFonts w:hint="default" w:ascii="宋体"/>
                <w:sz w:val="24"/>
                <w:lang w:val="en-US"/>
              </w:rPr>
            </w:pPr>
            <w:r>
              <w:rPr>
                <w:rFonts w:hint="default" w:ascii="宋体"/>
                <w:sz w:val="24"/>
                <w:lang w:val="en-US"/>
              </w:rPr>
              <w:t>未来</w:t>
            </w:r>
            <w:r>
              <w:rPr>
                <w:rFonts w:hint="eastAsia" w:ascii="宋体"/>
                <w:sz w:val="24"/>
                <w:lang w:val="en-US" w:eastAsia="zh-CN"/>
              </w:rPr>
              <w:t>公司</w:t>
            </w:r>
            <w:r>
              <w:rPr>
                <w:rFonts w:hint="default" w:ascii="宋体"/>
                <w:sz w:val="24"/>
                <w:lang w:val="en-US"/>
              </w:rPr>
              <w:t>也会继续加强投资者沟通，更充分地传递公司经营动态与长期价值，也请各位投资者给予</w:t>
            </w:r>
            <w:r>
              <w:rPr>
                <w:rFonts w:hint="eastAsia" w:ascii="宋体"/>
                <w:sz w:val="24"/>
                <w:lang w:val="en-US" w:eastAsia="zh-CN"/>
              </w:rPr>
              <w:t>公司</w:t>
            </w:r>
            <w:r>
              <w:rPr>
                <w:rFonts w:hint="default" w:ascii="宋体"/>
                <w:sz w:val="24"/>
                <w:lang w:val="en-US"/>
              </w:rPr>
              <w:t>更多耐心，</w:t>
            </w:r>
            <w:r>
              <w:rPr>
                <w:rFonts w:hint="eastAsia" w:ascii="宋体"/>
                <w:sz w:val="24"/>
                <w:lang w:val="en-US" w:eastAsia="zh-CN"/>
              </w:rPr>
              <w:t>公司</w:t>
            </w:r>
            <w:r>
              <w:rPr>
                <w:rFonts w:hint="default" w:ascii="宋体"/>
                <w:sz w:val="24"/>
                <w:lang w:val="en-US"/>
              </w:rPr>
              <w:t>会用持续稳健的经营成果，回报全体股东的信任。
</w:t>
            </w:r>
          </w:p>
          <w:p w14:paraId="33A89E1F">
            <w:pPr>
              <w:keepNext w:val="0"/>
              <w:keepLines w:val="0"/>
              <w:pageBreakBefore w:val="0"/>
              <w:widowControl w:val="0"/>
              <w:kinsoku/>
              <w:wordWrap/>
              <w:overflowPunct/>
              <w:topLinePunct w:val="0"/>
              <w:autoSpaceDE/>
              <w:autoSpaceDN/>
              <w:bidi w:val="0"/>
              <w:adjustRightInd/>
              <w:snapToGrid/>
              <w:spacing w:line="461" w:lineRule="auto"/>
              <w:ind w:firstLine="480" w:firstLineChars="200"/>
              <w:textAlignment w:val="auto"/>
              <w:rPr>
                <w:rFonts w:hint="default" w:ascii="宋体"/>
                <w:sz w:val="24"/>
                <w:lang w:val="en-US"/>
              </w:rPr>
            </w:pPr>
            <w:r>
              <w:rPr>
                <w:rFonts w:hint="default" w:ascii="宋体"/>
                <w:sz w:val="24"/>
                <w:lang w:val="en-US"/>
              </w:rPr>
              <w:t>感谢各位投资者对公司的关注！</w:t>
            </w:r>
          </w:p>
          <w:p w14:paraId="2240CD08">
            <w:pPr>
              <w:spacing w:line="460" w:lineRule="auto"/>
              <w:rPr>
                <w:rFonts w:hint="default" w:ascii="宋体"/>
                <w:sz w:val="24"/>
                <w:lang w:val="en-US"/>
              </w:rPr>
            </w:pPr>
          </w:p>
          <w:p w14:paraId="156FEFED">
            <w:pPr>
              <w:rPr>
                <w:b/>
                <w:bCs/>
              </w:rPr>
            </w:pPr>
            <w:r>
              <w:rPr>
                <w:rFonts w:hint="eastAsia" w:ascii="宋体"/>
                <w:b/>
                <w:bCs/>
                <w:sz w:val="24"/>
                <w:lang w:val="en-US" w:eastAsia="zh-CN"/>
              </w:rPr>
              <w:t>6</w:t>
            </w:r>
            <w:r>
              <w:rPr>
                <w:rFonts w:hint="default" w:ascii="宋体"/>
                <w:b/>
                <w:bCs/>
                <w:sz w:val="24"/>
                <w:lang w:val="en-US"/>
              </w:rPr>
              <w:t>、看到公司2026半年度利润分配方案是10派0.1元，合计约6,800万元，作为长期持有公司股票的股东，想问下这个分红水平是怎么考虑的？是受半年报业绩下滑影响，还是基于资金安排？后续年度的分红计划如何？</w:t>
            </w:r>
          </w:p>
          <w:p w14:paraId="60E76223">
            <w:pPr>
              <w:spacing w:line="460" w:lineRule="auto"/>
              <w:rPr>
                <w:rFonts w:hint="default" w:ascii="宋体"/>
                <w:sz w:val="24"/>
                <w:lang w:val="en-US"/>
              </w:rPr>
            </w:pPr>
            <w:r>
              <w:rPr>
                <w:rFonts w:hint="default" w:ascii="宋体"/>
                <w:sz w:val="24"/>
                <w:lang w:val="en-US"/>
              </w:rPr>
              <w:t>答:尊敬的投资者，您好！
</w:t>
            </w:r>
          </w:p>
          <w:p w14:paraId="11C7B8AA">
            <w:pPr>
              <w:keepNext w:val="0"/>
              <w:keepLines w:val="0"/>
              <w:pageBreakBefore w:val="0"/>
              <w:widowControl w:val="0"/>
              <w:kinsoku/>
              <w:wordWrap/>
              <w:overflowPunct/>
              <w:topLinePunct w:val="0"/>
              <w:autoSpaceDE/>
              <w:autoSpaceDN/>
              <w:bidi w:val="0"/>
              <w:adjustRightInd/>
              <w:snapToGrid/>
              <w:spacing w:line="461" w:lineRule="auto"/>
              <w:ind w:firstLine="480" w:firstLineChars="200"/>
              <w:textAlignment w:val="auto"/>
              <w:rPr>
                <w:rFonts w:hint="default" w:ascii="宋体"/>
                <w:sz w:val="24"/>
                <w:lang w:val="en-US"/>
              </w:rPr>
            </w:pPr>
            <w:r>
              <w:rPr>
                <w:rFonts w:hint="default" w:ascii="宋体"/>
                <w:sz w:val="24"/>
                <w:lang w:val="en-US"/>
              </w:rPr>
              <w:t>公司本次拟派发现金红利6,800万元，主要基于母公司单体报表可分配收益情况，并综合考虑公司日常经营、必要支出、资金周转及可持续发展等方面因素需要。公司在兼顾股东回报的同时，也必须保留必要的营运资金，保障公司正常经营运行，增强抗风险能力和经营稳健性。
</w:t>
            </w:r>
          </w:p>
          <w:p w14:paraId="6D2B92B1">
            <w:pPr>
              <w:keepNext w:val="0"/>
              <w:keepLines w:val="0"/>
              <w:pageBreakBefore w:val="0"/>
              <w:widowControl w:val="0"/>
              <w:kinsoku/>
              <w:wordWrap/>
              <w:overflowPunct/>
              <w:topLinePunct w:val="0"/>
              <w:autoSpaceDE/>
              <w:autoSpaceDN/>
              <w:bidi w:val="0"/>
              <w:adjustRightInd/>
              <w:snapToGrid/>
              <w:spacing w:line="461" w:lineRule="auto"/>
              <w:ind w:firstLine="480" w:firstLineChars="200"/>
              <w:textAlignment w:val="auto"/>
              <w:rPr>
                <w:rFonts w:hint="eastAsia" w:ascii="宋体"/>
                <w:sz w:val="24"/>
                <w:lang w:val="en-US" w:eastAsia="zh-CN"/>
              </w:rPr>
            </w:pPr>
            <w:r>
              <w:rPr>
                <w:rFonts w:hint="default" w:ascii="宋体"/>
                <w:sz w:val="24"/>
                <w:lang w:val="en-US"/>
              </w:rPr>
              <w:t>关于未来三年股东回报政策规划，公司将严格恪守资本市场监管要求。根据《上市公司监管指引第3号——上市公司现金分红》规定，上市公司最近三年以现金方式累计分配的利润，不得低于最近三年年均净利润的30%。由于公司未来现金流水平及日常经营刚性支出等因素均存在不确定性，现阶段无法对公司未来三年分红比例、金额做出预判。请各位投资者以公司后续发布的正式分红公告为准</w:t>
            </w:r>
            <w:r>
              <w:rPr>
                <w:rFonts w:hint="eastAsia" w:ascii="宋体"/>
                <w:sz w:val="24"/>
                <w:lang w:val="en-US" w:eastAsia="zh-CN"/>
              </w:rPr>
              <w:t>。</w:t>
            </w:r>
          </w:p>
          <w:p w14:paraId="0ED10334">
            <w:pPr>
              <w:keepNext w:val="0"/>
              <w:keepLines w:val="0"/>
              <w:pageBreakBefore w:val="0"/>
              <w:widowControl w:val="0"/>
              <w:kinsoku/>
              <w:wordWrap/>
              <w:overflowPunct/>
              <w:topLinePunct w:val="0"/>
              <w:autoSpaceDE/>
              <w:autoSpaceDN/>
              <w:bidi w:val="0"/>
              <w:adjustRightInd/>
              <w:snapToGrid/>
              <w:spacing w:line="461" w:lineRule="auto"/>
              <w:ind w:firstLine="480" w:firstLineChars="200"/>
              <w:textAlignment w:val="auto"/>
              <w:rPr>
                <w:rFonts w:hint="default" w:ascii="宋体"/>
                <w:sz w:val="24"/>
                <w:lang w:val="en-US"/>
              </w:rPr>
            </w:pPr>
            <w:r>
              <w:rPr>
                <w:rFonts w:hint="default" w:ascii="宋体"/>
                <w:sz w:val="24"/>
                <w:lang w:val="en-US"/>
              </w:rPr>
              <w:t>公司全体股东利益高度趋同，对于分红的期待和诉求完全一致，公司管理层深刻理解全体股东希望分享经营成果的心情。结合公司中长期发展战略、经营现状、资金需求与债务结构，未来三年，公司将借鉴同业优秀企业的分红管理经验，制定一套稳健、连续、具备可持续性的股东回报政策。政策将平衡公司发展与股东收益，在保障企业正常经营、风险可控的基础上，持续为股东创造合理回报。</w:t>
            </w:r>
          </w:p>
          <w:p w14:paraId="7A2A0621">
            <w:pPr>
              <w:keepNext w:val="0"/>
              <w:keepLines w:val="0"/>
              <w:pageBreakBefore w:val="0"/>
              <w:widowControl w:val="0"/>
              <w:kinsoku/>
              <w:wordWrap/>
              <w:overflowPunct/>
              <w:topLinePunct w:val="0"/>
              <w:autoSpaceDE/>
              <w:autoSpaceDN/>
              <w:bidi w:val="0"/>
              <w:adjustRightInd/>
              <w:snapToGrid/>
              <w:spacing w:line="461" w:lineRule="auto"/>
              <w:ind w:firstLine="480" w:firstLineChars="200"/>
              <w:textAlignment w:val="auto"/>
              <w:rPr>
                <w:rFonts w:hint="default" w:ascii="宋体"/>
                <w:sz w:val="24"/>
                <w:lang w:val="en-US"/>
              </w:rPr>
            </w:pPr>
            <w:r>
              <w:rPr>
                <w:rFonts w:hint="default" w:ascii="宋体"/>
                <w:sz w:val="24"/>
                <w:lang w:val="en-US"/>
              </w:rPr>
              <w:t>
感谢各位投资者对公司的关注！</w:t>
            </w:r>
          </w:p>
          <w:p w14:paraId="7E2B3E77">
            <w:pPr>
              <w:spacing w:line="460" w:lineRule="auto"/>
              <w:rPr>
                <w:rFonts w:hint="default" w:ascii="宋体"/>
                <w:sz w:val="24"/>
                <w:lang w:val="en-US"/>
              </w:rPr>
            </w:pPr>
          </w:p>
          <w:p w14:paraId="2BA22848">
            <w:pPr>
              <w:rPr>
                <w:b/>
                <w:bCs/>
              </w:rPr>
            </w:pPr>
            <w:r>
              <w:rPr>
                <w:rFonts w:hint="eastAsia" w:ascii="宋体"/>
                <w:b/>
                <w:bCs/>
                <w:sz w:val="24"/>
                <w:lang w:val="en-US" w:eastAsia="zh-CN"/>
              </w:rPr>
              <w:t>7</w:t>
            </w:r>
            <w:r>
              <w:rPr>
                <w:rFonts w:hint="default" w:ascii="宋体"/>
                <w:b/>
                <w:bCs/>
                <w:sz w:val="24"/>
                <w:lang w:val="en-US"/>
              </w:rPr>
              <w:t>、高油价背景下，公司上半年业绩严重低于预期，请问管理层影响业绩兑现的原因是什么？什么时候能够消除？</w:t>
            </w:r>
          </w:p>
          <w:p w14:paraId="32DCF3A6">
            <w:pPr>
              <w:spacing w:line="460" w:lineRule="auto"/>
              <w:rPr>
                <w:rFonts w:hint="default" w:ascii="宋体"/>
                <w:sz w:val="24"/>
                <w:lang w:val="en-US"/>
              </w:rPr>
            </w:pPr>
            <w:r>
              <w:rPr>
                <w:rFonts w:hint="default" w:ascii="宋体"/>
                <w:sz w:val="24"/>
                <w:lang w:val="en-US"/>
              </w:rPr>
              <w:t>答:尊敬的投资者，您好！
</w:t>
            </w:r>
          </w:p>
          <w:p w14:paraId="5D63CD61">
            <w:pPr>
              <w:keepNext w:val="0"/>
              <w:keepLines w:val="0"/>
              <w:pageBreakBefore w:val="0"/>
              <w:widowControl w:val="0"/>
              <w:kinsoku/>
              <w:wordWrap/>
              <w:overflowPunct/>
              <w:topLinePunct w:val="0"/>
              <w:autoSpaceDE/>
              <w:autoSpaceDN/>
              <w:bidi w:val="0"/>
              <w:adjustRightInd/>
              <w:snapToGrid/>
              <w:spacing w:line="461" w:lineRule="auto"/>
              <w:ind w:firstLine="480" w:firstLineChars="200"/>
              <w:textAlignment w:val="auto"/>
              <w:rPr>
                <w:rFonts w:hint="default" w:ascii="宋体"/>
                <w:sz w:val="24"/>
                <w:lang w:val="en-US"/>
              </w:rPr>
            </w:pPr>
            <w:r>
              <w:rPr>
                <w:rFonts w:hint="default" w:ascii="宋体"/>
                <w:sz w:val="24"/>
                <w:lang w:val="en-US"/>
              </w:rPr>
              <w:t>本期净利润同比下降，核心系天然气业务负气价、原油套期保值业务利润大幅收缩，具体情况如下：公司油气资产位于美国二叠纪盆地，受区域天然气管道、液化加工配套设施不足制约，当期区域天然气持续出现负气价，天然气业务由盈转亏，利润同比大幅下降。
</w:t>
            </w:r>
          </w:p>
          <w:p w14:paraId="240DCF37">
            <w:pPr>
              <w:keepNext w:val="0"/>
              <w:keepLines w:val="0"/>
              <w:pageBreakBefore w:val="0"/>
              <w:widowControl w:val="0"/>
              <w:kinsoku/>
              <w:wordWrap/>
              <w:overflowPunct/>
              <w:topLinePunct w:val="0"/>
              <w:autoSpaceDE/>
              <w:autoSpaceDN/>
              <w:bidi w:val="0"/>
              <w:adjustRightInd/>
              <w:snapToGrid/>
              <w:spacing w:line="461" w:lineRule="auto"/>
              <w:ind w:firstLine="480" w:firstLineChars="200"/>
              <w:textAlignment w:val="auto"/>
              <w:rPr>
                <w:rFonts w:hint="default" w:ascii="宋体"/>
                <w:sz w:val="24"/>
                <w:lang w:val="en-US"/>
              </w:rPr>
            </w:pPr>
            <w:r>
              <w:rPr>
                <w:rFonts w:hint="default" w:ascii="宋体"/>
                <w:sz w:val="24"/>
                <w:lang w:val="en-US"/>
              </w:rPr>
              <w:t>公司存量原油套期保值为前期提前12个月布局的长周期合约，系行业通用的现金流稳定、价格风险管理工具。长周期套保天然存在价格波动风险，本期受国际地缘冲突影响油价大幅上行，前期锁定远期售价低于当期现货价格，套保业务产生较大亏损。目前公司已停止新增远期套保头寸，并根据市场实际情况持续优化存量套保策略，缓释后续价格波动冲击。
</w:t>
            </w:r>
          </w:p>
          <w:p w14:paraId="703C7BBE">
            <w:pPr>
              <w:keepNext w:val="0"/>
              <w:keepLines w:val="0"/>
              <w:pageBreakBefore w:val="0"/>
              <w:widowControl w:val="0"/>
              <w:kinsoku/>
              <w:wordWrap/>
              <w:overflowPunct/>
              <w:topLinePunct w:val="0"/>
              <w:autoSpaceDE/>
              <w:autoSpaceDN/>
              <w:bidi w:val="0"/>
              <w:adjustRightInd/>
              <w:snapToGrid/>
              <w:spacing w:line="461" w:lineRule="auto"/>
              <w:ind w:firstLine="480" w:firstLineChars="200"/>
              <w:textAlignment w:val="auto"/>
              <w:rPr>
                <w:rFonts w:hint="default" w:ascii="宋体"/>
                <w:sz w:val="24"/>
                <w:lang w:val="en-US"/>
              </w:rPr>
            </w:pPr>
            <w:r>
              <w:rPr>
                <w:rFonts w:hint="default" w:ascii="宋体"/>
                <w:sz w:val="24"/>
                <w:lang w:val="en-US"/>
              </w:rPr>
              <w:t>感谢各位投资者对公司的关注！</w:t>
            </w:r>
          </w:p>
          <w:p w14:paraId="5980C3C6">
            <w:pPr>
              <w:spacing w:line="460" w:lineRule="auto"/>
              <w:rPr>
                <w:rFonts w:hint="default" w:ascii="宋体"/>
                <w:sz w:val="24"/>
                <w:lang w:val="en-US"/>
              </w:rPr>
            </w:pPr>
          </w:p>
          <w:p w14:paraId="72CA616B">
            <w:pPr>
              <w:rPr>
                <w:b/>
                <w:bCs/>
              </w:rPr>
            </w:pPr>
            <w:r>
              <w:rPr>
                <w:rFonts w:hint="eastAsia" w:ascii="宋体"/>
                <w:b/>
                <w:bCs/>
                <w:sz w:val="24"/>
                <w:lang w:val="en-US" w:eastAsia="zh-CN"/>
              </w:rPr>
              <w:t>8</w:t>
            </w:r>
            <w:r>
              <w:rPr>
                <w:rFonts w:hint="default" w:ascii="宋体"/>
                <w:b/>
                <w:bCs/>
                <w:sz w:val="24"/>
                <w:lang w:val="en-US"/>
              </w:rPr>
              <w:t>、二叠纪盆地新增天然气管线投产之后，公司天然气业务预计何时能够摆脱负气价带来的亏损影响？后续套保策略还会做哪些优化调整？</w:t>
            </w:r>
          </w:p>
          <w:p w14:paraId="762F23C8">
            <w:pPr>
              <w:spacing w:line="460" w:lineRule="auto"/>
              <w:rPr>
                <w:rFonts w:hint="default" w:ascii="宋体"/>
                <w:sz w:val="24"/>
                <w:lang w:val="en-US"/>
              </w:rPr>
            </w:pPr>
            <w:r>
              <w:rPr>
                <w:rFonts w:hint="default" w:ascii="宋体"/>
                <w:sz w:val="24"/>
                <w:lang w:val="en-US"/>
              </w:rPr>
              <w:t>答:尊敬的投资者，您好！
</w:t>
            </w:r>
          </w:p>
          <w:p w14:paraId="03BA5DC2">
            <w:pPr>
              <w:keepNext w:val="0"/>
              <w:keepLines w:val="0"/>
              <w:pageBreakBefore w:val="0"/>
              <w:widowControl w:val="0"/>
              <w:kinsoku/>
              <w:wordWrap/>
              <w:overflowPunct/>
              <w:topLinePunct w:val="0"/>
              <w:autoSpaceDE/>
              <w:autoSpaceDN/>
              <w:bidi w:val="0"/>
              <w:adjustRightInd/>
              <w:snapToGrid/>
              <w:spacing w:line="461" w:lineRule="auto"/>
              <w:ind w:firstLine="480" w:firstLineChars="200"/>
              <w:textAlignment w:val="auto"/>
              <w:rPr>
                <w:rFonts w:hint="default" w:ascii="宋体"/>
                <w:sz w:val="24"/>
                <w:lang w:val="en-US"/>
              </w:rPr>
            </w:pPr>
            <w:r>
              <w:rPr>
                <w:rFonts w:hint="default" w:ascii="宋体"/>
                <w:sz w:val="24"/>
                <w:lang w:val="en-US"/>
              </w:rPr>
              <w:t>上半年北美得州及二叠纪盆地区域市场呈现与国际天然气价格完全相反的行情。一方面，本区域天然气产能集中释放，市场整体供给过剩；另一方面，当地基础设施存在明显瓶颈，区域内天然气专用外运管网不足，液化天然气相关设施稀缺，过剩气量无法向外输送、外销分流。受区域供需失衡+管输、相关基础设施受限多重因素叠加影响，上半年本地天然气出现负气价现象，该问题也是二叠纪盆地内所有油气生产企业共同面临的行业性难题。
</w:t>
            </w:r>
          </w:p>
          <w:p w14:paraId="05ACD46A">
            <w:pPr>
              <w:keepNext w:val="0"/>
              <w:keepLines w:val="0"/>
              <w:pageBreakBefore w:val="0"/>
              <w:widowControl w:val="0"/>
              <w:kinsoku/>
              <w:wordWrap/>
              <w:overflowPunct/>
              <w:topLinePunct w:val="0"/>
              <w:autoSpaceDE/>
              <w:autoSpaceDN/>
              <w:bidi w:val="0"/>
              <w:adjustRightInd/>
              <w:snapToGrid/>
              <w:spacing w:line="461" w:lineRule="auto"/>
              <w:ind w:firstLine="480" w:firstLineChars="200"/>
              <w:textAlignment w:val="auto"/>
              <w:rPr>
                <w:rFonts w:hint="default" w:ascii="宋体"/>
                <w:sz w:val="24"/>
                <w:lang w:val="en-US"/>
              </w:rPr>
            </w:pPr>
            <w:r>
              <w:rPr>
                <w:rFonts w:hint="default" w:ascii="宋体"/>
                <w:sz w:val="24"/>
                <w:lang w:val="en-US"/>
              </w:rPr>
              <w:t>解决区域负气价、气价偏低问题，核心在于得州及二叠纪盆地区域打通外运通道，提升管网输送能力。现阶段，二叠纪盆地多家专业管道企业已启动多条天然气管线新建、扩容工程，属于区域行业统一的解决方案。待新建管线陆续投产运营后，区域天然气整体外运能力将得到大幅提升，过剩气量可向外区域分流，区域供需关系逐步回归合理，负气价、低价问题将得到明显缓解。公司将持续跟踪管网建设投产进度，同步优化天然气生产、销售方案，最大限度降低低价气对经营的影响。
</w:t>
            </w:r>
          </w:p>
          <w:p w14:paraId="49DBDDE7">
            <w:pPr>
              <w:keepNext w:val="0"/>
              <w:keepLines w:val="0"/>
              <w:pageBreakBefore w:val="0"/>
              <w:widowControl w:val="0"/>
              <w:kinsoku/>
              <w:wordWrap/>
              <w:overflowPunct/>
              <w:topLinePunct w:val="0"/>
              <w:autoSpaceDE/>
              <w:autoSpaceDN/>
              <w:bidi w:val="0"/>
              <w:adjustRightInd/>
              <w:snapToGrid/>
              <w:spacing w:line="461" w:lineRule="auto"/>
              <w:ind w:firstLine="480" w:firstLineChars="200"/>
              <w:textAlignment w:val="auto"/>
              <w:rPr>
                <w:rFonts w:hint="default" w:ascii="宋体"/>
                <w:sz w:val="24"/>
                <w:lang w:val="en-US"/>
              </w:rPr>
            </w:pPr>
            <w:r>
              <w:rPr>
                <w:rFonts w:hint="default" w:ascii="宋体"/>
                <w:sz w:val="24"/>
                <w:lang w:val="en-US"/>
              </w:rPr>
              <w:t>感谢各位投资者对公司的关注！</w:t>
            </w:r>
          </w:p>
          <w:p w14:paraId="20CF8A7A">
            <w:pPr>
              <w:spacing w:line="460" w:lineRule="auto"/>
              <w:rPr>
                <w:rFonts w:hint="default" w:ascii="宋体"/>
                <w:sz w:val="24"/>
                <w:lang w:val="en-US"/>
              </w:rPr>
            </w:pPr>
          </w:p>
          <w:p w14:paraId="2BA84007">
            <w:pPr>
              <w:rPr>
                <w:b/>
                <w:bCs/>
              </w:rPr>
            </w:pPr>
            <w:r>
              <w:rPr>
                <w:rFonts w:hint="eastAsia" w:ascii="宋体"/>
                <w:b/>
                <w:bCs/>
                <w:sz w:val="24"/>
                <w:lang w:val="en-US" w:eastAsia="zh-CN"/>
              </w:rPr>
              <w:t>9</w:t>
            </w:r>
            <w:r>
              <w:rPr>
                <w:rFonts w:hint="default" w:ascii="宋体"/>
                <w:b/>
                <w:bCs/>
                <w:sz w:val="24"/>
                <w:lang w:val="en-US"/>
              </w:rPr>
              <w:t>、子公司职工董事有没有什么人选？是国人还是海外华人还是外国人？
子公司美国管理团队怎么看待关林华的离职？是否召开了子公司职工大会？
何时更新子公司网页？</w:t>
            </w:r>
          </w:p>
          <w:p w14:paraId="7A89E959">
            <w:pPr>
              <w:spacing w:line="460" w:lineRule="auto"/>
              <w:rPr>
                <w:rFonts w:hint="default" w:ascii="宋体"/>
                <w:sz w:val="24"/>
                <w:lang w:val="en-US"/>
              </w:rPr>
            </w:pPr>
            <w:r>
              <w:rPr>
                <w:rFonts w:hint="default" w:ascii="宋体"/>
                <w:sz w:val="24"/>
                <w:lang w:val="en-US"/>
              </w:rPr>
              <w:t>答:尊敬的投资者，您好！
</w:t>
            </w:r>
          </w:p>
          <w:p w14:paraId="4DC504D7">
            <w:pPr>
              <w:keepNext w:val="0"/>
              <w:keepLines w:val="0"/>
              <w:pageBreakBefore w:val="0"/>
              <w:widowControl w:val="0"/>
              <w:kinsoku/>
              <w:wordWrap/>
              <w:overflowPunct/>
              <w:topLinePunct w:val="0"/>
              <w:autoSpaceDE/>
              <w:autoSpaceDN/>
              <w:bidi w:val="0"/>
              <w:adjustRightInd/>
              <w:snapToGrid/>
              <w:spacing w:line="461" w:lineRule="auto"/>
              <w:ind w:firstLine="480" w:firstLineChars="200"/>
              <w:textAlignment w:val="auto"/>
              <w:rPr>
                <w:rFonts w:hint="default" w:ascii="宋体"/>
                <w:sz w:val="24"/>
                <w:lang w:val="en-US"/>
              </w:rPr>
            </w:pPr>
            <w:r>
              <w:rPr>
                <w:rFonts w:hint="default" w:ascii="宋体"/>
                <w:sz w:val="24"/>
                <w:lang w:val="en-US"/>
              </w:rPr>
              <w:t>本次Linhua Guan职工董事职务终止，公司已经按照相关法律法规履行了职工大会民主审议程序。离任系公司基于经营层面正常商业和管理工作考量。如公告所示，Linhua Guan先生的离任不会对公司经营产生影响。公司将适时尽快完成职工董事补选，保障董事会合规运行。
</w:t>
            </w:r>
          </w:p>
          <w:p w14:paraId="2EFF1CBE">
            <w:pPr>
              <w:keepNext w:val="0"/>
              <w:keepLines w:val="0"/>
              <w:pageBreakBefore w:val="0"/>
              <w:widowControl w:val="0"/>
              <w:kinsoku/>
              <w:wordWrap/>
              <w:overflowPunct/>
              <w:topLinePunct w:val="0"/>
              <w:autoSpaceDE/>
              <w:autoSpaceDN/>
              <w:bidi w:val="0"/>
              <w:adjustRightInd/>
              <w:snapToGrid/>
              <w:spacing w:line="461" w:lineRule="auto"/>
              <w:ind w:firstLine="480" w:firstLineChars="200"/>
              <w:textAlignment w:val="auto"/>
              <w:rPr>
                <w:rFonts w:hint="default" w:ascii="宋体"/>
                <w:sz w:val="24"/>
                <w:lang w:val="en-US"/>
              </w:rPr>
            </w:pPr>
            <w:r>
              <w:rPr>
                <w:rFonts w:hint="default" w:ascii="宋体"/>
                <w:sz w:val="24"/>
                <w:lang w:val="en-US"/>
              </w:rPr>
              <w:t>感谢各位投资者对公司的关注！</w:t>
            </w:r>
          </w:p>
          <w:p w14:paraId="72E0FF04">
            <w:pPr>
              <w:pStyle w:val="6"/>
              <w:spacing w:line="460" w:lineRule="exact"/>
              <w:ind w:left="0" w:leftChars="0" w:firstLine="0" w:firstLineChars="0"/>
              <w:rPr>
                <w:rFonts w:hint="eastAsia" w:ascii="宋体" w:hAnsi="宋体" w:eastAsia="宋体" w:cs="Times New Roman"/>
                <w:kern w:val="2"/>
                <w:sz w:val="24"/>
                <w:szCs w:val="24"/>
                <w:lang w:val="en-US" w:eastAsia="zh-CN" w:bidi="ar-SA"/>
              </w:rPr>
            </w:pPr>
          </w:p>
        </w:tc>
      </w:tr>
      <w:tr w14:paraId="7AE54B2A">
        <w:trPr>
          <w:trHeight w:val="557" w:hRule="atLeast"/>
        </w:trPr>
        <w:tc>
          <w:tcPr>
            <w:tcW w:w="1526" w:type="dxa"/>
            <w:noWrap w:val="0"/>
            <w:vAlign w:val="center"/>
          </w:tcPr>
          <w:p w14:paraId="194DF940">
            <w:pPr>
              <w:jc w:val="center"/>
              <w:rPr>
                <w:rFonts w:hint="default"/>
                <w:sz w:val="24"/>
                <w:szCs w:val="24"/>
                <w:lang w:val="en-US"/>
              </w:rPr>
            </w:pPr>
            <w:r>
              <w:rPr>
                <w:rFonts w:hint="eastAsia"/>
                <w:sz w:val="24"/>
                <w:szCs w:val="24"/>
                <w:lang w:val="en-US" w:eastAsia="zh-CN"/>
              </w:rPr>
              <w:t>关于本次活动是否涉及应披露重大信息的说明</w:t>
            </w:r>
          </w:p>
        </w:tc>
        <w:tc>
          <w:tcPr>
            <w:tcW w:w="7191" w:type="dxa"/>
            <w:noWrap w:val="0"/>
            <w:vAlign w:val="top"/>
          </w:tcPr>
          <w:p w14:paraId="38FEA092">
            <w:pPr>
              <w:pStyle w:val="6"/>
              <w:spacing w:line="460" w:lineRule="exact"/>
              <w:ind w:left="0" w:leftChars="0" w:firstLine="0" w:firstLineChars="0"/>
              <w:jc w:val="center"/>
              <w:rPr>
                <w:rFonts w:hint="eastAsia" w:ascii="宋体" w:hAnsi="宋体"/>
                <w:sz w:val="24"/>
                <w:szCs w:val="24"/>
                <w:lang w:val="en-US" w:eastAsia="zh-CN"/>
              </w:rPr>
            </w:pPr>
          </w:p>
          <w:p w14:paraId="11DDB819">
            <w:pPr>
              <w:pStyle w:val="6"/>
              <w:spacing w:line="460" w:lineRule="exact"/>
              <w:ind w:left="0" w:leftChars="0" w:firstLine="0" w:firstLineChars="0"/>
              <w:jc w:val="center"/>
              <w:rPr>
                <w:rFonts w:hint="eastAsia" w:ascii="宋体" w:hAnsi="宋体"/>
                <w:sz w:val="24"/>
                <w:szCs w:val="24"/>
              </w:rPr>
            </w:pPr>
            <w:r>
              <w:rPr>
                <w:rFonts w:hint="eastAsia" w:ascii="宋体" w:hAnsi="宋体"/>
                <w:sz w:val="24"/>
                <w:szCs w:val="24"/>
                <w:lang w:val="en-US" w:eastAsia="zh-CN"/>
              </w:rPr>
              <w:t>本次活动不涉及未公开披露的重大信息。</w:t>
            </w:r>
          </w:p>
        </w:tc>
      </w:tr>
      <w:tr w14:paraId="779A5B77">
        <w:trPr>
          <w:trHeight w:val="557" w:hRule="atLeast"/>
        </w:trPr>
        <w:tc>
          <w:tcPr>
            <w:tcW w:w="1526" w:type="dxa"/>
            <w:noWrap w:val="0"/>
            <w:vAlign w:val="center"/>
          </w:tcPr>
          <w:p w14:paraId="16BB04F4">
            <w:pPr>
              <w:jc w:val="center"/>
              <w:rPr>
                <w:rFonts w:hint="eastAsia"/>
                <w:sz w:val="24"/>
                <w:szCs w:val="24"/>
              </w:rPr>
            </w:pPr>
            <w:r>
              <w:rPr>
                <w:rFonts w:hint="eastAsia"/>
                <w:sz w:val="24"/>
                <w:szCs w:val="24"/>
                <w:lang w:val="en-US" w:eastAsia="zh-CN"/>
              </w:rPr>
              <w:t>附件清单（如有）</w:t>
            </w:r>
          </w:p>
        </w:tc>
        <w:tc>
          <w:tcPr>
            <w:tcW w:w="7191" w:type="dxa"/>
            <w:noWrap w:val="0"/>
            <w:vAlign w:val="top"/>
          </w:tcPr>
          <w:p w14:paraId="234F6AE9">
            <w:pPr>
              <w:pStyle w:val="6"/>
              <w:spacing w:line="460" w:lineRule="exact"/>
              <w:ind w:left="0" w:leftChars="0" w:firstLine="0" w:firstLineChars="0"/>
              <w:jc w:val="center"/>
              <w:rPr>
                <w:rFonts w:hint="eastAsia" w:ascii="宋体" w:hAnsi="宋体" w:eastAsia="宋体"/>
                <w:sz w:val="24"/>
                <w:szCs w:val="24"/>
                <w:lang w:val="en-US" w:eastAsia="zh-CN"/>
              </w:rPr>
            </w:pPr>
            <w:r>
              <w:rPr>
                <w:rFonts w:hint="eastAsia" w:ascii="宋体" w:hAnsi="宋体"/>
                <w:sz w:val="24"/>
                <w:szCs w:val="24"/>
                <w:lang w:val="en-US" w:eastAsia="zh-CN"/>
              </w:rPr>
              <w:t>无</w:t>
            </w:r>
          </w:p>
        </w:tc>
      </w:tr>
      <w:tr w14:paraId="72497D08">
        <w:trPr>
          <w:trHeight w:val="557" w:hRule="atLeast"/>
        </w:trPr>
        <w:tc>
          <w:tcPr>
            <w:tcW w:w="1526" w:type="dxa"/>
            <w:noWrap w:val="0"/>
            <w:vAlign w:val="center"/>
          </w:tcPr>
          <w:p w14:paraId="3E5901F3">
            <w:pPr>
              <w:jc w:val="center"/>
              <w:rPr>
                <w:rFonts w:hint="eastAsia" w:eastAsia="宋体"/>
                <w:sz w:val="24"/>
                <w:szCs w:val="24"/>
                <w:lang w:val="en-US" w:eastAsia="zh-CN"/>
              </w:rPr>
            </w:pPr>
            <w:r>
              <w:rPr>
                <w:rFonts w:hint="eastAsia"/>
                <w:sz w:val="24"/>
                <w:szCs w:val="24"/>
                <w:lang w:val="en-US" w:eastAsia="zh-CN"/>
              </w:rPr>
              <w:t>日期</w:t>
            </w:r>
          </w:p>
        </w:tc>
        <w:tc>
          <w:tcPr>
            <w:tcW w:w="7191" w:type="dxa"/>
            <w:noWrap w:val="0"/>
            <w:vAlign w:val="top"/>
          </w:tcPr>
          <w:p w14:paraId="56A76918">
            <w:pPr>
              <w:pStyle w:val="6"/>
              <w:spacing w:line="460" w:lineRule="exact"/>
              <w:ind w:left="0" w:leftChars="0" w:firstLine="0" w:firstLineChars="0"/>
              <w:jc w:val="center"/>
              <w:rPr>
                <w:rFonts w:hint="default" w:ascii="宋体" w:hAnsi="宋体" w:eastAsia="宋体"/>
                <w:sz w:val="24"/>
                <w:szCs w:val="24"/>
                <w:lang w:val="en-US" w:eastAsia="zh-CN"/>
              </w:rPr>
            </w:pPr>
            <w:r>
              <w:rPr>
                <w:rFonts w:hint="eastAsia" w:ascii="宋体" w:hAnsi="宋体"/>
                <w:sz w:val="24"/>
                <w:szCs w:val="24"/>
                <w:lang w:val="en-US" w:eastAsia="zh-CN"/>
              </w:rPr>
              <w:t>2026年9月7日</w:t>
            </w:r>
          </w:p>
        </w:tc>
      </w:tr>
    </w:tbl>
    <w:p w14:paraId="2D767FED"/>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Arial Unicode MS">
    <w:panose1 w:val="020B0604020202020204"/>
    <w:charset w:val="86"/>
    <w:family w:val="auto"/>
    <w:pitch w:val="default"/>
    <w:sig w:usb0="FFFFFFFF" w:usb1="E9FFFFFF" w:usb2="0000003F" w:usb3="00000000" w:csb0="603F01FF" w:csb1="FFFF0000"/>
  </w:font>
  <w:font w:name="Kingsoft Sign">
    <w:panose1 w:val="05050102010706020507"/>
    <w:charset w:val="00"/>
    <w:family w:val="auto"/>
    <w:pitch w:val="default"/>
    <w:sig w:usb0="00000000" w:usb1="1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989ED">
    <w:pPr>
      <w:pStyle w:val="2"/>
      <w:tabs>
        <w:tab w:val="clear" w:pos="4153"/>
      </w:tabs>
      <w:jc w:val="right"/>
    </w:pPr>
    <w:r>
      <w:rPr>
        <w:rFonts w:hint="eastAsia"/>
      </w:rPr>
      <w:t>山东新潮能源股份有限公司投资者关系活动记录表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8DF59194"/>
    <w:rsid w:val="2BB7DED0"/>
    <w:rsid w:val="5F7BCB41"/>
    <w:rsid w:val="6FF2BE95"/>
    <w:rsid w:val="7F4F3225"/>
    <w:rsid w:val="8DF59194"/>
    <w:rsid w:val="F7FB479E"/>
    <w:rsid w:val="FDE608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table" w:styleId="4">
    <w:name w:val="Table Grid"/>
    <w:basedOn w:val="3"/>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6">
    <w:name w:val="_Style 6"/>
    <w:basedOn w:val="1"/>
    <w:qFormat/>
    <w:uiPriority w:val="34"/>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12</TotalTime>
  <ScaleCrop>false</ScaleCrop>
  <LinksUpToDate>false</LinksUpToDate>
  <CharactersWithSpaces>0</CharactersWithSpaces>
  <Application>WPS Office_12.1.28492.28492_F1E327BC-269C-435d-A152-05C5408002CA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2026-05-26T16:56:00Z</dcterms:created>
  <dc:creator>Marlon</dc:creator>
  <cp:lastModifiedBy>Marlon</cp:lastModifiedBy>
  <dcterms:modified xsi:type="dcterms:W3CDTF">2026-09-07T16:34:24Z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2052-12.1.28492.28492</vt:lpwstr>
  </property>
  <property fmtid="{D5CDD505-2E9C-101B-9397-08002B2CF9AE}" pid="3" name="ICV">
    <vt:lpwstr>80CDEFE868627889DB0E146A617E6C66_41</vt:lpwstr>
  </property>
</Properties>
</file>