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F33B7">
      <w:pPr>
        <w:spacing w:before="156" w:beforeLines="50" w:after="156" w:afterLines="50" w:line="400" w:lineRule="exact"/>
        <w:rPr>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600579                             </w:t>
      </w:r>
      <w:r>
        <w:rPr>
          <w:rFonts w:hAnsi="宋体"/>
          <w:bCs/>
          <w:iCs/>
          <w:color w:val="000000"/>
          <w:sz w:val="24"/>
        </w:rPr>
        <w:t>证券简称：</w:t>
      </w:r>
      <w:r>
        <w:rPr>
          <w:color w:val="000000"/>
          <w:sz w:val="24"/>
        </w:rPr>
        <w:t>中化装备</w:t>
      </w:r>
    </w:p>
    <w:p w14:paraId="768FA36E">
      <w:pPr>
        <w:spacing w:before="156" w:beforeLines="50" w:after="156" w:afterLines="50" w:line="400" w:lineRule="exact"/>
        <w:jc w:val="center"/>
        <w:rPr>
          <w:rFonts w:ascii="宋体" w:hAnsi="宋体"/>
          <w:b/>
          <w:bCs/>
          <w:iCs/>
          <w:color w:val="000000"/>
          <w:sz w:val="32"/>
          <w:szCs w:val="32"/>
        </w:rPr>
      </w:pPr>
      <w:r>
        <w:rPr>
          <w:rFonts w:ascii="宋体" w:hAnsi="宋体"/>
          <w:b/>
          <w:bCs/>
          <w:iCs/>
          <w:color w:val="000000"/>
          <w:sz w:val="32"/>
          <w:szCs w:val="32"/>
        </w:rPr>
        <w:t>中化装备科技(青岛)股份有限公司</w:t>
      </w:r>
      <w:r>
        <w:rPr>
          <w:rFonts w:hint="eastAsia" w:ascii="宋体" w:hAnsi="宋体"/>
          <w:b/>
          <w:bCs/>
          <w:iCs/>
          <w:color w:val="000000"/>
          <w:sz w:val="32"/>
          <w:szCs w:val="32"/>
        </w:rPr>
        <w:t>投资者关系活动记录表</w:t>
      </w:r>
    </w:p>
    <w:p w14:paraId="7F7DBCC0">
      <w:pPr>
        <w:spacing w:line="400" w:lineRule="exact"/>
        <w:rPr>
          <w:bCs/>
          <w:iCs/>
          <w:color w:val="000000"/>
          <w:sz w:val="24"/>
        </w:rPr>
      </w:pPr>
      <w:r>
        <w:rPr>
          <w:rFonts w:hint="eastAsia" w:ascii="宋体" w:hAnsi="宋体"/>
          <w:bCs/>
          <w:iCs/>
          <w:color w:val="000000"/>
          <w:sz w:val="24"/>
        </w:rPr>
        <w:t xml:space="preserve">                                                     </w:t>
      </w:r>
    </w:p>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14:paraId="0370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15BF1EFE">
            <w:pPr>
              <w:spacing w:line="420" w:lineRule="exact"/>
              <w:rPr>
                <w:bCs/>
                <w:iCs/>
                <w:color w:val="000000"/>
                <w:kern w:val="0"/>
                <w:sz w:val="24"/>
              </w:rPr>
            </w:pPr>
            <w:r>
              <w:rPr>
                <w:rFonts w:hAnsi="宋体"/>
                <w:bCs/>
                <w:iCs/>
                <w:color w:val="000000"/>
                <w:kern w:val="0"/>
                <w:sz w:val="24"/>
              </w:rPr>
              <w:t>投资者关系活动类别</w:t>
            </w:r>
          </w:p>
          <w:p w14:paraId="6014B8E2">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tcPr>
          <w:p w14:paraId="1605A24D">
            <w:pPr>
              <w:spacing w:line="420" w:lineRule="exact"/>
              <w:rPr>
                <w:bCs/>
                <w:iCs/>
                <w:color w:val="000000"/>
                <w:sz w:val="24"/>
              </w:rPr>
            </w:pPr>
            <w:r>
              <w:rPr>
                <w:rFonts w:hint="eastAsia"/>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71302289">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 xml:space="preserve"> □</w:t>
            </w:r>
            <w:r>
              <w:rPr>
                <w:rFonts w:hint="eastAsia"/>
                <w:bCs/>
                <w:iCs/>
                <w:color w:val="000000"/>
                <w:kern w:val="0"/>
                <w:sz w:val="24"/>
              </w:rPr>
              <w:t xml:space="preserve"> </w:t>
            </w:r>
            <w:r>
              <w:rPr>
                <w:rFonts w:hAnsi="宋体"/>
                <w:kern w:val="0"/>
                <w:sz w:val="24"/>
              </w:rPr>
              <w:t>业绩说明会</w:t>
            </w:r>
          </w:p>
          <w:p w14:paraId="5EA9D54F">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34691523">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3E5CA699">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14:paraId="147B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7CFB6D06">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color="auto" w:sz="4" w:space="0"/>
              <w:left w:val="single" w:color="auto" w:sz="4" w:space="0"/>
              <w:bottom w:val="single" w:color="auto" w:sz="4" w:space="0"/>
              <w:right w:val="single" w:color="auto" w:sz="4" w:space="0"/>
            </w:tcBorders>
          </w:tcPr>
          <w:p w14:paraId="19D3B515">
            <w:pPr>
              <w:spacing w:line="420" w:lineRule="exact"/>
              <w:rPr>
                <w:bCs/>
                <w:iCs/>
                <w:color w:val="000000"/>
                <w:sz w:val="24"/>
                <w:lang w:val="en-GB"/>
              </w:rPr>
            </w:pPr>
            <w:r>
              <w:rPr>
                <w:rFonts w:hint="eastAsia"/>
                <w:bCs/>
                <w:iCs/>
                <w:color w:val="000000"/>
                <w:sz w:val="24"/>
                <w:lang w:val="en-GB"/>
              </w:rPr>
              <w:t>诚通证券 刘云菲</w:t>
            </w:r>
          </w:p>
          <w:p w14:paraId="4024F68F">
            <w:pPr>
              <w:spacing w:line="420" w:lineRule="exact"/>
              <w:rPr>
                <w:bCs/>
                <w:iCs/>
                <w:color w:val="000000"/>
                <w:sz w:val="24"/>
                <w:lang w:val="en-GB"/>
              </w:rPr>
            </w:pPr>
            <w:r>
              <w:rPr>
                <w:rFonts w:hint="eastAsia"/>
                <w:bCs/>
                <w:iCs/>
                <w:color w:val="000000"/>
                <w:sz w:val="24"/>
                <w:lang w:val="en-GB"/>
              </w:rPr>
              <w:t xml:space="preserve">远东宏信 安 </w:t>
            </w:r>
            <w:r>
              <w:rPr>
                <w:bCs/>
                <w:iCs/>
                <w:color w:val="000000"/>
                <w:sz w:val="24"/>
                <w:lang w:val="en-GB"/>
              </w:rPr>
              <w:t xml:space="preserve"> </w:t>
            </w:r>
            <w:r>
              <w:rPr>
                <w:rFonts w:hint="eastAsia"/>
                <w:bCs/>
                <w:iCs/>
                <w:color w:val="000000"/>
                <w:sz w:val="24"/>
                <w:lang w:val="en-GB"/>
              </w:rPr>
              <w:t>阳</w:t>
            </w:r>
          </w:p>
          <w:p w14:paraId="4C965A20">
            <w:pPr>
              <w:spacing w:line="420" w:lineRule="exact"/>
              <w:rPr>
                <w:bCs/>
                <w:iCs/>
                <w:color w:val="000000"/>
                <w:sz w:val="24"/>
                <w:lang w:val="en-GB"/>
              </w:rPr>
            </w:pPr>
            <w:r>
              <w:rPr>
                <w:rFonts w:hint="eastAsia"/>
                <w:bCs/>
                <w:iCs/>
                <w:color w:val="000000"/>
                <w:sz w:val="24"/>
                <w:lang w:val="en-GB"/>
              </w:rPr>
              <w:t>国信证券 李香雨</w:t>
            </w:r>
          </w:p>
          <w:p w14:paraId="7453F3D6">
            <w:pPr>
              <w:spacing w:line="420" w:lineRule="exact"/>
              <w:rPr>
                <w:bCs/>
                <w:iCs/>
                <w:color w:val="000000"/>
                <w:sz w:val="24"/>
                <w:lang w:val="en-GB"/>
              </w:rPr>
            </w:pPr>
            <w:r>
              <w:rPr>
                <w:rFonts w:hint="eastAsia"/>
                <w:bCs/>
                <w:iCs/>
                <w:color w:val="000000"/>
                <w:sz w:val="24"/>
                <w:lang w:val="en-GB"/>
              </w:rPr>
              <w:t>北京一苇企航科技 周国强</w:t>
            </w:r>
          </w:p>
          <w:p w14:paraId="5A807E48">
            <w:pPr>
              <w:spacing w:line="420" w:lineRule="exact"/>
              <w:rPr>
                <w:bCs/>
                <w:iCs/>
                <w:color w:val="000000"/>
                <w:sz w:val="24"/>
                <w:lang w:val="en-GB"/>
              </w:rPr>
            </w:pPr>
            <w:r>
              <w:rPr>
                <w:rFonts w:hint="eastAsia"/>
                <w:bCs/>
                <w:iCs/>
                <w:color w:val="000000"/>
                <w:sz w:val="24"/>
                <w:lang w:val="en-GB"/>
              </w:rPr>
              <w:t xml:space="preserve">上海证券 刘 </w:t>
            </w:r>
            <w:r>
              <w:rPr>
                <w:bCs/>
                <w:iCs/>
                <w:color w:val="000000"/>
                <w:sz w:val="24"/>
                <w:lang w:val="en-GB"/>
              </w:rPr>
              <w:t xml:space="preserve"> </w:t>
            </w:r>
            <w:r>
              <w:rPr>
                <w:rFonts w:hint="eastAsia"/>
                <w:bCs/>
                <w:iCs/>
                <w:color w:val="000000"/>
                <w:sz w:val="24"/>
                <w:lang w:val="en-GB"/>
              </w:rPr>
              <w:t>薇</w:t>
            </w:r>
          </w:p>
          <w:p w14:paraId="33151BE5">
            <w:pPr>
              <w:spacing w:line="420" w:lineRule="exact"/>
              <w:rPr>
                <w:bCs/>
                <w:iCs/>
                <w:color w:val="000000"/>
                <w:sz w:val="24"/>
                <w:lang w:val="en-GB"/>
              </w:rPr>
            </w:pPr>
            <w:r>
              <w:rPr>
                <w:rFonts w:hint="eastAsia"/>
                <w:bCs/>
                <w:iCs/>
                <w:color w:val="000000"/>
                <w:sz w:val="24"/>
                <w:lang w:val="en-GB"/>
              </w:rPr>
              <w:t>九一私募 敖焱杰</w:t>
            </w:r>
          </w:p>
          <w:p w14:paraId="66CE1E33">
            <w:pPr>
              <w:spacing w:line="420" w:lineRule="exact"/>
              <w:rPr>
                <w:bCs/>
                <w:iCs/>
                <w:color w:val="000000"/>
                <w:sz w:val="24"/>
                <w:lang w:val="en-GB"/>
              </w:rPr>
            </w:pPr>
            <w:r>
              <w:rPr>
                <w:rFonts w:hint="eastAsia"/>
                <w:bCs/>
                <w:iCs/>
                <w:color w:val="000000"/>
                <w:sz w:val="24"/>
                <w:lang w:val="en-GB"/>
              </w:rPr>
              <w:t>盛世国际资本 刘佳峰</w:t>
            </w:r>
          </w:p>
          <w:p w14:paraId="54928813">
            <w:pPr>
              <w:spacing w:line="420" w:lineRule="exact"/>
              <w:rPr>
                <w:bCs/>
                <w:iCs/>
                <w:color w:val="000000"/>
                <w:sz w:val="24"/>
                <w:lang w:val="en-GB"/>
              </w:rPr>
            </w:pPr>
            <w:r>
              <w:rPr>
                <w:rFonts w:hint="eastAsia"/>
                <w:bCs/>
                <w:iCs/>
                <w:color w:val="000000"/>
                <w:sz w:val="24"/>
                <w:lang w:val="en-GB"/>
              </w:rPr>
              <w:t>北京紫微星石私募 韩东民</w:t>
            </w:r>
          </w:p>
        </w:tc>
      </w:tr>
      <w:tr w14:paraId="6E9C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50EEC602">
            <w:pPr>
              <w:spacing w:line="420" w:lineRule="exact"/>
              <w:rPr>
                <w:bCs/>
                <w:iCs/>
                <w:color w:val="000000"/>
                <w:kern w:val="0"/>
                <w:sz w:val="24"/>
              </w:rPr>
            </w:pPr>
            <w:r>
              <w:rPr>
                <w:rFonts w:hAnsi="宋体"/>
                <w:bCs/>
                <w:iCs/>
                <w:color w:val="000000"/>
                <w:kern w:val="0"/>
                <w:sz w:val="24"/>
              </w:rPr>
              <w:t>时间</w:t>
            </w:r>
          </w:p>
        </w:tc>
        <w:tc>
          <w:tcPr>
            <w:tcW w:w="6847" w:type="dxa"/>
            <w:tcBorders>
              <w:top w:val="single" w:color="auto" w:sz="4" w:space="0"/>
              <w:left w:val="single" w:color="auto" w:sz="4" w:space="0"/>
              <w:bottom w:val="single" w:color="auto" w:sz="4" w:space="0"/>
              <w:right w:val="single" w:color="auto" w:sz="4" w:space="0"/>
            </w:tcBorders>
          </w:tcPr>
          <w:p w14:paraId="732F09EC">
            <w:pPr>
              <w:spacing w:line="420" w:lineRule="exact"/>
              <w:rPr>
                <w:bCs/>
                <w:iCs/>
                <w:color w:val="000000"/>
                <w:sz w:val="24"/>
              </w:rPr>
            </w:pPr>
            <w:r>
              <w:rPr>
                <w:bCs/>
                <w:iCs/>
                <w:color w:val="000000"/>
                <w:sz w:val="24"/>
              </w:rPr>
              <w:t>2026年</w:t>
            </w:r>
            <w:r>
              <w:rPr>
                <w:rFonts w:hint="eastAsia"/>
                <w:bCs/>
                <w:iCs/>
                <w:color w:val="000000"/>
                <w:sz w:val="24"/>
              </w:rPr>
              <w:t>8</w:t>
            </w:r>
            <w:r>
              <w:rPr>
                <w:bCs/>
                <w:iCs/>
                <w:color w:val="000000"/>
                <w:sz w:val="24"/>
              </w:rPr>
              <w:t>月2</w:t>
            </w:r>
            <w:r>
              <w:rPr>
                <w:rFonts w:hint="eastAsia"/>
                <w:bCs/>
                <w:iCs/>
                <w:color w:val="000000"/>
                <w:sz w:val="24"/>
              </w:rPr>
              <w:t>0</w:t>
            </w:r>
            <w:r>
              <w:rPr>
                <w:bCs/>
                <w:iCs/>
                <w:color w:val="000000"/>
                <w:sz w:val="24"/>
              </w:rPr>
              <w:t>日 1</w:t>
            </w:r>
            <w:r>
              <w:rPr>
                <w:rFonts w:hint="eastAsia"/>
                <w:bCs/>
                <w:iCs/>
                <w:color w:val="000000"/>
                <w:sz w:val="24"/>
              </w:rPr>
              <w:t>1</w:t>
            </w:r>
            <w:r>
              <w:rPr>
                <w:bCs/>
                <w:iCs/>
                <w:color w:val="000000"/>
                <w:sz w:val="24"/>
              </w:rPr>
              <w:t>:00~1</w:t>
            </w:r>
            <w:r>
              <w:rPr>
                <w:rFonts w:hint="eastAsia"/>
                <w:bCs/>
                <w:iCs/>
                <w:color w:val="000000"/>
                <w:sz w:val="24"/>
              </w:rPr>
              <w:t>2</w:t>
            </w:r>
            <w:r>
              <w:rPr>
                <w:bCs/>
                <w:iCs/>
                <w:color w:val="000000"/>
                <w:sz w:val="24"/>
              </w:rPr>
              <w:t>:00</w:t>
            </w:r>
          </w:p>
        </w:tc>
      </w:tr>
      <w:tr w14:paraId="6075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0A1B0340">
            <w:pPr>
              <w:spacing w:line="420" w:lineRule="exact"/>
              <w:rPr>
                <w:bCs/>
                <w:iCs/>
                <w:color w:val="000000"/>
                <w:kern w:val="0"/>
                <w:sz w:val="24"/>
              </w:rPr>
            </w:pPr>
            <w:r>
              <w:rPr>
                <w:rFonts w:hAnsi="宋体"/>
                <w:bCs/>
                <w:iCs/>
                <w:color w:val="000000"/>
                <w:kern w:val="0"/>
                <w:sz w:val="24"/>
              </w:rPr>
              <w:t>地点</w:t>
            </w:r>
          </w:p>
        </w:tc>
        <w:tc>
          <w:tcPr>
            <w:tcW w:w="6847" w:type="dxa"/>
            <w:tcBorders>
              <w:top w:val="single" w:color="auto" w:sz="4" w:space="0"/>
              <w:left w:val="single" w:color="auto" w:sz="4" w:space="0"/>
              <w:bottom w:val="single" w:color="auto" w:sz="4" w:space="0"/>
              <w:right w:val="single" w:color="auto" w:sz="4" w:space="0"/>
            </w:tcBorders>
          </w:tcPr>
          <w:p w14:paraId="49586DB7">
            <w:pPr>
              <w:spacing w:line="420" w:lineRule="exact"/>
              <w:rPr>
                <w:bCs/>
                <w:iCs/>
                <w:color w:val="000000"/>
                <w:sz w:val="24"/>
              </w:rPr>
            </w:pPr>
            <w:r>
              <w:rPr>
                <w:rFonts w:hint="eastAsia"/>
                <w:bCs/>
                <w:iCs/>
                <w:color w:val="000000"/>
                <w:sz w:val="24"/>
              </w:rPr>
              <w:t>公司</w:t>
            </w:r>
            <w:r>
              <w:rPr>
                <w:bCs/>
                <w:iCs/>
                <w:color w:val="000000"/>
                <w:sz w:val="24"/>
              </w:rPr>
              <w:t>603</w:t>
            </w:r>
            <w:r>
              <w:rPr>
                <w:rFonts w:hint="eastAsia"/>
                <w:bCs/>
                <w:iCs/>
                <w:color w:val="000000"/>
                <w:sz w:val="24"/>
              </w:rPr>
              <w:t>会议室</w:t>
            </w:r>
          </w:p>
        </w:tc>
      </w:tr>
      <w:tr w14:paraId="3524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tcPr>
          <w:p w14:paraId="2427C86C">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color="auto" w:sz="4" w:space="0"/>
              <w:left w:val="single" w:color="auto" w:sz="4" w:space="0"/>
              <w:bottom w:val="single" w:color="auto" w:sz="4" w:space="0"/>
              <w:right w:val="single" w:color="auto" w:sz="4" w:space="0"/>
            </w:tcBorders>
            <w:vAlign w:val="center"/>
          </w:tcPr>
          <w:p w14:paraId="7B95C03E">
            <w:pPr>
              <w:spacing w:line="420" w:lineRule="exact"/>
              <w:rPr>
                <w:rFonts w:ascii="宋体" w:hAnsi="宋体"/>
                <w:bCs/>
                <w:sz w:val="24"/>
              </w:rPr>
            </w:pPr>
            <w:r>
              <w:rPr>
                <w:rFonts w:hint="eastAsia" w:ascii="宋体" w:hAnsi="宋体"/>
                <w:bCs/>
                <w:sz w:val="24"/>
              </w:rPr>
              <w:t>副总经理、董事会秘书 张晓峰</w:t>
            </w:r>
          </w:p>
          <w:p w14:paraId="62E16A4E">
            <w:pPr>
              <w:spacing w:line="420" w:lineRule="exact"/>
              <w:rPr>
                <w:rFonts w:ascii="宋体" w:hAnsi="宋体"/>
                <w:bCs/>
                <w:sz w:val="24"/>
              </w:rPr>
            </w:pPr>
            <w:r>
              <w:rPr>
                <w:rFonts w:hint="eastAsia" w:ascii="宋体" w:hAnsi="宋体"/>
                <w:bCs/>
                <w:sz w:val="24"/>
              </w:rPr>
              <w:t>董事会办公室副主任 卢行健</w:t>
            </w:r>
          </w:p>
          <w:p w14:paraId="0F75CC20">
            <w:pPr>
              <w:spacing w:line="420" w:lineRule="exact"/>
              <w:rPr>
                <w:rFonts w:ascii="宋体" w:hAnsi="宋体"/>
                <w:bCs/>
                <w:sz w:val="24"/>
              </w:rPr>
            </w:pPr>
            <w:r>
              <w:rPr>
                <w:rFonts w:hint="eastAsia" w:ascii="宋体" w:hAnsi="宋体"/>
                <w:bCs/>
                <w:sz w:val="24"/>
              </w:rPr>
              <w:t xml:space="preserve">董事会事务主管 薛 </w:t>
            </w:r>
            <w:r>
              <w:rPr>
                <w:rFonts w:ascii="宋体" w:hAnsi="宋体"/>
                <w:bCs/>
                <w:sz w:val="24"/>
              </w:rPr>
              <w:t xml:space="preserve"> </w:t>
            </w:r>
            <w:r>
              <w:rPr>
                <w:rFonts w:hint="eastAsia" w:ascii="宋体" w:hAnsi="宋体"/>
                <w:bCs/>
                <w:sz w:val="24"/>
              </w:rPr>
              <w:t>娇</w:t>
            </w:r>
          </w:p>
        </w:tc>
      </w:tr>
      <w:tr w14:paraId="1491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5ACECA0D">
            <w:pPr>
              <w:spacing w:line="420" w:lineRule="exact"/>
              <w:rPr>
                <w:bCs/>
                <w:iCs/>
                <w:color w:val="000000"/>
                <w:kern w:val="0"/>
                <w:sz w:val="24"/>
              </w:rPr>
            </w:pPr>
            <w:r>
              <w:rPr>
                <w:rFonts w:hAnsi="宋体"/>
                <w:bCs/>
                <w:iCs/>
                <w:color w:val="000000"/>
                <w:kern w:val="0"/>
                <w:sz w:val="24"/>
              </w:rPr>
              <w:t>投资者关系活动主要内容介绍</w:t>
            </w:r>
          </w:p>
          <w:p w14:paraId="4A2A4890">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tcPr>
          <w:p w14:paraId="05711882">
            <w:pPr>
              <w:pStyle w:val="7"/>
              <w:spacing w:line="460" w:lineRule="exact"/>
              <w:ind w:left="413" w:firstLine="0" w:firstLineChars="0"/>
              <w:rPr>
                <w:rFonts w:ascii="宋体" w:hAnsi="宋体"/>
                <w:b/>
                <w:sz w:val="24"/>
                <w:szCs w:val="24"/>
              </w:rPr>
            </w:pPr>
            <w:r>
              <w:rPr>
                <w:rFonts w:hint="eastAsia" w:ascii="宋体" w:hAnsi="宋体"/>
                <w:b/>
                <w:sz w:val="24"/>
                <w:szCs w:val="24"/>
              </w:rPr>
              <w:t>1、剥离海外业务后，天华院、橡机板块订单现状，减亏及盈利改善方向？</w:t>
            </w:r>
          </w:p>
          <w:p w14:paraId="3ADB6ABB">
            <w:pPr>
              <w:pStyle w:val="7"/>
              <w:spacing w:line="460" w:lineRule="exact"/>
              <w:ind w:left="-2" w:leftChars="-1" w:firstLine="480"/>
              <w:rPr>
                <w:rFonts w:ascii="宋体" w:hAnsi="宋体"/>
                <w:sz w:val="24"/>
                <w:szCs w:val="24"/>
              </w:rPr>
            </w:pPr>
            <w:r>
              <w:rPr>
                <w:rFonts w:hint="eastAsia" w:ascii="宋体" w:hAnsi="宋体"/>
                <w:sz w:val="24"/>
                <w:szCs w:val="24"/>
              </w:rPr>
              <w:t>剥离海外业务后，天华院新签订单较上年同期、在手订单较年末均大幅增长，中化橡机正处于吸收合并过程中，上半年已停止新签订单，</w:t>
            </w:r>
            <w:r>
              <w:rPr>
                <w:rFonts w:hint="eastAsia" w:ascii="宋体" w:hAnsi="宋体"/>
                <w:sz w:val="24"/>
                <w:szCs w:val="24"/>
                <w:lang w:val="en-US" w:eastAsia="zh-CN"/>
              </w:rPr>
              <w:t>目前</w:t>
            </w:r>
            <w:r>
              <w:rPr>
                <w:rFonts w:hint="eastAsia" w:ascii="宋体" w:hAnsi="宋体"/>
                <w:sz w:val="24"/>
                <w:szCs w:val="24"/>
              </w:rPr>
              <w:t>在手订单系因部分设备尚未完成交付。同时，受宏观行业周期影响，石油化工行业整体资本开支与投资节奏放缓，造成天华院部分下游客户新建项目投产进度不及预期，相应延后设备提货与现场验收，造成在手订单交付节奏、收入确认时点随之滞后。</w:t>
            </w:r>
          </w:p>
          <w:p w14:paraId="0A03D38A">
            <w:pPr>
              <w:pStyle w:val="7"/>
              <w:spacing w:line="460" w:lineRule="exact"/>
              <w:ind w:left="413" w:firstLine="0" w:firstLineChars="0"/>
              <w:rPr>
                <w:rFonts w:ascii="宋体" w:hAnsi="宋体"/>
                <w:b/>
                <w:sz w:val="24"/>
                <w:szCs w:val="24"/>
              </w:rPr>
            </w:pPr>
            <w:r>
              <w:rPr>
                <w:rFonts w:hint="eastAsia" w:ascii="宋体" w:hAnsi="宋体"/>
                <w:b/>
                <w:sz w:val="24"/>
                <w:szCs w:val="24"/>
              </w:rPr>
              <w:t>2、收购益阳橡机、北化机推进进度，整合协同预期如何？</w:t>
            </w:r>
          </w:p>
          <w:p w14:paraId="0F3D180D">
            <w:pPr>
              <w:pStyle w:val="7"/>
              <w:spacing w:line="460" w:lineRule="exact"/>
              <w:ind w:left="-2" w:leftChars="-1" w:firstLine="480"/>
              <w:rPr>
                <w:rFonts w:ascii="宋体" w:hAnsi="宋体"/>
                <w:sz w:val="24"/>
                <w:szCs w:val="24"/>
              </w:rPr>
            </w:pPr>
            <w:r>
              <w:rPr>
                <w:rFonts w:hint="eastAsia" w:ascii="宋体" w:hAnsi="宋体"/>
                <w:sz w:val="24"/>
                <w:szCs w:val="24"/>
              </w:rPr>
              <w:t>公司已于8月17日收到证监会批复，同意公司向装备公司、蓝星节能发行股份购买资产并募集配套资金。本次交易完成后，益阳橡机、北化机将成为上市公司全资子公司，公司的资产规模和业务规模都将提升，进一步提升公司在化工装备及橡胶机械领域的研发、生产及销售能力，提升产业链影响力。上市公司与益阳橡机、北化机需在战略发展、组织模式、财务管理与内部控制、人力资源管理、产品研发管理、业务合作方面进行整合，从而提高上市公司的资产质量、盈利水平和持续发展能力，实现协同发展。</w:t>
            </w:r>
          </w:p>
          <w:p w14:paraId="33C73982">
            <w:pPr>
              <w:pStyle w:val="7"/>
              <w:spacing w:line="460" w:lineRule="exact"/>
              <w:ind w:left="-2" w:leftChars="-1" w:firstLine="480"/>
              <w:rPr>
                <w:rFonts w:ascii="宋体" w:hAnsi="宋体"/>
                <w:sz w:val="24"/>
                <w:szCs w:val="24"/>
              </w:rPr>
            </w:pPr>
            <w:r>
              <w:rPr>
                <w:rFonts w:hint="eastAsia" w:ascii="宋体" w:hAnsi="宋体"/>
                <w:sz w:val="24"/>
                <w:szCs w:val="24"/>
              </w:rPr>
              <w:t>本次交易将进一步整合中国中化内高端装备制造领域的优质资产，进一步提升内部协同，有效发挥研发、客商、资源间的协同效应，借助上市公司平台进一步提高装备板块高端化、智能化、绿色化制造能力，提升中化装备争做细分领域产业链“链主”的市场化地位，积极培育高端装备新质生产力，成为建设装备制造强国的支撑力量。</w:t>
            </w:r>
          </w:p>
          <w:p w14:paraId="2B18CB8A">
            <w:pPr>
              <w:pStyle w:val="7"/>
              <w:spacing w:line="460" w:lineRule="exact"/>
              <w:ind w:left="413" w:firstLine="0" w:firstLineChars="0"/>
              <w:rPr>
                <w:rFonts w:ascii="宋体" w:hAnsi="宋体"/>
                <w:b/>
                <w:sz w:val="24"/>
                <w:szCs w:val="24"/>
              </w:rPr>
            </w:pPr>
            <w:r>
              <w:rPr>
                <w:rFonts w:ascii="宋体" w:hAnsi="宋体"/>
                <w:b/>
                <w:sz w:val="24"/>
                <w:szCs w:val="24"/>
              </w:rPr>
              <w:t>3、</w:t>
            </w:r>
            <w:r>
              <w:rPr>
                <w:rFonts w:hint="eastAsia" w:ascii="宋体" w:hAnsi="宋体"/>
                <w:b/>
                <w:sz w:val="24"/>
                <w:szCs w:val="24"/>
              </w:rPr>
              <w:t>新能源、新材料相关装备研发落地与订单转化情况？</w:t>
            </w:r>
          </w:p>
          <w:p w14:paraId="211DD048">
            <w:pPr>
              <w:pStyle w:val="7"/>
              <w:spacing w:line="460" w:lineRule="exact"/>
              <w:ind w:left="-2" w:leftChars="-1" w:firstLine="480"/>
              <w:rPr>
                <w:rFonts w:hint="eastAsia" w:ascii="宋体" w:hAnsi="宋体"/>
                <w:sz w:val="24"/>
                <w:szCs w:val="24"/>
              </w:rPr>
            </w:pPr>
            <w:r>
              <w:rPr>
                <w:rFonts w:hint="eastAsia" w:ascii="宋体" w:hAnsi="宋体"/>
                <w:sz w:val="24"/>
                <w:szCs w:val="24"/>
              </w:rPr>
              <w:t>近一年，公司积极布局新能源、新材料装备赛道，主体研发及订单转化情况如下：</w:t>
            </w:r>
            <w:r>
              <w:rPr>
                <w:rFonts w:hint="default" w:ascii="宋体" w:hAnsi="宋体"/>
                <w:sz w:val="24"/>
                <w:szCs w:val="24"/>
                <w:lang w:val="en-US"/>
              </w:rPr>
              <w:t>上市公司现有主体天华院，</w:t>
            </w:r>
            <w:r>
              <w:rPr>
                <w:rFonts w:hint="eastAsia" w:ascii="宋体" w:hAnsi="宋体"/>
                <w:sz w:val="24"/>
                <w:szCs w:val="24"/>
              </w:rPr>
              <w:t>依托国家级研发平台，重点推进氨储氢、电池材料制备、高端聚烯烃相关装备研发。氨储氢示范项目已开车，电池材料制备、聚烯烃装备实现项目落地与批量订单签约。从新签订单结构上看，新能源、新材料领域相关订单增速显著高于传统石化装备业务增速，与传统主业形成协同发展格局，已成为</w:t>
            </w:r>
            <w:r>
              <w:rPr>
                <w:rFonts w:hint="eastAsia" w:ascii="宋体" w:hAnsi="宋体"/>
                <w:sz w:val="24"/>
                <w:szCs w:val="24"/>
                <w:lang w:val="en-US" w:eastAsia="zh-CN"/>
              </w:rPr>
              <w:t>公司</w:t>
            </w:r>
            <w:r>
              <w:rPr>
                <w:rFonts w:hint="eastAsia" w:ascii="宋体" w:hAnsi="宋体"/>
                <w:sz w:val="24"/>
                <w:szCs w:val="24"/>
              </w:rPr>
              <w:t>订单增量的核心支撑。当前新能源、新材料行业处于快速发展窗口期，行业</w:t>
            </w:r>
            <w:bookmarkStart w:id="0" w:name="_GoBack"/>
            <w:bookmarkEnd w:id="0"/>
            <w:r>
              <w:rPr>
                <w:rFonts w:hint="eastAsia" w:ascii="宋体" w:hAnsi="宋体"/>
                <w:sz w:val="24"/>
                <w:szCs w:val="24"/>
              </w:rPr>
              <w:t>景气度较高，但受下游投资节奏、行业竞争等多重因素影响，未来订单的持续性</w:t>
            </w:r>
            <w:r>
              <w:rPr>
                <w:rFonts w:hint="eastAsia" w:ascii="宋体" w:hAnsi="宋体"/>
                <w:sz w:val="24"/>
                <w:szCs w:val="24"/>
                <w:lang w:val="en-US" w:eastAsia="zh-CN"/>
              </w:rPr>
              <w:t>尚待观察</w:t>
            </w:r>
            <w:r>
              <w:rPr>
                <w:rFonts w:hint="eastAsia" w:ascii="宋体" w:hAnsi="宋体"/>
                <w:sz w:val="24"/>
                <w:szCs w:val="24"/>
              </w:rPr>
              <w:t>。具体订单</w:t>
            </w:r>
            <w:r>
              <w:rPr>
                <w:rFonts w:hint="eastAsia" w:ascii="宋体" w:hAnsi="宋体"/>
                <w:sz w:val="24"/>
                <w:szCs w:val="24"/>
                <w:lang w:val="en-US" w:eastAsia="zh-CN"/>
              </w:rPr>
              <w:t>情况以公司披露的定期报告为准</w:t>
            </w:r>
            <w:r>
              <w:rPr>
                <w:rFonts w:hint="eastAsia" w:ascii="宋体" w:hAnsi="宋体"/>
                <w:sz w:val="24"/>
                <w:szCs w:val="24"/>
              </w:rPr>
              <w:t>。</w:t>
            </w:r>
          </w:p>
          <w:p w14:paraId="4B59E968">
            <w:pPr>
              <w:pStyle w:val="7"/>
              <w:spacing w:line="460" w:lineRule="exact"/>
              <w:ind w:left="-2" w:leftChars="-1" w:firstLine="480"/>
              <w:rPr>
                <w:rFonts w:ascii="宋体" w:hAnsi="宋体"/>
                <w:sz w:val="24"/>
                <w:szCs w:val="24"/>
              </w:rPr>
            </w:pPr>
            <w:r>
              <w:rPr>
                <w:rFonts w:hint="eastAsia" w:ascii="宋体" w:hAnsi="宋体"/>
                <w:sz w:val="24"/>
                <w:szCs w:val="24"/>
              </w:rPr>
              <w:t>北化机、益阳橡机为重大资产重组注入标的，尚未纳入上市公司合并报表，提请投资者注意投资风险。北化机立足电解技术基础，熔盐储能装备已形成规模化订单落地，碱性水电解制氢装备完成产品开发并取得示范项目意向订单，新能源订单客户以新能源开发运营企业为主，毛利率优于传统氯碱装备业务。</w:t>
            </w:r>
          </w:p>
          <w:p w14:paraId="1AE04D30">
            <w:pPr>
              <w:pStyle w:val="7"/>
              <w:spacing w:line="460" w:lineRule="exact"/>
              <w:ind w:left="-2" w:leftChars="-1" w:firstLine="480"/>
              <w:rPr>
                <w:rFonts w:ascii="宋体" w:hAnsi="宋体"/>
                <w:sz w:val="24"/>
                <w:szCs w:val="24"/>
              </w:rPr>
            </w:pPr>
            <w:r>
              <w:rPr>
                <w:rFonts w:hint="eastAsia" w:ascii="宋体" w:hAnsi="宋体"/>
                <w:sz w:val="24"/>
                <w:szCs w:val="24"/>
              </w:rPr>
              <w:t>自2024年起，公司持续深化对托管的益阳橡机和桂林橡机业务的管理整合，中化橡机（含益阳橡机</w:t>
            </w:r>
            <w:r>
              <w:rPr>
                <w:rFonts w:hint="eastAsia" w:ascii="宋体" w:hAnsi="宋体"/>
                <w:sz w:val="24"/>
                <w:szCs w:val="24"/>
                <w:lang w:val="en-US" w:eastAsia="zh-CN"/>
              </w:rPr>
              <w:t>，下同</w:t>
            </w:r>
            <w:r>
              <w:rPr>
                <w:rFonts w:hint="eastAsia" w:ascii="宋体" w:hAnsi="宋体"/>
                <w:sz w:val="24"/>
                <w:szCs w:val="24"/>
              </w:rPr>
              <w:t>）在深耕橡胶机械主业基础上，开发适配新能源汽车轮胎的专用硫化、密炼装备，新能源轮胎及新材料相关订单占比稳步提升，订单质量较普通传统橡机装备有所改善。中化橡机的密炼机、硫化机等核心装备，已形成了完整的绿色化、智能化技术序列。</w:t>
            </w:r>
          </w:p>
          <w:p w14:paraId="09FFCD4A">
            <w:pPr>
              <w:pStyle w:val="7"/>
              <w:spacing w:line="460" w:lineRule="exact"/>
              <w:ind w:left="-2" w:leftChars="-1" w:firstLine="480"/>
              <w:rPr>
                <w:rFonts w:ascii="宋体" w:hAnsi="宋体"/>
                <w:sz w:val="24"/>
                <w:szCs w:val="24"/>
              </w:rPr>
            </w:pPr>
            <w:r>
              <w:rPr>
                <w:rFonts w:hint="eastAsia" w:ascii="宋体" w:hAnsi="宋体"/>
                <w:sz w:val="24"/>
                <w:szCs w:val="24"/>
              </w:rPr>
              <w:t>总体来看，各主体相关业务处于技术迭代、示范落地向商业化拓展阶段，部分领域已实现订单转化，但整体规模仍有待进一步扩大。公司将持续加大研发投入，抢抓行业机遇，推动新技术新产品市场转化，相关重大资产重组进展，请以公司公告为准。</w:t>
            </w:r>
          </w:p>
          <w:p w14:paraId="11533A87">
            <w:pPr>
              <w:pStyle w:val="7"/>
              <w:spacing w:line="460" w:lineRule="exact"/>
              <w:ind w:left="413" w:firstLine="0" w:firstLineChars="0"/>
              <w:rPr>
                <w:rFonts w:ascii="宋体" w:hAnsi="宋体"/>
                <w:b/>
                <w:sz w:val="24"/>
                <w:szCs w:val="24"/>
              </w:rPr>
            </w:pPr>
            <w:r>
              <w:rPr>
                <w:rFonts w:ascii="宋体" w:hAnsi="宋体"/>
                <w:b/>
                <w:sz w:val="24"/>
                <w:szCs w:val="24"/>
              </w:rPr>
              <w:t>4</w:t>
            </w:r>
            <w:r>
              <w:rPr>
                <w:rFonts w:hint="eastAsia" w:ascii="宋体" w:hAnsi="宋体"/>
                <w:b/>
                <w:sz w:val="24"/>
                <w:szCs w:val="24"/>
              </w:rPr>
              <w:t>、怎么判断化工、轮胎行业资本开支，海外市场拓展规划？</w:t>
            </w:r>
          </w:p>
          <w:p w14:paraId="598E4896">
            <w:pPr>
              <w:pStyle w:val="7"/>
              <w:spacing w:line="460" w:lineRule="exact"/>
              <w:ind w:left="-2" w:leftChars="-1" w:firstLine="480"/>
              <w:rPr>
                <w:rFonts w:ascii="宋体" w:hAnsi="宋体"/>
                <w:sz w:val="24"/>
                <w:szCs w:val="24"/>
              </w:rPr>
            </w:pPr>
            <w:r>
              <w:rPr>
                <w:rFonts w:hint="eastAsia" w:ascii="宋体" w:hAnsi="宋体"/>
                <w:sz w:val="24"/>
                <w:szCs w:val="24"/>
              </w:rPr>
              <w:t>一、行业景气度与资本开支宏观判断</w:t>
            </w:r>
          </w:p>
          <w:p w14:paraId="66CECAEB">
            <w:pPr>
              <w:pStyle w:val="7"/>
              <w:spacing w:line="460" w:lineRule="exact"/>
              <w:ind w:left="-2" w:leftChars="-1" w:firstLine="480"/>
              <w:rPr>
                <w:rFonts w:ascii="宋体" w:hAnsi="宋体"/>
                <w:sz w:val="24"/>
                <w:szCs w:val="24"/>
              </w:rPr>
            </w:pPr>
            <w:r>
              <w:rPr>
                <w:rFonts w:hint="eastAsia" w:ascii="宋体" w:hAnsi="宋体"/>
                <w:sz w:val="24"/>
                <w:szCs w:val="24"/>
              </w:rPr>
              <w:t>（一）</w:t>
            </w:r>
            <w:r>
              <w:rPr>
                <w:rFonts w:ascii="宋体" w:hAnsi="宋体"/>
                <w:sz w:val="24"/>
                <w:szCs w:val="24"/>
              </w:rPr>
              <w:t>石油和化工行业景气指数</w:t>
            </w:r>
          </w:p>
          <w:p w14:paraId="140E2239">
            <w:pPr>
              <w:pStyle w:val="7"/>
              <w:spacing w:line="460" w:lineRule="exact"/>
              <w:ind w:left="-2" w:leftChars="-1" w:firstLine="480"/>
              <w:rPr>
                <w:rFonts w:ascii="宋体" w:hAnsi="宋体"/>
                <w:sz w:val="24"/>
                <w:szCs w:val="24"/>
              </w:rPr>
            </w:pPr>
            <w:r>
              <w:rPr>
                <w:rFonts w:ascii="宋体" w:hAnsi="宋体"/>
                <w:sz w:val="24"/>
                <w:szCs w:val="24"/>
              </w:rPr>
              <w:t>石油和化工行业景气指数含化学原料和化学制品制造业、橡胶塑料及其他聚合物制品制造业等4个分指数。据公开数据：2025年9月行业景气指数为98.95（环比上升0.52）；2025年12月回升至100.91（环比上涨3.7个百分点），总体呈现底部温和复苏迹象。（数据来源：中国石油和化学工业联合会、卓创资讯，2025—2026年）</w:t>
            </w:r>
          </w:p>
          <w:p w14:paraId="65DC0CD6">
            <w:pPr>
              <w:pStyle w:val="7"/>
              <w:spacing w:line="460" w:lineRule="exact"/>
              <w:ind w:left="-2" w:leftChars="-1" w:firstLine="480"/>
              <w:rPr>
                <w:rFonts w:ascii="宋体" w:hAnsi="宋体"/>
                <w:sz w:val="24"/>
                <w:szCs w:val="24"/>
              </w:rPr>
            </w:pPr>
            <w:r>
              <w:rPr>
                <w:rFonts w:ascii="宋体" w:hAnsi="宋体"/>
                <w:sz w:val="24"/>
                <w:szCs w:val="24"/>
              </w:rPr>
              <w:t>（</w:t>
            </w:r>
            <w:r>
              <w:rPr>
                <w:rFonts w:hint="eastAsia" w:ascii="宋体" w:hAnsi="宋体"/>
                <w:sz w:val="24"/>
                <w:szCs w:val="24"/>
              </w:rPr>
              <w:t>二</w:t>
            </w:r>
            <w:r>
              <w:rPr>
                <w:rFonts w:ascii="宋体" w:hAnsi="宋体"/>
                <w:sz w:val="24"/>
                <w:szCs w:val="24"/>
              </w:rPr>
              <w:t>）资本开支宏观判断</w:t>
            </w:r>
          </w:p>
          <w:p w14:paraId="1AA3C375">
            <w:pPr>
              <w:pStyle w:val="7"/>
              <w:spacing w:line="460" w:lineRule="exact"/>
              <w:ind w:left="-2" w:leftChars="-1" w:firstLine="480"/>
              <w:rPr>
                <w:rFonts w:ascii="宋体" w:hAnsi="宋体"/>
                <w:sz w:val="24"/>
                <w:szCs w:val="24"/>
              </w:rPr>
            </w:pPr>
            <w:r>
              <w:rPr>
                <w:rFonts w:ascii="宋体" w:hAnsi="宋体"/>
                <w:sz w:val="24"/>
                <w:szCs w:val="24"/>
              </w:rPr>
              <w:t>2021—2025年制造业及化工行业经历</w:t>
            </w:r>
            <w:r>
              <w:rPr>
                <w:rFonts w:hint="eastAsia" w:ascii="宋体" w:hAnsi="宋体"/>
                <w:sz w:val="24"/>
                <w:szCs w:val="24"/>
              </w:rPr>
              <w:t>“</w:t>
            </w:r>
            <w:r>
              <w:rPr>
                <w:rFonts w:ascii="宋体" w:hAnsi="宋体"/>
                <w:sz w:val="24"/>
                <w:szCs w:val="24"/>
              </w:rPr>
              <w:t>复苏—下行—弱修复</w:t>
            </w:r>
            <w:r>
              <w:rPr>
                <w:rFonts w:hint="eastAsia" w:ascii="宋体" w:hAnsi="宋体"/>
                <w:sz w:val="24"/>
                <w:szCs w:val="24"/>
              </w:rPr>
              <w:t>”</w:t>
            </w:r>
            <w:r>
              <w:rPr>
                <w:rFonts w:ascii="宋体" w:hAnsi="宋体"/>
                <w:sz w:val="24"/>
                <w:szCs w:val="24"/>
              </w:rPr>
              <w:t>周期，2025年底触底回升。</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期间，化工、轮胎行业资本开支预计呈现以下特征：一是传统大宗化工品（烧碱、PVC等）新增产能受限，资本开支以存量更新、节能降碳改造为主；二是新能源材料装备（磷酸铁锂、锂电隔膜、氢能装备）及高端轮胎装备（电加热/全电动硫化机）成为资本开支增量方向；三是海外产能布局（东南亚、中东、墨西哥）成为国内龙头企业资本开支的重要组成。</w:t>
            </w:r>
          </w:p>
          <w:p w14:paraId="794B92D9">
            <w:pPr>
              <w:pStyle w:val="7"/>
              <w:spacing w:line="460" w:lineRule="exact"/>
              <w:ind w:left="-2" w:leftChars="-1" w:firstLine="480"/>
              <w:rPr>
                <w:rFonts w:ascii="宋体" w:hAnsi="宋体"/>
                <w:sz w:val="24"/>
                <w:szCs w:val="24"/>
              </w:rPr>
            </w:pPr>
            <w:r>
              <w:rPr>
                <w:rFonts w:ascii="宋体" w:hAnsi="宋体"/>
                <w:sz w:val="24"/>
                <w:szCs w:val="24"/>
              </w:rPr>
              <w:t>二、化工行业资本开支判断</w:t>
            </w:r>
          </w:p>
          <w:p w14:paraId="74F7D08A">
            <w:pPr>
              <w:pStyle w:val="7"/>
              <w:spacing w:line="460" w:lineRule="exact"/>
              <w:ind w:left="-2" w:leftChars="-1" w:firstLine="480"/>
              <w:rPr>
                <w:rFonts w:ascii="宋体" w:hAnsi="宋体"/>
                <w:sz w:val="24"/>
                <w:szCs w:val="24"/>
              </w:rPr>
            </w:pPr>
            <w:r>
              <w:rPr>
                <w:rFonts w:ascii="宋体" w:hAnsi="宋体"/>
                <w:sz w:val="24"/>
                <w:szCs w:val="24"/>
              </w:rPr>
              <w:t>（一）政策影响</w:t>
            </w:r>
          </w:p>
          <w:p w14:paraId="135839B3">
            <w:pPr>
              <w:pStyle w:val="7"/>
              <w:spacing w:line="460" w:lineRule="exact"/>
              <w:ind w:left="-2" w:leftChars="-1" w:firstLine="480"/>
              <w:rPr>
                <w:rFonts w:ascii="宋体" w:hAnsi="宋体"/>
                <w:sz w:val="24"/>
                <w:szCs w:val="24"/>
              </w:rPr>
            </w:pPr>
            <w:r>
              <w:rPr>
                <w:rFonts w:ascii="宋体" w:hAnsi="宋体"/>
                <w:sz w:val="24"/>
                <w:szCs w:val="24"/>
              </w:rPr>
              <w:t>政策层面，《石化化工行业稳增长工作方案（2025—2026年）》提出严控烧碱、PVC新增产能，推动节能降碳、智能化改造；《加力推进石化化工行业老旧装置更新改造行动方案（2026—2029年）》：针对运行超20年的氯碱装置开展安全、能效、环保评估，加速淘汰低效产能；《石油和化学工业</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发展指南》（中国石油和化学工业联合会，2026年4月发布）：以高端化、绿色化、智能化为主线。多重政策叠加驱动，行业资本开支重心向存量装置安全升级、节能降碳改造倾斜，国产高端化工装备迎来良好发展窗口期。</w:t>
            </w:r>
          </w:p>
          <w:p w14:paraId="7EF9E635">
            <w:pPr>
              <w:pStyle w:val="7"/>
              <w:spacing w:line="460" w:lineRule="exact"/>
              <w:ind w:left="-2" w:leftChars="-1" w:firstLine="480"/>
              <w:rPr>
                <w:rFonts w:ascii="宋体" w:hAnsi="宋体"/>
                <w:sz w:val="24"/>
                <w:szCs w:val="24"/>
              </w:rPr>
            </w:pPr>
            <w:r>
              <w:rPr>
                <w:rFonts w:ascii="宋体" w:hAnsi="宋体"/>
                <w:sz w:val="24"/>
                <w:szCs w:val="24"/>
              </w:rPr>
              <w:t>北化机电解槽完成从2.7㎡向3.4㎡大型化产品迭代，国产化替代优势显著。3.4㎡高电流密度膜极距电解槽可有效降低单位烧碱直流电耗，高度匹配老旧装置技改的能效升级需求，充分承接国内氯碱存量改造红利；同时公司布局碱性制氢电解槽、熔盐储能成套装备，深度契合石化化工绿色转型的产业方向，开辟第二增长赛道。</w:t>
            </w:r>
          </w:p>
          <w:p w14:paraId="05BD5FBB">
            <w:pPr>
              <w:pStyle w:val="7"/>
              <w:spacing w:line="460" w:lineRule="exact"/>
              <w:ind w:left="-2" w:leftChars="-1" w:firstLine="480"/>
              <w:rPr>
                <w:rFonts w:ascii="宋体" w:hAnsi="宋体"/>
                <w:sz w:val="24"/>
                <w:szCs w:val="24"/>
              </w:rPr>
            </w:pPr>
            <w:r>
              <w:rPr>
                <w:rFonts w:ascii="宋体" w:hAnsi="宋体"/>
                <w:sz w:val="24"/>
                <w:szCs w:val="24"/>
              </w:rPr>
              <w:t>依托上述政策导向，传统化工装置更新与化工新材料产业同步迎来发展机遇。天华院间接焙烧炉、干燥、反应釜装备可充分匹配锂电新材料绿色制造工艺要求，已落地多个头部锂电材料企业项目；干燥、反应类通用装备可深度参与存量化工装置安全与能效升级改造；合成氨制备成套装备适配绿氨示范产业发展方向，全面把握行业绿色升级带来的业务机会。</w:t>
            </w:r>
          </w:p>
          <w:p w14:paraId="64B66EC4">
            <w:pPr>
              <w:pStyle w:val="7"/>
              <w:spacing w:line="460" w:lineRule="exact"/>
              <w:ind w:left="-2" w:leftChars="-1" w:firstLine="480"/>
              <w:rPr>
                <w:rFonts w:ascii="宋体" w:hAnsi="宋体"/>
                <w:sz w:val="24"/>
                <w:szCs w:val="24"/>
              </w:rPr>
            </w:pPr>
            <w:r>
              <w:rPr>
                <w:rFonts w:ascii="宋体" w:hAnsi="宋体"/>
                <w:sz w:val="24"/>
                <w:szCs w:val="24"/>
              </w:rPr>
              <w:t>（二）市场分析</w:t>
            </w:r>
          </w:p>
          <w:p w14:paraId="6FE96ABE">
            <w:pPr>
              <w:pStyle w:val="7"/>
              <w:spacing w:line="460" w:lineRule="exact"/>
              <w:ind w:left="-2" w:leftChars="-1" w:firstLine="480"/>
              <w:rPr>
                <w:rFonts w:ascii="宋体" w:hAnsi="宋体"/>
                <w:sz w:val="24"/>
                <w:szCs w:val="24"/>
              </w:rPr>
            </w:pPr>
            <w:r>
              <w:rPr>
                <w:rFonts w:ascii="宋体" w:hAnsi="宋体"/>
                <w:sz w:val="24"/>
                <w:szCs w:val="24"/>
              </w:rPr>
              <w:t>国内氯碱行业2007</w:t>
            </w:r>
            <w:r>
              <w:rPr>
                <w:rFonts w:ascii="宋体" w:hAnsi="宋体"/>
                <w:sz w:val="24"/>
                <w:szCs w:val="24"/>
              </w:rPr>
              <w:noBreakHyphen/>
            </w:r>
            <w:r>
              <w:rPr>
                <w:rFonts w:ascii="宋体" w:hAnsi="宋体"/>
                <w:sz w:val="24"/>
                <w:szCs w:val="24"/>
              </w:rPr>
              <w:t>2012年为产能集中建设高峰，大批电解槽装置逐步进入服役中后期，叠加政策推动老旧装置更新，存量改造市场打开持续释放的刚性需求。“十五五”阶段存量设备更新将成为氯碱装备资本开支的核心来源，存量替换带来稳定、可预期的装备采购需求。</w:t>
            </w:r>
          </w:p>
          <w:p w14:paraId="3295F547">
            <w:pPr>
              <w:pStyle w:val="7"/>
              <w:spacing w:line="460" w:lineRule="exact"/>
              <w:ind w:left="-2" w:leftChars="-1" w:firstLine="480"/>
              <w:rPr>
                <w:rFonts w:ascii="宋体" w:hAnsi="宋体"/>
                <w:sz w:val="24"/>
                <w:szCs w:val="24"/>
              </w:rPr>
            </w:pPr>
            <w:r>
              <w:rPr>
                <w:rFonts w:ascii="宋体" w:hAnsi="宋体"/>
                <w:sz w:val="24"/>
                <w:szCs w:val="24"/>
              </w:rPr>
              <w:t>除传统化工存量改造市场外，锂电材料、绿氢绿氨等新材料新能源赛道快速发展，带来增量装备需求。天华院干燥、反应类化工装备可充分承接传统化工存量装置更新的市场机会，同时锂电材料、绿氨相关装备能够把握新材料、氢能高景气赛道的国内项目订单，形成传统业务+新兴业务的双轮驱动格局。</w:t>
            </w:r>
          </w:p>
          <w:p w14:paraId="5F5CB342">
            <w:pPr>
              <w:pStyle w:val="7"/>
              <w:spacing w:line="460" w:lineRule="exact"/>
              <w:ind w:left="-2" w:leftChars="-1" w:firstLine="480"/>
              <w:rPr>
                <w:rFonts w:ascii="宋体" w:hAnsi="宋体"/>
                <w:sz w:val="24"/>
                <w:szCs w:val="24"/>
              </w:rPr>
            </w:pPr>
            <w:r>
              <w:rPr>
                <w:rFonts w:ascii="宋体" w:hAnsi="宋体"/>
                <w:sz w:val="24"/>
                <w:szCs w:val="24"/>
              </w:rPr>
              <w:t>中东、东南亚依托资源禀赋、人口红利及下游化工产业扩张，持续落地氯碱、化工新材料产能建设项目，为国内化工装备企业带来广阔出口增量机遇。在全球环保政策驱动下，欧盟明确2030年前全面淘汰汞法烧碱工艺，印度计划2025年前削减50%汞法烧碱产能；东南亚、印度市场同时具备新增产能建设和存量工艺升级改造双重需求；欧洲市场存量装置节能改造、电极及离子膜更换需求持续存在，海外存量技改市场同样具备可观空间。</w:t>
            </w:r>
          </w:p>
          <w:p w14:paraId="07B0617A">
            <w:pPr>
              <w:pStyle w:val="7"/>
              <w:spacing w:line="460" w:lineRule="exact"/>
              <w:ind w:left="-2" w:leftChars="-1" w:firstLine="480"/>
              <w:rPr>
                <w:rFonts w:ascii="宋体" w:hAnsi="宋体"/>
                <w:sz w:val="24"/>
                <w:szCs w:val="24"/>
              </w:rPr>
            </w:pPr>
            <w:r>
              <w:rPr>
                <w:rFonts w:ascii="宋体" w:hAnsi="宋体"/>
                <w:sz w:val="24"/>
                <w:szCs w:val="24"/>
              </w:rPr>
              <w:t>三、轮胎行业资本开支判断</w:t>
            </w:r>
          </w:p>
          <w:p w14:paraId="02521E3B">
            <w:pPr>
              <w:pStyle w:val="7"/>
              <w:spacing w:line="460" w:lineRule="exact"/>
              <w:ind w:left="-2" w:leftChars="-1" w:firstLine="480"/>
              <w:rPr>
                <w:rFonts w:ascii="宋体" w:hAnsi="宋体"/>
                <w:sz w:val="24"/>
                <w:szCs w:val="24"/>
              </w:rPr>
            </w:pPr>
            <w:r>
              <w:rPr>
                <w:rFonts w:ascii="宋体" w:hAnsi="宋体"/>
                <w:sz w:val="24"/>
                <w:szCs w:val="24"/>
              </w:rPr>
              <w:t>（一）政策影响</w:t>
            </w:r>
          </w:p>
          <w:p w14:paraId="40E5AF66">
            <w:pPr>
              <w:pStyle w:val="7"/>
              <w:spacing w:line="460" w:lineRule="exact"/>
              <w:ind w:left="-2" w:leftChars="-1" w:firstLine="480"/>
              <w:rPr>
                <w:rFonts w:ascii="宋体" w:hAnsi="宋体"/>
                <w:sz w:val="24"/>
                <w:szCs w:val="24"/>
              </w:rPr>
            </w:pPr>
            <w:r>
              <w:rPr>
                <w:rFonts w:ascii="宋体" w:hAnsi="宋体"/>
                <w:sz w:val="24"/>
                <w:szCs w:val="24"/>
              </w:rPr>
              <w:t>《橡胶行业</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发展建议》（中国橡胶工业协会，2025年10月发布）：确定</w:t>
            </w:r>
            <w:r>
              <w:rPr>
                <w:rFonts w:hint="eastAsia" w:ascii="宋体" w:hAnsi="宋体"/>
                <w:sz w:val="24"/>
                <w:szCs w:val="24"/>
              </w:rPr>
              <w:t>“</w:t>
            </w:r>
            <w:r>
              <w:rPr>
                <w:rFonts w:ascii="宋体" w:hAnsi="宋体"/>
                <w:sz w:val="24"/>
                <w:szCs w:val="24"/>
              </w:rPr>
              <w:t>高端化引领、绿色化转型、智能化赋能、国际化协同</w:t>
            </w:r>
            <w:r>
              <w:rPr>
                <w:rFonts w:hint="eastAsia" w:ascii="宋体" w:hAnsi="宋体"/>
                <w:sz w:val="24"/>
                <w:szCs w:val="24"/>
              </w:rPr>
              <w:t>”</w:t>
            </w:r>
            <w:r>
              <w:rPr>
                <w:rFonts w:ascii="宋体" w:hAnsi="宋体"/>
                <w:sz w:val="24"/>
                <w:szCs w:val="24"/>
              </w:rPr>
              <w:t>为主线，培育3—5家营收500亿元企业。《合成橡胶行业</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发展规划》（中国合成橡胶工业协会，2026年）：聚焦差异化、高端化、绿色化发展方向，下游材料升级进一步拉动高端橡机装备需求。引导国内轮胎产业由规模扩张向质量效益升级，带动上游橡胶机械向智能、节能方向迭代升级。行业资本开支逻辑发生积极转变，投资重心逐步由大规模新建产线，转向存量轮胎工厂智能化、低碳化技改与设备更新，电加热硫化机、全电动硫化机等绿色智能装备成为资本开支重要增量方向。</w:t>
            </w:r>
          </w:p>
          <w:p w14:paraId="229DB205">
            <w:pPr>
              <w:pStyle w:val="7"/>
              <w:spacing w:line="460" w:lineRule="exact"/>
              <w:ind w:left="-2" w:leftChars="-1" w:firstLine="480"/>
              <w:rPr>
                <w:rFonts w:ascii="宋体" w:hAnsi="宋体"/>
                <w:sz w:val="24"/>
                <w:szCs w:val="24"/>
              </w:rPr>
            </w:pPr>
            <w:r>
              <w:rPr>
                <w:rFonts w:ascii="宋体" w:hAnsi="宋体"/>
                <w:sz w:val="24"/>
                <w:szCs w:val="24"/>
              </w:rPr>
              <w:t>（二）市场分析</w:t>
            </w:r>
          </w:p>
          <w:p w14:paraId="04126385">
            <w:pPr>
              <w:pStyle w:val="7"/>
              <w:spacing w:line="460" w:lineRule="exact"/>
              <w:ind w:left="-2" w:leftChars="-1" w:firstLine="480"/>
              <w:rPr>
                <w:rFonts w:ascii="宋体" w:hAnsi="宋体"/>
                <w:sz w:val="24"/>
                <w:szCs w:val="24"/>
              </w:rPr>
            </w:pPr>
            <w:r>
              <w:rPr>
                <w:rFonts w:ascii="宋体" w:hAnsi="宋体"/>
                <w:sz w:val="24"/>
                <w:szCs w:val="24"/>
              </w:rPr>
              <w:t>据《欧洲橡胶杂志》（ERJ）统计，2021—2025年全球橡胶机械30强销售额从33.82亿美元增至40.0亿美元，年均增长率4.41%。2021—2025年中国橡机销售额从136亿元增至205.2亿元，占全球比重从41.0%升至47.4%，年均增长率10.08%。庞大的存量轮胎产能为设备更新改造提供坚实基本盘，国产橡机全球竞争力持续提升。</w:t>
            </w:r>
          </w:p>
          <w:p w14:paraId="16A284A8">
            <w:pPr>
              <w:pStyle w:val="7"/>
              <w:spacing w:line="460" w:lineRule="exact"/>
              <w:ind w:left="-2" w:leftChars="-1" w:firstLine="480"/>
              <w:rPr>
                <w:rFonts w:ascii="宋体" w:hAnsi="宋体"/>
                <w:sz w:val="24"/>
                <w:szCs w:val="24"/>
              </w:rPr>
            </w:pPr>
            <w:r>
              <w:rPr>
                <w:rFonts w:hint="eastAsia" w:ascii="宋体" w:hAnsi="宋体"/>
                <w:sz w:val="24"/>
                <w:szCs w:val="24"/>
                <w:lang w:val="en-US" w:eastAsia="zh-CN"/>
              </w:rPr>
              <w:t>公司</w:t>
            </w:r>
            <w:r>
              <w:rPr>
                <w:rFonts w:ascii="宋体" w:hAnsi="宋体"/>
                <w:sz w:val="24"/>
                <w:szCs w:val="24"/>
              </w:rPr>
              <w:t>内部市场测算：伴随新能源汽车轮胎对混炼、挤出工艺标准持续提升，高端化、节能型密炼与挤出装备的替换需求持续打开，为密炼机、硫化机、成型机、挤出设备等核心产品打开稳定的业务空间。</w:t>
            </w:r>
            <w:r>
              <w:rPr>
                <w:rFonts w:hint="eastAsia" w:ascii="宋体" w:hAnsi="宋体"/>
                <w:sz w:val="24"/>
                <w:szCs w:val="24"/>
              </w:rPr>
              <w:t>未来</w:t>
            </w:r>
            <w:r>
              <w:rPr>
                <w:rFonts w:ascii="宋体" w:hAnsi="宋体"/>
                <w:sz w:val="24"/>
                <w:szCs w:val="24"/>
              </w:rPr>
              <w:t>，存量设备替换+新机高端化升级带来持续的结构性装备采购需求。</w:t>
            </w:r>
          </w:p>
          <w:p w14:paraId="6D1DF425">
            <w:pPr>
              <w:pStyle w:val="7"/>
              <w:spacing w:line="460" w:lineRule="exact"/>
              <w:ind w:left="-2" w:leftChars="-1" w:firstLine="480"/>
              <w:rPr>
                <w:rFonts w:ascii="宋体" w:hAnsi="宋体"/>
                <w:sz w:val="24"/>
                <w:szCs w:val="24"/>
              </w:rPr>
            </w:pPr>
            <w:r>
              <w:rPr>
                <w:rFonts w:ascii="宋体" w:hAnsi="宋体"/>
                <w:sz w:val="24"/>
                <w:szCs w:val="24"/>
              </w:rPr>
              <w:t>海外市场具备可观增量机遇，东南亚、印度、中东、摩洛哥等区域轮胎产业快速发展，持续落地新建工厂项目；同时国内头部轮胎企业加速海外产能布局，同步带动国产橡机装备批量出海。</w:t>
            </w:r>
          </w:p>
          <w:p w14:paraId="78E6B618">
            <w:pPr>
              <w:pStyle w:val="7"/>
              <w:spacing w:line="460" w:lineRule="exact"/>
              <w:ind w:left="-2" w:leftChars="-1" w:firstLine="480"/>
              <w:rPr>
                <w:rFonts w:ascii="宋体" w:hAnsi="宋体"/>
                <w:sz w:val="24"/>
                <w:szCs w:val="24"/>
              </w:rPr>
            </w:pPr>
            <w:r>
              <w:rPr>
                <w:rFonts w:ascii="宋体" w:hAnsi="宋体"/>
                <w:sz w:val="24"/>
                <w:szCs w:val="24"/>
              </w:rPr>
              <w:t>四、新能源业务资本开支判断</w:t>
            </w:r>
          </w:p>
          <w:p w14:paraId="74249AFF">
            <w:pPr>
              <w:pStyle w:val="7"/>
              <w:spacing w:line="460" w:lineRule="exact"/>
              <w:ind w:left="-2" w:leftChars="-1" w:firstLine="480"/>
              <w:rPr>
                <w:rFonts w:ascii="宋体" w:hAnsi="宋体"/>
                <w:sz w:val="24"/>
                <w:szCs w:val="24"/>
              </w:rPr>
            </w:pPr>
            <w:r>
              <w:rPr>
                <w:rFonts w:ascii="宋体" w:hAnsi="宋体"/>
                <w:sz w:val="24"/>
                <w:szCs w:val="24"/>
              </w:rPr>
              <w:t>“十五五”时期，多份国家级及行业政策持续引导锂电新材料、新型储能、氢能绿氨、新能源汽车配套产业高质量发展。《新型储能规模化建设专项行动方案（2025</w:t>
            </w:r>
            <w:r>
              <w:rPr>
                <w:rFonts w:ascii="宋体" w:hAnsi="宋体"/>
                <w:sz w:val="24"/>
                <w:szCs w:val="24"/>
              </w:rPr>
              <w:noBreakHyphen/>
            </w:r>
            <w:r>
              <w:rPr>
                <w:rFonts w:ascii="宋体" w:hAnsi="宋体"/>
                <w:sz w:val="24"/>
                <w:szCs w:val="24"/>
              </w:rPr>
              <w:t>2027年）》提出推动熔盐储能等多元储能技术路线示范推广；《关于开展氢能综合应用试点工作的通知（工信部联节〔2026〕59号）》鼓励电解制氢、绿氨一体化示范项目落地；《可再生能源发展“十五五”规划》（发改能源〔2026〕1067号）推动风光配套储能、绿氢非电利用产业突破；《推进磷资源高效高值利用实施方案》支持磷酸铁锂等锂电正极材料产业升级。叠加《石油和化学工业</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发展指南》《橡胶行业</w:t>
            </w:r>
            <w:r>
              <w:rPr>
                <w:rFonts w:hint="eastAsia" w:ascii="宋体" w:hAnsi="宋体"/>
                <w:sz w:val="24"/>
                <w:szCs w:val="24"/>
              </w:rPr>
              <w:t>“</w:t>
            </w:r>
            <w:r>
              <w:rPr>
                <w:rFonts w:ascii="宋体" w:hAnsi="宋体"/>
                <w:sz w:val="24"/>
                <w:szCs w:val="24"/>
              </w:rPr>
              <w:t>十五五</w:t>
            </w:r>
            <w:r>
              <w:rPr>
                <w:rFonts w:hint="eastAsia" w:ascii="宋体" w:hAnsi="宋体"/>
                <w:sz w:val="24"/>
                <w:szCs w:val="24"/>
              </w:rPr>
              <w:t>”</w:t>
            </w:r>
            <w:r>
              <w:rPr>
                <w:rFonts w:ascii="宋体" w:hAnsi="宋体"/>
                <w:sz w:val="24"/>
                <w:szCs w:val="24"/>
              </w:rPr>
              <w:t>发展建议》行业指引，分别对化工新材料、氢能储能、新能源汽车轮胎工艺升级给予方向支持，多重政策红利为国产工艺装备打开广阔增量空间。天华院、中化橡机、北化机分别在锂电材料装备、新能源汽车轮胎装备、储能及氢能电解装备完成产品布局，依托技术积累实现多个标杆项目落地，打开第二增长空间。</w:t>
            </w:r>
          </w:p>
          <w:p w14:paraId="274821E7">
            <w:pPr>
              <w:pStyle w:val="7"/>
              <w:spacing w:line="460" w:lineRule="exact"/>
              <w:ind w:left="-2" w:leftChars="-1" w:firstLine="480"/>
              <w:rPr>
                <w:rFonts w:ascii="宋体" w:hAnsi="宋体"/>
                <w:sz w:val="24"/>
                <w:szCs w:val="24"/>
              </w:rPr>
            </w:pPr>
            <w:r>
              <w:rPr>
                <w:rFonts w:ascii="宋体" w:hAnsi="宋体"/>
                <w:sz w:val="24"/>
                <w:szCs w:val="24"/>
              </w:rPr>
              <w:t>天华院新能源核心装备间接焙烧炉，适配电池级磷酸铁锂、磷酸铁生产关键工艺环节，已实现产业化批量交付，核心客户覆盖锂电材料头部企业；同时布局合成氨制备成套装备，面向绿氨示范赛道开展技术与市场储备。公司将紧抓化工新材料产业发展机遇，持续推进锂电、绿氨相关关键装备技术迭代，依托装备研制能力承接新能源材料领域项目订单。</w:t>
            </w:r>
          </w:p>
          <w:p w14:paraId="5F228637">
            <w:pPr>
              <w:pStyle w:val="7"/>
              <w:spacing w:line="460" w:lineRule="exact"/>
              <w:ind w:left="-2" w:leftChars="-1" w:firstLine="480"/>
              <w:rPr>
                <w:rFonts w:ascii="宋体" w:hAnsi="宋体"/>
                <w:sz w:val="24"/>
                <w:szCs w:val="24"/>
              </w:rPr>
            </w:pPr>
            <w:r>
              <w:rPr>
                <w:rFonts w:ascii="宋体" w:hAnsi="宋体"/>
                <w:sz w:val="24"/>
                <w:szCs w:val="24"/>
              </w:rPr>
              <w:t>中化橡机顺应新能源汽车轮胎产业升级趋势，业务布局向新能源汽车轮胎装备方向延伸。</w:t>
            </w:r>
            <w:r>
              <w:rPr>
                <w:rFonts w:hint="eastAsia" w:ascii="宋体" w:hAnsi="宋体"/>
                <w:sz w:val="24"/>
                <w:szCs w:val="24"/>
              </w:rPr>
              <w:t>目前</w:t>
            </w:r>
            <w:r>
              <w:rPr>
                <w:rFonts w:ascii="宋体" w:hAnsi="宋体"/>
                <w:sz w:val="24"/>
                <w:szCs w:val="24"/>
              </w:rPr>
              <w:t>在新能源汽车轮胎装备领域已累计签约数十个项目，具备为新能源轮胎产线提供成套橡胶机械装备的成熟项目实施能力，未来持续把握新能源汽车带动轮胎工艺升级带来的装备替换与新建需求。</w:t>
            </w:r>
          </w:p>
          <w:p w14:paraId="0ED53A5B">
            <w:pPr>
              <w:pStyle w:val="7"/>
              <w:spacing w:line="460" w:lineRule="exact"/>
              <w:ind w:left="-2" w:leftChars="-1" w:firstLine="480"/>
              <w:rPr>
                <w:rFonts w:ascii="宋体" w:hAnsi="宋体"/>
                <w:sz w:val="24"/>
                <w:szCs w:val="24"/>
              </w:rPr>
            </w:pPr>
            <w:r>
              <w:rPr>
                <w:rFonts w:ascii="宋体" w:hAnsi="宋体"/>
                <w:sz w:val="24"/>
                <w:szCs w:val="24"/>
              </w:rPr>
              <w:t>北化机以氯碱电解成套装备作为稳固业务基本盘，积极向氢能电解、熔盐储能新能源装备赛道延伸拓展。熔盐储能板块产品覆盖熔盐储罐、吸热器、换热器等核心设备，产品由常规储罐向大型宽温域储罐迭代升级，并投资建设聊城吸热器专业化产线，补齐吸热器自主制造短板，强化熔盐储能全链条核心装备供给能力，服务能源领域重点客户，形成行业领先的市场地位。同时，公司推出自主研发3000Nm³/h常压碱性水电解制氢装置，为当前全球单台产氢规模领先的常压碱性电解槽产品，装置最高电流密度可达12kA/㎡，具备10%</w:t>
            </w:r>
            <w:r>
              <w:rPr>
                <w:rFonts w:ascii="宋体" w:hAnsi="宋体"/>
                <w:sz w:val="24"/>
                <w:szCs w:val="24"/>
              </w:rPr>
              <w:noBreakHyphen/>
            </w:r>
            <w:r>
              <w:rPr>
                <w:rFonts w:ascii="宋体" w:hAnsi="宋体"/>
                <w:sz w:val="24"/>
                <w:szCs w:val="24"/>
              </w:rPr>
              <w:t>120% 超宽负荷动态调节能力，可适配风光发电出力的大幅波动，拥有高能效、高安全性、智能化管控、运维便捷的突出技术优势，精准匹配大规模风光制氢、绿氢</w:t>
            </w:r>
            <w:r>
              <w:rPr>
                <w:rFonts w:ascii="宋体" w:hAnsi="宋体"/>
                <w:sz w:val="24"/>
                <w:szCs w:val="24"/>
              </w:rPr>
              <w:noBreakHyphen/>
            </w:r>
            <w:r>
              <w:rPr>
                <w:rFonts w:ascii="宋体" w:hAnsi="宋体"/>
                <w:sz w:val="24"/>
                <w:szCs w:val="24"/>
              </w:rPr>
              <w:t>绿氨一体化项目建设需求。该装备首批样机落地中石化新星风光制氢示范项目开展工业化实证测试。北化机将持续放大熔盐储能、3000Nm³/h大型碱性制氢装备技术优势，深度对接风光大基地、火电调峰、绿氢制备的市场需求，开辟储能、氢能新增长曲线。</w:t>
            </w:r>
          </w:p>
          <w:p w14:paraId="220D9EAA">
            <w:pPr>
              <w:pStyle w:val="7"/>
              <w:spacing w:line="460" w:lineRule="exact"/>
              <w:ind w:left="-2" w:leftChars="-1" w:firstLine="480"/>
              <w:rPr>
                <w:rFonts w:ascii="宋体" w:hAnsi="宋体"/>
                <w:sz w:val="24"/>
                <w:szCs w:val="24"/>
              </w:rPr>
            </w:pPr>
            <w:r>
              <w:rPr>
                <w:rFonts w:ascii="宋体" w:hAnsi="宋体"/>
                <w:sz w:val="24"/>
                <w:szCs w:val="24"/>
              </w:rPr>
              <w:t>五、业务情况及海外拓展</w:t>
            </w:r>
          </w:p>
          <w:p w14:paraId="5776FD68">
            <w:pPr>
              <w:pStyle w:val="7"/>
              <w:spacing w:line="460" w:lineRule="exact"/>
              <w:ind w:left="-2" w:leftChars="-1" w:firstLine="480"/>
              <w:rPr>
                <w:rFonts w:ascii="宋体" w:hAnsi="宋体"/>
                <w:sz w:val="24"/>
                <w:szCs w:val="24"/>
              </w:rPr>
            </w:pPr>
            <w:r>
              <w:rPr>
                <w:rFonts w:ascii="宋体" w:hAnsi="宋体"/>
                <w:sz w:val="24"/>
                <w:szCs w:val="24"/>
              </w:rPr>
              <w:t>全球化工、轮胎、新能源产业产能持续跨国布局，海外市场为国内装备企业带来广阔的增量空间。国内装备企业经过多年技术迭代与项目实践，产品竞争力持续提升，各家均已形成自身海外交付实绩与“十五五”阶段出海实施路径，依托成套装备输出、存量技改、备件运维等方式，把握不同区域新建与改造双重市场机遇。</w:t>
            </w:r>
          </w:p>
          <w:p w14:paraId="5D59D5FC">
            <w:pPr>
              <w:pStyle w:val="7"/>
              <w:spacing w:line="460" w:lineRule="exact"/>
              <w:ind w:left="-2" w:leftChars="-1" w:firstLine="480"/>
              <w:rPr>
                <w:rFonts w:ascii="宋体" w:hAnsi="宋体"/>
                <w:sz w:val="24"/>
                <w:szCs w:val="24"/>
              </w:rPr>
            </w:pPr>
            <w:r>
              <w:rPr>
                <w:rFonts w:ascii="宋体" w:hAnsi="宋体"/>
                <w:sz w:val="24"/>
                <w:szCs w:val="24"/>
              </w:rPr>
              <w:t>天华院已实现阿根廷电池级碳酸锂干燥成套机组海外项目交付，具备完整海外项目工程实施能力，干燥、挤压造粒类装备已出口多个国家和地区，产品拥有较强国际竞争力。公司将大力拓宽国际市场，通过国际化人才队伍建设、组建国际事业部，以标杆项目辐射带动区域拓展；采用与国内出海龙头企业开展框架合作的间接出口模式高效开拓市场；发挥新能源材料装备优势，跟随国内锂电材料企业海外建厂步伐，挖掘全球化工、锂电新材料领域业务机会。</w:t>
            </w:r>
          </w:p>
          <w:p w14:paraId="7C1089B2">
            <w:pPr>
              <w:pStyle w:val="7"/>
              <w:spacing w:line="460" w:lineRule="exact"/>
              <w:ind w:left="-2" w:leftChars="-1" w:firstLine="480"/>
              <w:rPr>
                <w:rFonts w:ascii="宋体" w:hAnsi="宋体"/>
                <w:sz w:val="24"/>
                <w:szCs w:val="24"/>
              </w:rPr>
            </w:pPr>
            <w:r>
              <w:rPr>
                <w:rFonts w:ascii="宋体" w:hAnsi="宋体"/>
                <w:sz w:val="24"/>
                <w:szCs w:val="24"/>
              </w:rPr>
              <w:t>中化橡机具备成熟的海外项目实施交付能力，近三年斩获越南、摩洛哥、日本神钢商事等硫化机代表性海外订单，可面向海外新能源轮胎产线提供成套橡胶机械装备。公司“十五五”将实施分区域差异化拓展策略：把握东南亚PCR、TBR产能扩张红利，依托中资轮胎项目优先采购国产设备的有利条件，抢抓中东、拉美TBR新建项目机会；切入欧洲存量老旧液压硫化机节能改造赛道；匹配印度经济型设备需求；同步跟进墨西哥、越南中资轮胎厂建设，持续扩大海外成套装备输出规模。</w:t>
            </w:r>
          </w:p>
          <w:p w14:paraId="72DFDDA8">
            <w:pPr>
              <w:pStyle w:val="7"/>
              <w:spacing w:line="460" w:lineRule="exact"/>
              <w:ind w:left="-2" w:leftChars="-1" w:firstLine="480"/>
              <w:rPr>
                <w:rFonts w:ascii="宋体" w:hAnsi="宋体"/>
                <w:sz w:val="24"/>
                <w:szCs w:val="24"/>
              </w:rPr>
            </w:pPr>
            <w:r>
              <w:rPr>
                <w:rFonts w:ascii="宋体" w:hAnsi="宋体"/>
                <w:sz w:val="24"/>
                <w:szCs w:val="24"/>
              </w:rPr>
              <w:t>北化机已建成成熟的海外业务体系与全流程项目交付能力，氯碱业务现已覆盖海外27个国家，累计交付成套装置45套，海外项目可实现15%以上利润率；“十四五”期间新增拓展7个海外国家市场，业务遍及东南亚、印度、中东非洲、拉美，能够为客户提供成套装备、改造升级、备件运维一体化全生命周期解决方案。北化机“十五五”将在各区域精准施策：东南亚重点攻坚印尼市场，推动订单逐年增长；印度立足约12%现有市占率，重点推进标杆项目落地；欧洲以捷克、匈牙利打造样板，以维修改造、小型撬装装备作为市场突破口。</w:t>
            </w:r>
          </w:p>
          <w:p w14:paraId="00D1835E">
            <w:pPr>
              <w:pStyle w:val="7"/>
              <w:spacing w:line="460" w:lineRule="exact"/>
              <w:ind w:left="413" w:firstLine="0" w:firstLineChars="0"/>
              <w:rPr>
                <w:rFonts w:ascii="宋体" w:hAnsi="宋体"/>
                <w:sz w:val="24"/>
                <w:szCs w:val="24"/>
              </w:rPr>
            </w:pPr>
            <w:r>
              <w:rPr>
                <w:rFonts w:ascii="宋体" w:hAnsi="宋体"/>
                <w:b/>
                <w:sz w:val="24"/>
                <w:szCs w:val="24"/>
              </w:rPr>
              <w:t>5</w:t>
            </w:r>
            <w:r>
              <w:rPr>
                <w:rFonts w:hint="eastAsia" w:ascii="宋体" w:hAnsi="宋体"/>
                <w:b/>
                <w:sz w:val="24"/>
                <w:szCs w:val="24"/>
              </w:rPr>
              <w:t>、作为集团装备平台，中长期有无后续资产整合计划？</w:t>
            </w:r>
          </w:p>
          <w:p w14:paraId="4970F597">
            <w:pPr>
              <w:pStyle w:val="7"/>
              <w:spacing w:line="460" w:lineRule="exact"/>
              <w:ind w:left="-2" w:leftChars="-1" w:firstLine="480"/>
              <w:rPr>
                <w:rFonts w:ascii="宋体" w:hAnsi="宋体"/>
                <w:sz w:val="24"/>
                <w:szCs w:val="24"/>
              </w:rPr>
            </w:pPr>
            <w:r>
              <w:rPr>
                <w:rFonts w:hint="eastAsia" w:ascii="宋体" w:hAnsi="宋体"/>
                <w:sz w:val="24"/>
                <w:szCs w:val="24"/>
              </w:rPr>
              <w:t>目前除已承诺的与上市公司橡机业务存在潜在同业竞争的桂林橡机（目前已托管给上市公司）外，暂无其他资产整合计划。</w:t>
            </w:r>
          </w:p>
          <w:p w14:paraId="52728F28">
            <w:pPr>
              <w:pStyle w:val="7"/>
              <w:spacing w:line="460" w:lineRule="exact"/>
              <w:ind w:left="-2" w:leftChars="-1" w:firstLine="482"/>
              <w:rPr>
                <w:rFonts w:ascii="宋体" w:hAnsi="宋体"/>
                <w:b/>
                <w:sz w:val="24"/>
                <w:szCs w:val="24"/>
              </w:rPr>
            </w:pPr>
            <w:r>
              <w:rPr>
                <w:rFonts w:hint="eastAsia" w:ascii="宋体" w:hAnsi="宋体"/>
                <w:b/>
                <w:sz w:val="24"/>
                <w:szCs w:val="24"/>
              </w:rPr>
              <w:t>6、公司重大资产重组项目是否还有其他审批程序的障碍？</w:t>
            </w:r>
          </w:p>
          <w:p w14:paraId="24315B8B">
            <w:pPr>
              <w:pStyle w:val="7"/>
              <w:spacing w:line="460" w:lineRule="exact"/>
              <w:ind w:left="-2" w:leftChars="-1" w:firstLine="480"/>
              <w:rPr>
                <w:rFonts w:ascii="宋体" w:hAnsi="宋体"/>
                <w:bCs/>
                <w:iCs/>
                <w:color w:val="000000"/>
                <w:sz w:val="24"/>
              </w:rPr>
            </w:pPr>
            <w:r>
              <w:rPr>
                <w:rFonts w:hint="eastAsia" w:ascii="宋体" w:hAnsi="宋体"/>
                <w:sz w:val="24"/>
                <w:szCs w:val="24"/>
              </w:rPr>
              <w:t>公司本次重大资产重组截至目前已经完成所需履行的决策和审批程序，不存在其他尚需履行的决策和审批程序。</w:t>
            </w:r>
          </w:p>
        </w:tc>
      </w:tr>
      <w:tr w14:paraId="062A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32E902A5">
            <w:pPr>
              <w:spacing w:line="420" w:lineRule="exact"/>
              <w:rPr>
                <w:bCs/>
                <w:iCs/>
                <w:color w:val="000000"/>
                <w:kern w:val="0"/>
                <w:sz w:val="24"/>
              </w:rPr>
            </w:pPr>
            <w:r>
              <w:rPr>
                <w:rFonts w:hAnsi="宋体"/>
                <w:bCs/>
                <w:iCs/>
                <w:color w:val="000000"/>
                <w:kern w:val="0"/>
                <w:sz w:val="24"/>
              </w:rPr>
              <w:t>附件清单（如有）</w:t>
            </w:r>
          </w:p>
        </w:tc>
        <w:tc>
          <w:tcPr>
            <w:tcW w:w="6847" w:type="dxa"/>
            <w:tcBorders>
              <w:top w:val="single" w:color="auto" w:sz="4" w:space="0"/>
              <w:left w:val="single" w:color="auto" w:sz="4" w:space="0"/>
              <w:bottom w:val="single" w:color="auto" w:sz="4" w:space="0"/>
              <w:right w:val="single" w:color="auto" w:sz="4" w:space="0"/>
            </w:tcBorders>
          </w:tcPr>
          <w:p w14:paraId="30173A73">
            <w:pPr>
              <w:spacing w:line="420" w:lineRule="exact"/>
              <w:rPr>
                <w:bCs/>
                <w:iCs/>
                <w:color w:val="000000"/>
                <w:sz w:val="24"/>
              </w:rPr>
            </w:pPr>
          </w:p>
        </w:tc>
      </w:tr>
      <w:tr w14:paraId="728D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19CE8F1E">
            <w:pPr>
              <w:spacing w:line="420" w:lineRule="exact"/>
              <w:rPr>
                <w:bCs/>
                <w:iCs/>
                <w:color w:val="000000"/>
                <w:kern w:val="0"/>
                <w:sz w:val="24"/>
              </w:rPr>
            </w:pPr>
            <w:r>
              <w:rPr>
                <w:rFonts w:hAnsi="宋体"/>
                <w:bCs/>
                <w:iCs/>
                <w:color w:val="000000"/>
                <w:kern w:val="0"/>
                <w:sz w:val="24"/>
              </w:rPr>
              <w:t>日期</w:t>
            </w:r>
          </w:p>
        </w:tc>
        <w:tc>
          <w:tcPr>
            <w:tcW w:w="6847" w:type="dxa"/>
            <w:tcBorders>
              <w:top w:val="single" w:color="auto" w:sz="4" w:space="0"/>
              <w:left w:val="single" w:color="auto" w:sz="4" w:space="0"/>
              <w:bottom w:val="single" w:color="auto" w:sz="4" w:space="0"/>
              <w:right w:val="single" w:color="auto" w:sz="4" w:space="0"/>
            </w:tcBorders>
          </w:tcPr>
          <w:p w14:paraId="24552C32">
            <w:pPr>
              <w:spacing w:line="420" w:lineRule="exact"/>
              <w:rPr>
                <w:bCs/>
                <w:iCs/>
                <w:color w:val="000000"/>
                <w:sz w:val="24"/>
                <w:highlight w:val="yellow"/>
              </w:rPr>
            </w:pPr>
          </w:p>
        </w:tc>
      </w:tr>
    </w:tbl>
    <w:p w14:paraId="2EEE694D"/>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471E5">
    <w:pPr>
      <w:pStyle w:val="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94D74">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00012399"/>
    <w:rsid w:val="000242CA"/>
    <w:rsid w:val="000268C0"/>
    <w:rsid w:val="000274E5"/>
    <w:rsid w:val="000363B5"/>
    <w:rsid w:val="000375D7"/>
    <w:rsid w:val="00043015"/>
    <w:rsid w:val="00046DDE"/>
    <w:rsid w:val="00047EB9"/>
    <w:rsid w:val="00060A74"/>
    <w:rsid w:val="00067110"/>
    <w:rsid w:val="0009298A"/>
    <w:rsid w:val="000A2808"/>
    <w:rsid w:val="000A3BAC"/>
    <w:rsid w:val="000C26FD"/>
    <w:rsid w:val="000C2D85"/>
    <w:rsid w:val="000C3009"/>
    <w:rsid w:val="000D24E1"/>
    <w:rsid w:val="000E5700"/>
    <w:rsid w:val="000F0C4B"/>
    <w:rsid w:val="000F0E22"/>
    <w:rsid w:val="00105A04"/>
    <w:rsid w:val="00114FB6"/>
    <w:rsid w:val="001169A9"/>
    <w:rsid w:val="00125EB2"/>
    <w:rsid w:val="00142A4C"/>
    <w:rsid w:val="00144279"/>
    <w:rsid w:val="001452FF"/>
    <w:rsid w:val="0016617A"/>
    <w:rsid w:val="00167E99"/>
    <w:rsid w:val="00173B2E"/>
    <w:rsid w:val="001975AB"/>
    <w:rsid w:val="001A00F5"/>
    <w:rsid w:val="001A0C8D"/>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1614"/>
    <w:rsid w:val="002A589B"/>
    <w:rsid w:val="002B1184"/>
    <w:rsid w:val="002B71B8"/>
    <w:rsid w:val="002B7469"/>
    <w:rsid w:val="002C22C6"/>
    <w:rsid w:val="002C6568"/>
    <w:rsid w:val="002C723B"/>
    <w:rsid w:val="002D39BC"/>
    <w:rsid w:val="002E1B15"/>
    <w:rsid w:val="002E1D3A"/>
    <w:rsid w:val="002E7D2D"/>
    <w:rsid w:val="003005F0"/>
    <w:rsid w:val="003030BF"/>
    <w:rsid w:val="00304F89"/>
    <w:rsid w:val="00306023"/>
    <w:rsid w:val="00317FF2"/>
    <w:rsid w:val="00327D5D"/>
    <w:rsid w:val="00337189"/>
    <w:rsid w:val="00344914"/>
    <w:rsid w:val="00346917"/>
    <w:rsid w:val="00350A52"/>
    <w:rsid w:val="00354A7B"/>
    <w:rsid w:val="00360FDA"/>
    <w:rsid w:val="00363075"/>
    <w:rsid w:val="00367D18"/>
    <w:rsid w:val="00372A1C"/>
    <w:rsid w:val="00373DE3"/>
    <w:rsid w:val="0037435A"/>
    <w:rsid w:val="00377D8F"/>
    <w:rsid w:val="00383679"/>
    <w:rsid w:val="003A1E68"/>
    <w:rsid w:val="003A38F6"/>
    <w:rsid w:val="003A443A"/>
    <w:rsid w:val="003B0122"/>
    <w:rsid w:val="003B0BE5"/>
    <w:rsid w:val="003B6A6E"/>
    <w:rsid w:val="003C3C8B"/>
    <w:rsid w:val="003D18F1"/>
    <w:rsid w:val="003E001E"/>
    <w:rsid w:val="003F1518"/>
    <w:rsid w:val="003F7C4D"/>
    <w:rsid w:val="0040075F"/>
    <w:rsid w:val="00403300"/>
    <w:rsid w:val="0040649F"/>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0291"/>
    <w:rsid w:val="004C19BF"/>
    <w:rsid w:val="004D6CA6"/>
    <w:rsid w:val="004D7640"/>
    <w:rsid w:val="004E06A1"/>
    <w:rsid w:val="004E1A9B"/>
    <w:rsid w:val="00500AB6"/>
    <w:rsid w:val="005155FB"/>
    <w:rsid w:val="00523452"/>
    <w:rsid w:val="00523907"/>
    <w:rsid w:val="00537C53"/>
    <w:rsid w:val="00541F26"/>
    <w:rsid w:val="00542DE6"/>
    <w:rsid w:val="005438F5"/>
    <w:rsid w:val="00544901"/>
    <w:rsid w:val="005474D3"/>
    <w:rsid w:val="00550527"/>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150FA"/>
    <w:rsid w:val="006167B9"/>
    <w:rsid w:val="00622F13"/>
    <w:rsid w:val="00625503"/>
    <w:rsid w:val="0062662D"/>
    <w:rsid w:val="00632E78"/>
    <w:rsid w:val="006344F1"/>
    <w:rsid w:val="00634B52"/>
    <w:rsid w:val="00637186"/>
    <w:rsid w:val="006427ED"/>
    <w:rsid w:val="00646DF4"/>
    <w:rsid w:val="00651DE6"/>
    <w:rsid w:val="006523BB"/>
    <w:rsid w:val="0065347E"/>
    <w:rsid w:val="00654B49"/>
    <w:rsid w:val="006555F0"/>
    <w:rsid w:val="00662505"/>
    <w:rsid w:val="0066674C"/>
    <w:rsid w:val="006760F7"/>
    <w:rsid w:val="006861C7"/>
    <w:rsid w:val="00686DDF"/>
    <w:rsid w:val="00691551"/>
    <w:rsid w:val="00697B12"/>
    <w:rsid w:val="006A55BB"/>
    <w:rsid w:val="006A7613"/>
    <w:rsid w:val="006B661A"/>
    <w:rsid w:val="006B7D00"/>
    <w:rsid w:val="006C6BC5"/>
    <w:rsid w:val="006D61A2"/>
    <w:rsid w:val="006D7F8F"/>
    <w:rsid w:val="006E1DB4"/>
    <w:rsid w:val="00711774"/>
    <w:rsid w:val="0074163C"/>
    <w:rsid w:val="00753DB6"/>
    <w:rsid w:val="00763847"/>
    <w:rsid w:val="00771FE3"/>
    <w:rsid w:val="00776957"/>
    <w:rsid w:val="00776BDE"/>
    <w:rsid w:val="00786870"/>
    <w:rsid w:val="00792237"/>
    <w:rsid w:val="0079272A"/>
    <w:rsid w:val="00794BFF"/>
    <w:rsid w:val="00796234"/>
    <w:rsid w:val="007A1DA9"/>
    <w:rsid w:val="007B2252"/>
    <w:rsid w:val="007B79D9"/>
    <w:rsid w:val="007C67B1"/>
    <w:rsid w:val="007E354A"/>
    <w:rsid w:val="007E69C8"/>
    <w:rsid w:val="0080525B"/>
    <w:rsid w:val="008062C5"/>
    <w:rsid w:val="0080741A"/>
    <w:rsid w:val="00814B5B"/>
    <w:rsid w:val="00831F1A"/>
    <w:rsid w:val="00836F34"/>
    <w:rsid w:val="00843E73"/>
    <w:rsid w:val="00844EBF"/>
    <w:rsid w:val="00854F61"/>
    <w:rsid w:val="00864202"/>
    <w:rsid w:val="00873B59"/>
    <w:rsid w:val="0087701F"/>
    <w:rsid w:val="0089283D"/>
    <w:rsid w:val="008A0ADC"/>
    <w:rsid w:val="008A1BAB"/>
    <w:rsid w:val="008B38B7"/>
    <w:rsid w:val="008B458E"/>
    <w:rsid w:val="008B6479"/>
    <w:rsid w:val="008C4D4A"/>
    <w:rsid w:val="008E11AE"/>
    <w:rsid w:val="008E1708"/>
    <w:rsid w:val="008E4844"/>
    <w:rsid w:val="008F2683"/>
    <w:rsid w:val="00904492"/>
    <w:rsid w:val="00904DFB"/>
    <w:rsid w:val="0091457B"/>
    <w:rsid w:val="00915EFF"/>
    <w:rsid w:val="00923763"/>
    <w:rsid w:val="00930ED6"/>
    <w:rsid w:val="0093293F"/>
    <w:rsid w:val="00933105"/>
    <w:rsid w:val="009374C9"/>
    <w:rsid w:val="009474EF"/>
    <w:rsid w:val="00962575"/>
    <w:rsid w:val="00962626"/>
    <w:rsid w:val="009755F7"/>
    <w:rsid w:val="009767DD"/>
    <w:rsid w:val="00977AF2"/>
    <w:rsid w:val="00985FC5"/>
    <w:rsid w:val="00993BDD"/>
    <w:rsid w:val="009A6DFB"/>
    <w:rsid w:val="009B6EC0"/>
    <w:rsid w:val="009C7FAF"/>
    <w:rsid w:val="009D24D2"/>
    <w:rsid w:val="009D4199"/>
    <w:rsid w:val="009D6C8A"/>
    <w:rsid w:val="009E5E6A"/>
    <w:rsid w:val="009F0DD5"/>
    <w:rsid w:val="009F1B95"/>
    <w:rsid w:val="009F6C05"/>
    <w:rsid w:val="00A06044"/>
    <w:rsid w:val="00A13CB6"/>
    <w:rsid w:val="00A14A1A"/>
    <w:rsid w:val="00A22CDD"/>
    <w:rsid w:val="00A25AEE"/>
    <w:rsid w:val="00A31EB1"/>
    <w:rsid w:val="00A33AEA"/>
    <w:rsid w:val="00A3400D"/>
    <w:rsid w:val="00A461CD"/>
    <w:rsid w:val="00A469C5"/>
    <w:rsid w:val="00A5317D"/>
    <w:rsid w:val="00A6284E"/>
    <w:rsid w:val="00A63E81"/>
    <w:rsid w:val="00A8775A"/>
    <w:rsid w:val="00AA5998"/>
    <w:rsid w:val="00AA5F36"/>
    <w:rsid w:val="00AB07E7"/>
    <w:rsid w:val="00AD1BA8"/>
    <w:rsid w:val="00B02A29"/>
    <w:rsid w:val="00B03522"/>
    <w:rsid w:val="00B04AD6"/>
    <w:rsid w:val="00B14CAA"/>
    <w:rsid w:val="00B257CE"/>
    <w:rsid w:val="00B4746C"/>
    <w:rsid w:val="00B56393"/>
    <w:rsid w:val="00B65354"/>
    <w:rsid w:val="00B67F9F"/>
    <w:rsid w:val="00B71A0E"/>
    <w:rsid w:val="00B81765"/>
    <w:rsid w:val="00B832F5"/>
    <w:rsid w:val="00B836C9"/>
    <w:rsid w:val="00BA2FAB"/>
    <w:rsid w:val="00BB5E28"/>
    <w:rsid w:val="00BD15F3"/>
    <w:rsid w:val="00BD7986"/>
    <w:rsid w:val="00BD79D3"/>
    <w:rsid w:val="00C04F82"/>
    <w:rsid w:val="00C15AC0"/>
    <w:rsid w:val="00C26030"/>
    <w:rsid w:val="00C2700E"/>
    <w:rsid w:val="00C41091"/>
    <w:rsid w:val="00C63056"/>
    <w:rsid w:val="00C656A7"/>
    <w:rsid w:val="00C661D1"/>
    <w:rsid w:val="00C775BA"/>
    <w:rsid w:val="00C85331"/>
    <w:rsid w:val="00C85A50"/>
    <w:rsid w:val="00C86EEE"/>
    <w:rsid w:val="00C94D46"/>
    <w:rsid w:val="00CA443A"/>
    <w:rsid w:val="00CB2461"/>
    <w:rsid w:val="00CB37FD"/>
    <w:rsid w:val="00CC4D65"/>
    <w:rsid w:val="00CC61E7"/>
    <w:rsid w:val="00CD25AD"/>
    <w:rsid w:val="00CD3FFC"/>
    <w:rsid w:val="00CF565C"/>
    <w:rsid w:val="00D016A3"/>
    <w:rsid w:val="00D512E3"/>
    <w:rsid w:val="00D602C9"/>
    <w:rsid w:val="00D66C7A"/>
    <w:rsid w:val="00D75ABC"/>
    <w:rsid w:val="00DA26A9"/>
    <w:rsid w:val="00DB01FF"/>
    <w:rsid w:val="00DC7778"/>
    <w:rsid w:val="00DE7391"/>
    <w:rsid w:val="00DF2DB5"/>
    <w:rsid w:val="00DF6560"/>
    <w:rsid w:val="00E04CC0"/>
    <w:rsid w:val="00E136FF"/>
    <w:rsid w:val="00E200B0"/>
    <w:rsid w:val="00E32528"/>
    <w:rsid w:val="00E35F26"/>
    <w:rsid w:val="00E53165"/>
    <w:rsid w:val="00E61EF7"/>
    <w:rsid w:val="00E663B4"/>
    <w:rsid w:val="00E80CEB"/>
    <w:rsid w:val="00EA5103"/>
    <w:rsid w:val="00EA6FB9"/>
    <w:rsid w:val="00EB5E6A"/>
    <w:rsid w:val="00EC2AD7"/>
    <w:rsid w:val="00EC3602"/>
    <w:rsid w:val="00ED3959"/>
    <w:rsid w:val="00ED4603"/>
    <w:rsid w:val="00ED7DE0"/>
    <w:rsid w:val="00EE7891"/>
    <w:rsid w:val="00EF49FE"/>
    <w:rsid w:val="00EF5341"/>
    <w:rsid w:val="00F04908"/>
    <w:rsid w:val="00F07C21"/>
    <w:rsid w:val="00F12EF6"/>
    <w:rsid w:val="00F21065"/>
    <w:rsid w:val="00F24CB4"/>
    <w:rsid w:val="00F43465"/>
    <w:rsid w:val="00F45475"/>
    <w:rsid w:val="00F52DF5"/>
    <w:rsid w:val="00F64D3C"/>
    <w:rsid w:val="00F64E72"/>
    <w:rsid w:val="00F672A6"/>
    <w:rsid w:val="00F70C7D"/>
    <w:rsid w:val="00F9272E"/>
    <w:rsid w:val="00F97743"/>
    <w:rsid w:val="00FA0BB1"/>
    <w:rsid w:val="00FA6DAF"/>
    <w:rsid w:val="00FC6884"/>
    <w:rsid w:val="00FD5A15"/>
    <w:rsid w:val="00FE62F3"/>
    <w:rsid w:val="00FF71D2"/>
    <w:rsid w:val="03BC0170"/>
    <w:rsid w:val="078F7471"/>
    <w:rsid w:val="0B75349A"/>
    <w:rsid w:val="0E634331"/>
    <w:rsid w:val="0F464F8F"/>
    <w:rsid w:val="0FD76BB1"/>
    <w:rsid w:val="164E15A7"/>
    <w:rsid w:val="1B2418A5"/>
    <w:rsid w:val="1C8E1FE6"/>
    <w:rsid w:val="1FBFC074"/>
    <w:rsid w:val="26551DB6"/>
    <w:rsid w:val="28322CBF"/>
    <w:rsid w:val="31CE2B57"/>
    <w:rsid w:val="325D76E6"/>
    <w:rsid w:val="36FB9E1F"/>
    <w:rsid w:val="379F74E1"/>
    <w:rsid w:val="3BFA3B96"/>
    <w:rsid w:val="3CEF3472"/>
    <w:rsid w:val="3E684E98"/>
    <w:rsid w:val="3EFF16E9"/>
    <w:rsid w:val="409171B5"/>
    <w:rsid w:val="441160DB"/>
    <w:rsid w:val="47C44B0B"/>
    <w:rsid w:val="48DF51BF"/>
    <w:rsid w:val="4D9B0761"/>
    <w:rsid w:val="4DCD177B"/>
    <w:rsid w:val="4E176E25"/>
    <w:rsid w:val="4E7066D5"/>
    <w:rsid w:val="51C3392B"/>
    <w:rsid w:val="52A255D1"/>
    <w:rsid w:val="53093646"/>
    <w:rsid w:val="56C768FF"/>
    <w:rsid w:val="59CD2ECD"/>
    <w:rsid w:val="62C013A7"/>
    <w:rsid w:val="668266E0"/>
    <w:rsid w:val="6E0A67CC"/>
    <w:rsid w:val="71824086"/>
    <w:rsid w:val="77CF73AC"/>
    <w:rsid w:val="78FF0116"/>
    <w:rsid w:val="79AD6F2C"/>
    <w:rsid w:val="7A3171C5"/>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customStyle="1" w:styleId="7">
    <w:name w:val="_Style 6"/>
    <w:basedOn w:val="1"/>
    <w:qFormat/>
    <w:uiPriority w:val="34"/>
    <w:pPr>
      <w:ind w:firstLine="420" w:firstLineChars="200"/>
    </w:pPr>
    <w:rPr>
      <w:rFonts w:ascii="Calibri" w:hAnsi="Calibri"/>
      <w:szCs w:val="22"/>
    </w:rPr>
  </w:style>
  <w:style w:type="paragraph" w:customStyle="1" w:styleId="8">
    <w:name w:val="Char Char Char"/>
    <w:basedOn w:val="1"/>
    <w:qFormat/>
    <w:uiPriority w:val="0"/>
    <w:rPr>
      <w:szCs w:val="21"/>
    </w:rPr>
  </w:style>
  <w:style w:type="paragraph" w:customStyle="1" w:styleId="9">
    <w:name w:val="Char Char Char Char Char Char Char Char Char Char Char Char Char Char Char Char"/>
    <w:basedOn w:val="1"/>
    <w:qFormat/>
    <w:uiPriority w:val="0"/>
  </w:style>
  <w:style w:type="paragraph" w:customStyle="1" w:styleId="10">
    <w:name w:val="Char Char Char1"/>
    <w:basedOn w:val="1"/>
    <w:qFormat/>
    <w:uiPriority w:val="0"/>
  </w:style>
  <w:style w:type="character" w:customStyle="1" w:styleId="11">
    <w:name w:val="页脚 字符"/>
    <w:basedOn w:val="6"/>
    <w:link w:val="2"/>
    <w:qFormat/>
    <w:uiPriority w:val="0"/>
    <w:rPr>
      <w:kern w:val="2"/>
      <w:sz w:val="18"/>
      <w:szCs w:val="18"/>
    </w:rPr>
  </w:style>
  <w:style w:type="character" w:customStyle="1" w:styleId="12">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909</Words>
  <Characters>5185</Characters>
  <Lines>43</Lines>
  <Paragraphs>12</Paragraphs>
  <TotalTime>336</TotalTime>
  <ScaleCrop>false</ScaleCrop>
  <LinksUpToDate>false</LinksUpToDate>
  <CharactersWithSpaces>6082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2026-09-02T01:51:00Z</dcterms:created>
  <dc:creator>微软用户</dc:creator>
  <cp:lastModifiedBy>薛娇</cp:lastModifiedBy>
  <cp:lastPrinted>2014-02-21T05:34:00Z</cp:lastPrinted>
  <dcterms:modified xsi:type="dcterms:W3CDTF">2026-09-07T03:40:02Z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5067482B510848F68AE0948025B58BBF_13</vt:lpwstr>
  </property>
  <property fmtid="{D5CDD505-2E9C-101B-9397-08002B2CF9AE}" pid="4" name="KSOTemplateDocerSaveRecord">
    <vt:lpwstr>eyJoZGlkIjoiMzEwNTM5NzYwMDRjMzkwZTVkZjY2ODkwMGIxNGU0OTUiLCJ1c2VySWQiOiI4NjIyNzQzOTQifQ==</vt:lpwstr>
  </property>
</Properties>
</file>