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E0068" w14:textId="77777777" w:rsidR="00A60FEF" w:rsidRDefault="00BC50A8">
      <w:pPr>
        <w:adjustRightInd w:val="0"/>
        <w:snapToGrid w:val="0"/>
        <w:spacing w:afterLines="50" w:after="156" w:line="520" w:lineRule="exact"/>
        <w:jc w:val="left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证券代码：6</w:t>
      </w:r>
      <w:r>
        <w:rPr>
          <w:rFonts w:ascii="楷体" w:eastAsia="楷体" w:hAnsi="楷体"/>
          <w:sz w:val="24"/>
        </w:rPr>
        <w:t xml:space="preserve">00968   </w:t>
      </w:r>
      <w:r>
        <w:rPr>
          <w:rFonts w:ascii="楷体" w:eastAsia="楷体" w:hAnsi="楷体" w:hint="eastAsia"/>
          <w:sz w:val="24"/>
        </w:rPr>
        <w:t xml:space="preserve">                              证券简称：海油发展 </w:t>
      </w:r>
      <w:r>
        <w:rPr>
          <w:rFonts w:ascii="楷体" w:eastAsia="楷体" w:hAnsi="楷体"/>
          <w:sz w:val="24"/>
        </w:rPr>
        <w:t xml:space="preserve"> </w:t>
      </w:r>
    </w:p>
    <w:p w14:paraId="15B84283" w14:textId="77777777" w:rsidR="00A60FEF" w:rsidRDefault="00BC50A8">
      <w:pPr>
        <w:spacing w:line="480" w:lineRule="exact"/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中海油能源发展股份有限公司</w:t>
      </w:r>
    </w:p>
    <w:p w14:paraId="4761F73D" w14:textId="77777777" w:rsidR="00A60FEF" w:rsidRDefault="00BC50A8">
      <w:pPr>
        <w:spacing w:line="480" w:lineRule="exact"/>
        <w:jc w:val="center"/>
        <w:outlineLvl w:val="0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投资者关系活动记录表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7397"/>
      </w:tblGrid>
      <w:tr w:rsidR="00A60FEF" w14:paraId="55B72159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B550" w14:textId="77777777" w:rsidR="00A60FEF" w:rsidRDefault="00BC50A8">
            <w:pPr>
              <w:spacing w:line="400" w:lineRule="exact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投资者关系活动类别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D438" w14:textId="77777777" w:rsidR="00A60FEF" w:rsidRDefault="00BC50A8">
            <w:pPr>
              <w:spacing w:line="400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□特定对象调研</w:t>
            </w:r>
            <w:r>
              <w:rPr>
                <w:rFonts w:ascii="Arial" w:hAnsi="Arial" w:hint="eastAsia"/>
                <w:bCs/>
                <w:sz w:val="24"/>
              </w:rPr>
              <w:t xml:space="preserve"> </w:t>
            </w:r>
            <w:r>
              <w:rPr>
                <w:rFonts w:ascii="Arial" w:hAnsi="Arial" w:hint="eastAsia"/>
                <w:bCs/>
                <w:sz w:val="24"/>
              </w:rPr>
              <w:sym w:font="Wingdings 2" w:char="00A3"/>
            </w:r>
            <w:r>
              <w:rPr>
                <w:rFonts w:ascii="Arial" w:hAnsi="Arial" w:hint="eastAsia"/>
                <w:bCs/>
                <w:sz w:val="24"/>
              </w:rPr>
              <w:t>分析师会议</w:t>
            </w:r>
          </w:p>
          <w:p w14:paraId="68FAE4CE" w14:textId="77777777" w:rsidR="00A60FEF" w:rsidRDefault="00BC50A8">
            <w:pPr>
              <w:spacing w:line="400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□媒体采访</w:t>
            </w:r>
            <w:r>
              <w:rPr>
                <w:rFonts w:ascii="Arial" w:hAnsi="Arial" w:hint="eastAsia"/>
                <w:bCs/>
                <w:sz w:val="24"/>
              </w:rPr>
              <w:t xml:space="preserve"> </w:t>
            </w:r>
            <w:r>
              <w:rPr>
                <w:rFonts w:ascii="Arial" w:hAnsi="Arial"/>
                <w:bCs/>
                <w:sz w:val="24"/>
              </w:rPr>
              <w:t xml:space="preserve">   </w:t>
            </w:r>
            <w:r>
              <w:rPr>
                <w:rFonts w:ascii="Arial" w:hAnsi="Arial" w:hint="eastAsia"/>
                <w:bCs/>
                <w:sz w:val="24"/>
              </w:rPr>
              <w:t xml:space="preserve"> </w:t>
            </w:r>
            <w:r>
              <w:rPr>
                <w:rFonts w:ascii="Arial" w:hAnsi="Arial" w:hint="eastAsia"/>
                <w:bCs/>
                <w:sz w:val="24"/>
              </w:rPr>
              <w:sym w:font="Wingdings 2" w:char="0052"/>
            </w:r>
            <w:r>
              <w:rPr>
                <w:rFonts w:ascii="Arial" w:hAnsi="Arial" w:hint="eastAsia"/>
                <w:bCs/>
                <w:sz w:val="24"/>
              </w:rPr>
              <w:t>业绩说明会</w:t>
            </w:r>
          </w:p>
          <w:p w14:paraId="4CD117CE" w14:textId="77777777" w:rsidR="00A60FEF" w:rsidRDefault="00BC50A8">
            <w:pPr>
              <w:spacing w:line="400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□新闻发布会</w:t>
            </w:r>
            <w:r>
              <w:rPr>
                <w:rFonts w:ascii="Arial" w:hAnsi="Arial" w:hint="eastAsia"/>
                <w:bCs/>
                <w:sz w:val="24"/>
              </w:rPr>
              <w:t xml:space="preserve"> </w:t>
            </w:r>
            <w:r>
              <w:rPr>
                <w:rFonts w:ascii="Arial" w:hAnsi="Arial"/>
                <w:bCs/>
                <w:sz w:val="24"/>
              </w:rPr>
              <w:t xml:space="preserve">  </w:t>
            </w:r>
            <w:r>
              <w:rPr>
                <w:rFonts w:ascii="Arial" w:hAnsi="Arial" w:hint="eastAsia"/>
                <w:bCs/>
                <w:sz w:val="24"/>
              </w:rPr>
              <w:t>□路演活动</w:t>
            </w:r>
          </w:p>
          <w:p w14:paraId="202387C4" w14:textId="77777777" w:rsidR="00A60FEF" w:rsidRDefault="00BC50A8">
            <w:pPr>
              <w:spacing w:line="400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□现场参观</w:t>
            </w:r>
          </w:p>
          <w:p w14:paraId="27AC9D60" w14:textId="77777777" w:rsidR="00A60FEF" w:rsidRDefault="00BC50A8">
            <w:pPr>
              <w:spacing w:line="400" w:lineRule="exact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□其他（</w:t>
            </w:r>
            <w:proofErr w:type="gramStart"/>
            <w:r>
              <w:rPr>
                <w:rFonts w:ascii="Arial" w:hAnsi="Arial" w:hint="eastAsia"/>
                <w:bCs/>
                <w:sz w:val="24"/>
              </w:rPr>
              <w:t>请文字</w:t>
            </w:r>
            <w:proofErr w:type="gramEnd"/>
            <w:r>
              <w:rPr>
                <w:rFonts w:ascii="Arial" w:hAnsi="Arial" w:hint="eastAsia"/>
                <w:bCs/>
                <w:sz w:val="24"/>
              </w:rPr>
              <w:t>说明其他活动内容）</w:t>
            </w:r>
          </w:p>
        </w:tc>
      </w:tr>
      <w:tr w:rsidR="00A60FEF" w14:paraId="3DB294C2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2AC4" w14:textId="77777777" w:rsidR="00A60FEF" w:rsidRDefault="00BC50A8">
            <w:pPr>
              <w:spacing w:line="360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时间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E06E" w14:textId="77777777" w:rsidR="00A60FEF" w:rsidRDefault="00BC50A8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CC5B7F">
              <w:rPr>
                <w:rFonts w:ascii="Times New Roman" w:hAnsi="Times New Roman"/>
                <w:sz w:val="24"/>
              </w:rPr>
              <w:t>2026</w:t>
            </w:r>
            <w:r w:rsidRPr="00CC5B7F">
              <w:rPr>
                <w:rFonts w:ascii="Times New Roman" w:hAnsi="Times New Roman"/>
                <w:sz w:val="24"/>
              </w:rPr>
              <w:t>年</w:t>
            </w:r>
            <w:r w:rsidRPr="00CC5B7F">
              <w:rPr>
                <w:rFonts w:ascii="Times New Roman" w:hAnsi="Times New Roman"/>
                <w:sz w:val="24"/>
              </w:rPr>
              <w:t>9</w:t>
            </w:r>
            <w:r w:rsidRPr="00CC5B7F">
              <w:rPr>
                <w:rFonts w:ascii="Times New Roman" w:hAnsi="Times New Roman" w:hint="eastAsia"/>
                <w:sz w:val="24"/>
              </w:rPr>
              <w:t>月</w:t>
            </w:r>
            <w:r w:rsidRPr="00CC5B7F">
              <w:rPr>
                <w:rFonts w:ascii="Times New Roman" w:hAnsi="Times New Roman"/>
                <w:sz w:val="24"/>
              </w:rPr>
              <w:t>4</w:t>
            </w:r>
            <w:r w:rsidRPr="00CC5B7F">
              <w:rPr>
                <w:rFonts w:ascii="Times New Roman" w:hAnsi="Times New Roman"/>
                <w:sz w:val="24"/>
              </w:rPr>
              <w:t>日</w:t>
            </w:r>
            <w:r w:rsidRPr="00CC5B7F">
              <w:rPr>
                <w:rFonts w:ascii="Times New Roman" w:hAnsi="Times New Roman" w:hint="eastAsia"/>
                <w:sz w:val="24"/>
              </w:rPr>
              <w:t>15:00-16:00</w:t>
            </w:r>
          </w:p>
        </w:tc>
      </w:tr>
      <w:tr w:rsidR="00A60FEF" w14:paraId="499EBB68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761F" w14:textId="77777777" w:rsidR="00A60FEF" w:rsidRDefault="00BC50A8">
            <w:pPr>
              <w:spacing w:line="360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地点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ED9D" w14:textId="77777777" w:rsidR="00A60FEF" w:rsidRDefault="00BC50A8">
            <w:pPr>
              <w:spacing w:line="44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进门财经</w:t>
            </w:r>
          </w:p>
        </w:tc>
      </w:tr>
      <w:tr w:rsidR="00A60FEF" w14:paraId="6FA20954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E6F1" w14:textId="77777777" w:rsidR="00A60FEF" w:rsidRDefault="00BC50A8">
            <w:pPr>
              <w:spacing w:line="276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上市公司接待人员姓名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455"/>
              <w:gridCol w:w="5726"/>
            </w:tblGrid>
            <w:tr w:rsidR="00A60FEF" w14:paraId="04C46018" w14:textId="77777777">
              <w:trPr>
                <w:trHeight w:val="285"/>
              </w:trPr>
              <w:tc>
                <w:tcPr>
                  <w:tcW w:w="1013" w:type="pct"/>
                  <w:shd w:val="clear" w:color="auto" w:fill="auto"/>
                  <w:noWrap/>
                  <w:vAlign w:val="bottom"/>
                </w:tcPr>
                <w:p w14:paraId="7E377C33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周天育</w:t>
                  </w:r>
                </w:p>
              </w:tc>
              <w:tc>
                <w:tcPr>
                  <w:tcW w:w="3986" w:type="pct"/>
                  <w:shd w:val="clear" w:color="auto" w:fill="auto"/>
                  <w:noWrap/>
                  <w:vAlign w:val="center"/>
                </w:tcPr>
                <w:p w14:paraId="03E2F4C8" w14:textId="3A5F5B81" w:rsidR="00A60FEF" w:rsidRDefault="00073A1D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董事长</w:t>
                  </w:r>
                </w:p>
              </w:tc>
            </w:tr>
            <w:tr w:rsidR="00A60FEF" w14:paraId="08872920" w14:textId="77777777">
              <w:trPr>
                <w:trHeight w:val="285"/>
              </w:trPr>
              <w:tc>
                <w:tcPr>
                  <w:tcW w:w="1013" w:type="pct"/>
                  <w:shd w:val="clear" w:color="auto" w:fill="auto"/>
                  <w:noWrap/>
                  <w:vAlign w:val="bottom"/>
                </w:tcPr>
                <w:p w14:paraId="77E7B039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proofErr w:type="gramStart"/>
                  <w:r>
                    <w:rPr>
                      <w:rFonts w:ascii="Arial" w:hAnsi="Arial" w:cs="Arial" w:hint="eastAsia"/>
                      <w:sz w:val="24"/>
                    </w:rPr>
                    <w:t>王月永</w:t>
                  </w:r>
                  <w:proofErr w:type="gramEnd"/>
                </w:p>
              </w:tc>
              <w:tc>
                <w:tcPr>
                  <w:tcW w:w="3986" w:type="pct"/>
                  <w:shd w:val="clear" w:color="auto" w:fill="auto"/>
                  <w:noWrap/>
                  <w:vAlign w:val="center"/>
                </w:tcPr>
                <w:p w14:paraId="6139708A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独立董事</w:t>
                  </w:r>
                </w:p>
              </w:tc>
            </w:tr>
            <w:tr w:rsidR="00A60FEF" w14:paraId="1868E575" w14:textId="77777777">
              <w:trPr>
                <w:trHeight w:val="285"/>
              </w:trPr>
              <w:tc>
                <w:tcPr>
                  <w:tcW w:w="1013" w:type="pct"/>
                  <w:shd w:val="clear" w:color="auto" w:fill="auto"/>
                  <w:noWrap/>
                  <w:vAlign w:val="bottom"/>
                </w:tcPr>
                <w:p w14:paraId="68F5EB0A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proofErr w:type="gramStart"/>
                  <w:r>
                    <w:rPr>
                      <w:rFonts w:ascii="Arial" w:hAnsi="Arial" w:cs="Arial" w:hint="eastAsia"/>
                      <w:sz w:val="24"/>
                    </w:rPr>
                    <w:t>种晓洁</w:t>
                  </w:r>
                  <w:proofErr w:type="gramEnd"/>
                </w:p>
              </w:tc>
              <w:tc>
                <w:tcPr>
                  <w:tcW w:w="3986" w:type="pct"/>
                  <w:shd w:val="clear" w:color="auto" w:fill="auto"/>
                  <w:noWrap/>
                  <w:vAlign w:val="center"/>
                </w:tcPr>
                <w:p w14:paraId="675CBEA6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财务总监</w:t>
                  </w:r>
                </w:p>
              </w:tc>
            </w:tr>
            <w:tr w:rsidR="00A60FEF" w14:paraId="6BDF45DD" w14:textId="77777777">
              <w:trPr>
                <w:trHeight w:val="285"/>
              </w:trPr>
              <w:tc>
                <w:tcPr>
                  <w:tcW w:w="1013" w:type="pct"/>
                  <w:shd w:val="clear" w:color="auto" w:fill="auto"/>
                  <w:noWrap/>
                  <w:vAlign w:val="bottom"/>
                </w:tcPr>
                <w:p w14:paraId="2D6D09D6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肖德斌</w:t>
                  </w:r>
                </w:p>
              </w:tc>
              <w:tc>
                <w:tcPr>
                  <w:tcW w:w="3986" w:type="pct"/>
                  <w:shd w:val="clear" w:color="auto" w:fill="auto"/>
                  <w:noWrap/>
                  <w:vAlign w:val="center"/>
                </w:tcPr>
                <w:p w14:paraId="6502D5FE" w14:textId="77777777" w:rsidR="00A60FEF" w:rsidRDefault="00BC50A8">
                  <w:pPr>
                    <w:spacing w:line="276" w:lineRule="auto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 w:hint="eastAsia"/>
                      <w:sz w:val="24"/>
                    </w:rPr>
                    <w:t>董事会秘书、总法律顾问</w:t>
                  </w:r>
                </w:p>
              </w:tc>
            </w:tr>
          </w:tbl>
          <w:p w14:paraId="583944B0" w14:textId="77777777" w:rsidR="00A60FEF" w:rsidRDefault="00A60FEF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</w:tc>
      </w:tr>
      <w:tr w:rsidR="00A60FEF" w14:paraId="42B786CB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FFD" w14:textId="77777777" w:rsidR="00A60FEF" w:rsidRDefault="00BC50A8">
            <w:pPr>
              <w:spacing w:line="360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投资者关系活动主要内容介绍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7D5E" w14:textId="7746299E" w:rsidR="00A60FEF" w:rsidRDefault="00BC50A8">
            <w:r>
              <w:rPr>
                <w:rFonts w:hint="eastAsia"/>
              </w:rPr>
              <w:t>Q1</w:t>
            </w:r>
            <w:r>
              <w:rPr>
                <w:rFonts w:hint="eastAsia"/>
              </w:rPr>
              <w:t>：</w:t>
            </w:r>
            <w:proofErr w:type="gramStart"/>
            <w:r>
              <w:rPr>
                <w:rFonts w:hint="eastAsia"/>
              </w:rPr>
              <w:t>国家发改委</w:t>
            </w:r>
            <w:proofErr w:type="gramEnd"/>
            <w:r>
              <w:rPr>
                <w:rFonts w:hint="eastAsia"/>
              </w:rPr>
              <w:t>《石油天然气发展“十五五”规划》中提出，要实施海洋油气再提升工程，推动海洋油气产量当量达亿吨级规模。请问公司“十五五”期间在深水油气开发、老油田提高采收率方面，有哪些重点技术与产品布局？</w:t>
            </w:r>
          </w:p>
          <w:p w14:paraId="3A90034C" w14:textId="59B796B8" w:rsidR="00A60FEF" w:rsidRDefault="00BC50A8">
            <w:r>
              <w:rPr>
                <w:rFonts w:hint="eastAsia"/>
              </w:rPr>
              <w:t>A</w:t>
            </w:r>
            <w:r>
              <w:t>1</w:t>
            </w:r>
            <w:r>
              <w:rPr>
                <w:rFonts w:hint="eastAsia"/>
              </w:rPr>
              <w:t>：《石油天然气发展“十五五”规划》提出要锚</w:t>
            </w:r>
            <w:proofErr w:type="gramStart"/>
            <w:r>
              <w:rPr>
                <w:rFonts w:hint="eastAsia"/>
              </w:rPr>
              <w:t>定保障</w:t>
            </w:r>
            <w:proofErr w:type="gramEnd"/>
            <w:r>
              <w:rPr>
                <w:rFonts w:hint="eastAsia"/>
              </w:rPr>
              <w:t>能源安全和绿色低碳发展两大任务。公司在“十五五”期间将持续加大资源投入规模，致力于提升“技术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装备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产品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服务”核心竞争力，强化核心技术产品自主可控。在深水油气开发方面，重点提升在深水、深层、大位移井等典型复杂场景下的工程技术支撑能力，系统推进钻井技术、智能井筒技术、井筒保障技术等关键领域的技术布局；在老油田提高采收率方面，主要从稳油控水和三次采油两大方向发力。针对不同海域的特点、难点，在完井防砂、智能注采、人工举升等方面开展研究，布局“高效智能整体调驱”“油井反向复合调堵驱”“复合堵控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防砂一体化”等关键核心技术，全面支撑海上油田老区的高效挖潜与可持续开发。</w:t>
            </w:r>
          </w:p>
          <w:p w14:paraId="1796C93D" w14:textId="77777777" w:rsidR="00A60FEF" w:rsidRDefault="00A60FEF">
            <w:pPr>
              <w:pStyle w:val="a0"/>
            </w:pPr>
          </w:p>
          <w:p w14:paraId="714CD172" w14:textId="77777777" w:rsidR="00A60FEF" w:rsidRDefault="00BC50A8">
            <w:r>
              <w:rPr>
                <w:rFonts w:hint="eastAsia"/>
              </w:rPr>
              <w:t>Q</w:t>
            </w:r>
            <w:r>
              <w:t>2</w:t>
            </w:r>
            <w:r>
              <w:rPr>
                <w:rFonts w:hint="eastAsia"/>
              </w:rPr>
              <w:t>：上半年公司研发费用达</w:t>
            </w:r>
            <w:r>
              <w:rPr>
                <w:rFonts w:hint="eastAsia"/>
              </w:rPr>
              <w:t>6.38</w:t>
            </w:r>
            <w:r>
              <w:rPr>
                <w:rFonts w:hint="eastAsia"/>
              </w:rPr>
              <w:t>亿元，同比大幅增长</w:t>
            </w:r>
            <w:r>
              <w:rPr>
                <w:rFonts w:hint="eastAsia"/>
              </w:rPr>
              <w:t>47.75%</w:t>
            </w:r>
            <w:r>
              <w:rPr>
                <w:rFonts w:hint="eastAsia"/>
              </w:rPr>
              <w:t>。请问研发费用增长是时间性结算差异导致，还是公司科研投入策略有所改变？报告</w:t>
            </w:r>
            <w:proofErr w:type="gramStart"/>
            <w:r>
              <w:rPr>
                <w:rFonts w:hint="eastAsia"/>
              </w:rPr>
              <w:t>期科研</w:t>
            </w:r>
            <w:proofErr w:type="gramEnd"/>
            <w:r>
              <w:rPr>
                <w:rFonts w:hint="eastAsia"/>
              </w:rPr>
              <w:t>投入的重点领域有哪些？</w:t>
            </w:r>
          </w:p>
          <w:p w14:paraId="09691E37" w14:textId="48EB6FFF" w:rsidR="00A60FEF" w:rsidRDefault="00BC50A8">
            <w:r>
              <w:rPr>
                <w:rFonts w:hint="eastAsia"/>
              </w:rPr>
              <w:t>A</w:t>
            </w:r>
            <w:r>
              <w:t>2</w:t>
            </w:r>
            <w:r>
              <w:rPr>
                <w:rFonts w:hint="eastAsia"/>
              </w:rPr>
              <w:t>：上半年，公司研发费用同比增加</w:t>
            </w:r>
            <w:r>
              <w:rPr>
                <w:rFonts w:hint="eastAsia"/>
              </w:rPr>
              <w:t>2.06</w:t>
            </w:r>
            <w:r>
              <w:rPr>
                <w:rFonts w:hint="eastAsia"/>
              </w:rPr>
              <w:t>亿元，主要是公司主动调整科研投入策略与具体项目进度的共同作用，而非单纯的时间性结算差异。从</w:t>
            </w:r>
            <w:r>
              <w:rPr>
                <w:rFonts w:hint="eastAsia"/>
              </w:rPr>
              <w:t>2025</w:t>
            </w:r>
            <w:r>
              <w:rPr>
                <w:rFonts w:hint="eastAsia"/>
              </w:rPr>
              <w:t>年开始，公司围绕“海洋能源资源融合开发”和“十五五”产业规划核心任务，深入贯彻国家科技创新战略，优化资源配置，推动核心技术攻关，伴随着一系列重点科研项目进入实施期，研发费用相应增加。在投入方向上，公司构建了“传统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战新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未来”的立体化研发体系，在巩固传统产业、加快发展战新产业、前瞻布局未来产业方面上重点投入，为公司长远发展储备技术势能。</w:t>
            </w:r>
          </w:p>
          <w:p w14:paraId="326A6E4C" w14:textId="77777777" w:rsidR="00A60FEF" w:rsidRDefault="00A60FEF"/>
          <w:p w14:paraId="158CDCC4" w14:textId="77777777" w:rsidR="00A60FEF" w:rsidRDefault="00BC50A8">
            <w:r>
              <w:lastRenderedPageBreak/>
              <w:t>Q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年上半年，全球原油市场持续波动，公司收入、利润虽实现双增，但增速明显放缓，请问公司如何保障未来的盈利水平？</w:t>
            </w:r>
            <w:r>
              <w:t xml:space="preserve"> </w:t>
            </w:r>
          </w:p>
          <w:p w14:paraId="0C2B14E0" w14:textId="37DBD0B5" w:rsidR="00A60FEF" w:rsidRDefault="00BC50A8">
            <w:r>
              <w:rPr>
                <w:rFonts w:hint="eastAsia"/>
              </w:rPr>
              <w:t>A</w:t>
            </w:r>
            <w:r>
              <w:t>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年上半年，公司综合毛利率为</w:t>
            </w:r>
            <w:r>
              <w:rPr>
                <w:rFonts w:hint="eastAsia"/>
              </w:rPr>
              <w:t>15.56%</w:t>
            </w:r>
            <w:r>
              <w:rPr>
                <w:rFonts w:hint="eastAsia"/>
              </w:rPr>
              <w:t>，同比提升</w:t>
            </w:r>
            <w:r>
              <w:rPr>
                <w:rFonts w:hint="eastAsia"/>
              </w:rPr>
              <w:t>0.23</w:t>
            </w:r>
            <w:r>
              <w:rPr>
                <w:rFonts w:hint="eastAsia"/>
              </w:rPr>
              <w:t>个百分点，虽然收入与利润的增速放缓，但发展质量与韧性进一步得以增强。未来，公司将从三个方面出发，以自身发展的确定性来应对市场的不确定。一是持续加强核心能力建设。围绕“十五五”产业规划提高采收率、水下生产关键装备研发制造、绿色低碳与高端新材料、海洋经济等核心任务发力，持续提升专业技术自主化能力。二是坚持打造核心拳头产品。公司构建了以“海龙主品牌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特色品牌”为架构的“海龙”产品品牌体系，核心产品丰富多元，品牌知名度和市场美誉度持续攀升。三是坚定</w:t>
            </w:r>
            <w:proofErr w:type="gramStart"/>
            <w:r>
              <w:rPr>
                <w:rFonts w:hint="eastAsia"/>
              </w:rPr>
              <w:t>践行</w:t>
            </w:r>
            <w:proofErr w:type="gramEnd"/>
            <w:r>
              <w:rPr>
                <w:rFonts w:hint="eastAsia"/>
              </w:rPr>
              <w:t>成本领先战略。将“一切成本皆可降”的理念深植于运营管理各环节，建立资源要素</w:t>
            </w:r>
            <w:proofErr w:type="gramStart"/>
            <w:r>
              <w:rPr>
                <w:rFonts w:hint="eastAsia"/>
              </w:rPr>
              <w:t>型成本管</w:t>
            </w:r>
            <w:proofErr w:type="gramEnd"/>
            <w:r>
              <w:rPr>
                <w:rFonts w:hint="eastAsia"/>
              </w:rPr>
              <w:t>控体系，实现从</w:t>
            </w:r>
            <w:proofErr w:type="gramStart"/>
            <w:r>
              <w:rPr>
                <w:rFonts w:hint="eastAsia"/>
              </w:rPr>
              <w:t>管费用</w:t>
            </w:r>
            <w:proofErr w:type="gramEnd"/>
            <w:r>
              <w:rPr>
                <w:rFonts w:hint="eastAsia"/>
              </w:rPr>
              <w:t>向管资源转变、从管结果向管过程转变、从管业务向管效率转变，持续推进工作广度和深度。</w:t>
            </w:r>
          </w:p>
          <w:p w14:paraId="4D08F0BB" w14:textId="77777777" w:rsidR="00A60FEF" w:rsidRDefault="00A60FEF"/>
          <w:p w14:paraId="1506225C" w14:textId="77777777" w:rsidR="00A60FEF" w:rsidRDefault="00BC50A8">
            <w:r>
              <w:t>Q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：公司一方面要布局新质生产力、加大研发和新兴产业资本投入，另一方面市场也期待更高分红回报。请问管理层如何平衡资本开支、研发投入与分红之间的关系，是否会结合公司现金流情况，动态优化分红比例？</w:t>
            </w:r>
          </w:p>
          <w:p w14:paraId="12F73D03" w14:textId="43EB3543" w:rsidR="00A60FEF" w:rsidRDefault="00BC50A8">
            <w:r>
              <w:rPr>
                <w:rFonts w:hint="eastAsia"/>
              </w:rPr>
              <w:t>A</w:t>
            </w:r>
            <w:r>
              <w:t>4</w:t>
            </w:r>
            <w:r>
              <w:rPr>
                <w:rFonts w:hint="eastAsia"/>
              </w:rPr>
              <w:t>：公司始终坚持长期发展与股东回报并重，科学统筹研发资本投入、产业布局与现金分红三者关系。一方面，适度加大研发与新兴产业投入，聚焦海洋能源主业升级、绿色低碳等赛道培育新质生产力。另一方面，始终秉持稳健、可持续的分红政策，把稳定分红作为回馈投资者的重要举措，近年来公司保持每股现金股利、分红比率稳定增长。公司将统筹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判，拟定分红安排，在保障稳健发展和创新的同时，维持合理分红比例，让投资者持续共享公司发展红利。</w:t>
            </w:r>
          </w:p>
          <w:p w14:paraId="522F6833" w14:textId="77777777" w:rsidR="00A60FEF" w:rsidRDefault="00A60FEF"/>
          <w:p w14:paraId="6678FD7D" w14:textId="77777777" w:rsidR="00A60FEF" w:rsidRDefault="00BC50A8">
            <w:r>
              <w:rPr>
                <w:rFonts w:hint="eastAsia"/>
              </w:rPr>
              <w:t>Q5</w:t>
            </w:r>
            <w:r>
              <w:rPr>
                <w:rFonts w:hint="eastAsia"/>
              </w:rPr>
              <w:t>：公司上半年经营活动产生的现金流量净额为</w:t>
            </w:r>
            <w:r>
              <w:rPr>
                <w:rFonts w:hint="eastAsia"/>
              </w:rPr>
              <w:t>-25</w:t>
            </w:r>
            <w:r>
              <w:rPr>
                <w:rFonts w:hint="eastAsia"/>
              </w:rPr>
              <w:t>亿元，较上年同期净流出规模大幅扩大。请问经营现金流承压的主要原因是什么？下半年公司在改善现金流、加快回款方面有哪些具体安排？</w:t>
            </w:r>
          </w:p>
          <w:p w14:paraId="7C7A4C5E" w14:textId="745FBD75" w:rsidR="00A60FEF" w:rsidRDefault="00BC50A8">
            <w:r>
              <w:rPr>
                <w:rFonts w:hint="eastAsia"/>
              </w:rPr>
              <w:t>A</w:t>
            </w:r>
            <w:r>
              <w:t>5</w:t>
            </w:r>
            <w:r>
              <w:rPr>
                <w:rFonts w:hint="eastAsia"/>
              </w:rPr>
              <w:t>：上半年，公司经营现金流阶段性净流出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亿元、规模同比扩大，属于行业季节性结算节奏导致的阶段性收支错配，公司整体盈利稳健、资金储备充足，流动性安全可控。本期现金流承压核心原因是部分业务处于结算期，回款同比阶段性减少，而经营采购付款、运营支出月度相对刚性和平稳。下半年，公司将现金流管控作为经营重点，提升回款效率。</w:t>
            </w:r>
          </w:p>
          <w:p w14:paraId="1DBD224D" w14:textId="77777777" w:rsidR="00A60FEF" w:rsidRDefault="00A60FEF"/>
          <w:p w14:paraId="070C16B8" w14:textId="17F42AE4" w:rsidR="00A60FEF" w:rsidRDefault="00BC50A8">
            <w:r>
              <w:t>Q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：国家层面大力发展海洋能源领域新质生产力，公司已</w:t>
            </w:r>
            <w:proofErr w:type="gramStart"/>
            <w:r>
              <w:rPr>
                <w:rFonts w:hint="eastAsia"/>
              </w:rPr>
              <w:t>明确六</w:t>
            </w:r>
            <w:proofErr w:type="gramEnd"/>
            <w:r>
              <w:rPr>
                <w:rFonts w:hint="eastAsia"/>
              </w:rPr>
              <w:t>大战新产业布局。请问</w:t>
            </w:r>
            <w:r>
              <w:rPr>
                <w:rFonts w:hint="eastAsia"/>
              </w:rPr>
              <w:t>2026</w:t>
            </w:r>
            <w:r>
              <w:rPr>
                <w:rFonts w:hint="eastAsia"/>
              </w:rPr>
              <w:t>年上半年公司战略新兴产业整体发展情况？对于新材料、数字智能等新质生产力相关业务，公司内部如何避免研发投入只出技术、难以转化为业绩？</w:t>
            </w:r>
          </w:p>
          <w:p w14:paraId="49DE499F" w14:textId="7D7279A3" w:rsidR="00A60FEF" w:rsidRDefault="00BC50A8">
            <w:r>
              <w:t>A6</w:t>
            </w:r>
            <w:r>
              <w:rPr>
                <w:rFonts w:hint="eastAsia"/>
              </w:rPr>
              <w:t>：近年来，公司着力培育壮大战略性新兴产业，聚力六大战新赛道，战新产业已成为拉动公司经营增长的核心动力。为切实提升公司科技成果质量，公司已建立科技战略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判机制，多角度对公司的科技项目开展前置管理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判。同时，畅通科技成果转化通道，让更多自主创新成果从“实验室”走向“生产线”、从“样品”变成“产品”，让研发投入转化为实实在在的经营业绩。</w:t>
            </w:r>
          </w:p>
          <w:p w14:paraId="4E53111D" w14:textId="77777777" w:rsidR="00A60FEF" w:rsidRDefault="00A60FEF"/>
          <w:p w14:paraId="09B12382" w14:textId="77777777" w:rsidR="00A60FEF" w:rsidRDefault="00BC50A8">
            <w:r>
              <w:t>Q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：公司半年报提及“海龙”系列产品进入阿尔巴尼亚、坦桑尼亚等海外市场，</w:t>
            </w:r>
            <w:r>
              <w:rPr>
                <w:rFonts w:hint="eastAsia"/>
              </w:rPr>
              <w:lastRenderedPageBreak/>
              <w:t>海外市场实现多点突破。请问上半年公司海外业务整体发展情况如何？美伊冲突对公司海外市场有什么影响？</w:t>
            </w:r>
          </w:p>
          <w:p w14:paraId="64FCBCBF" w14:textId="7BBEE182" w:rsidR="00A60FEF" w:rsidRDefault="00BC50A8">
            <w:r>
              <w:rPr>
                <w:rFonts w:hint="eastAsia"/>
              </w:rPr>
              <w:t>A</w:t>
            </w:r>
            <w:r>
              <w:t>7</w:t>
            </w:r>
            <w:r>
              <w:rPr>
                <w:rFonts w:hint="eastAsia"/>
              </w:rPr>
              <w:t>：上半年，受中东地缘局势等外部因素影响，海外市场经营面临阶段压力。公司积极应对，在承压环境下夯实发展基础，部分业务呈现“稳中有增”态势。美伊冲突导致中东区域业务面临短期影响，但当前在执行项目总体履约正常，未出现重大经营风险。从中长期看，局势变化为公司带来了新契机，一方面，部分国际竞争对手调整区域布局，为公司带来市场替代机会；另一方面，阿联酋等产油国产能扩张将</w:t>
            </w:r>
            <w:proofErr w:type="gramStart"/>
            <w:r>
              <w:rPr>
                <w:rFonts w:hint="eastAsia"/>
              </w:rPr>
              <w:t>释放油服增量</w:t>
            </w:r>
            <w:proofErr w:type="gramEnd"/>
            <w:r>
              <w:rPr>
                <w:rFonts w:hint="eastAsia"/>
              </w:rPr>
              <w:t>需求。公司将动态评估地缘局势，灵活应对，严控风险，积极把握结构性机会，提升国际化经营水平。</w:t>
            </w:r>
          </w:p>
          <w:p w14:paraId="227D586B" w14:textId="77777777" w:rsidR="00A60FEF" w:rsidRDefault="00A60FEF"/>
          <w:p w14:paraId="3CAD9E6E" w14:textId="77777777" w:rsidR="00A60FEF" w:rsidRDefault="00BC50A8">
            <w:r>
              <w:t>Q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：在海上</w:t>
            </w:r>
            <w:proofErr w:type="gramStart"/>
            <w:r>
              <w:rPr>
                <w:rFonts w:hint="eastAsia"/>
              </w:rPr>
              <w:t>低空经济</w:t>
            </w:r>
            <w:proofErr w:type="gramEnd"/>
            <w:r>
              <w:rPr>
                <w:rFonts w:hint="eastAsia"/>
              </w:rPr>
              <w:t>方面，公司已开拓无人机巡检、小件物资投送常态化作业等场景。后续是否向大载重海上运输、海上应急救援场景延伸，制约海上</w:t>
            </w:r>
            <w:proofErr w:type="gramStart"/>
            <w:r>
              <w:rPr>
                <w:rFonts w:hint="eastAsia"/>
              </w:rPr>
              <w:t>低空经济</w:t>
            </w:r>
            <w:proofErr w:type="gramEnd"/>
            <w:r>
              <w:rPr>
                <w:rFonts w:hint="eastAsia"/>
              </w:rPr>
              <w:t>商业化扩张的核心瓶颈是什么？</w:t>
            </w:r>
          </w:p>
          <w:p w14:paraId="2228977B" w14:textId="0727AFEE" w:rsidR="00A60FEF" w:rsidRDefault="00BC50A8">
            <w:r>
              <w:rPr>
                <w:rFonts w:hint="eastAsia"/>
              </w:rPr>
              <w:t>A</w:t>
            </w:r>
            <w:r>
              <w:t>8</w:t>
            </w:r>
            <w:r>
              <w:rPr>
                <w:rFonts w:hint="eastAsia"/>
              </w:rPr>
              <w:t>：公司海上</w:t>
            </w:r>
            <w:proofErr w:type="gramStart"/>
            <w:r>
              <w:rPr>
                <w:rFonts w:hint="eastAsia"/>
              </w:rPr>
              <w:t>低空经济</w:t>
            </w:r>
            <w:proofErr w:type="gramEnd"/>
            <w:r>
              <w:rPr>
                <w:rFonts w:hint="eastAsia"/>
              </w:rPr>
              <w:t>已落地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项场景化验证，完成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条固定空域申请与智慧低空运管平台搭建，初步形成基础场景的作业模式。公司将持续开展技术验证与场景储备，中长期将积极</w:t>
            </w:r>
            <w:proofErr w:type="gramStart"/>
            <w:r>
              <w:rPr>
                <w:rFonts w:hint="eastAsia"/>
              </w:rPr>
              <w:t>研</w:t>
            </w:r>
            <w:proofErr w:type="gramEnd"/>
            <w:r>
              <w:rPr>
                <w:rFonts w:hint="eastAsia"/>
              </w:rPr>
              <w:t>判大载重海上物资转运、海上应急救援等场景的应用机会。当前海上</w:t>
            </w:r>
            <w:proofErr w:type="gramStart"/>
            <w:r>
              <w:rPr>
                <w:rFonts w:hint="eastAsia"/>
              </w:rPr>
              <w:t>低空经济</w:t>
            </w:r>
            <w:proofErr w:type="gramEnd"/>
            <w:r>
              <w:rPr>
                <w:rFonts w:hint="eastAsia"/>
              </w:rPr>
              <w:t>商业化推进过程中，仍面临空域管理与审批难度较大、安全监管及适航体系尚未完全闭环、配套基础设施尚不完备等现实约束。公司将立足海上能源开发主业需求，稳妥开展各类试点应用。</w:t>
            </w:r>
          </w:p>
          <w:p w14:paraId="00F76D77" w14:textId="77777777" w:rsidR="00A60FEF" w:rsidRDefault="00A60FEF"/>
          <w:p w14:paraId="745BD4C3" w14:textId="77777777" w:rsidR="00A60FEF" w:rsidRDefault="00BC50A8">
            <w:r>
              <w:t>Q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：公司近年多次提到“走出去”，今年的中东地缘冲突是否会影响公司海外拓展的步伐，后续对海外业务的重点拓展区域和产品品类有哪些规划？</w:t>
            </w:r>
          </w:p>
          <w:p w14:paraId="1FEDEB85" w14:textId="189500AD" w:rsidR="00A60FEF" w:rsidRDefault="00BC50A8">
            <w:r>
              <w:rPr>
                <w:rFonts w:hint="eastAsia"/>
              </w:rPr>
              <w:t>A</w:t>
            </w:r>
            <w:r>
              <w:t>9</w:t>
            </w:r>
            <w:r>
              <w:rPr>
                <w:rFonts w:hint="eastAsia"/>
              </w:rPr>
              <w:t>：“走出去”是公司战略选择，公司将秉持长期主义，坚持“聚焦主业、强内拓外”，深化“</w:t>
            </w:r>
            <w:r>
              <w:rPr>
                <w:rFonts w:hint="eastAsia"/>
              </w:rPr>
              <w:t>4+N</w:t>
            </w:r>
            <w:r>
              <w:rPr>
                <w:rFonts w:hint="eastAsia"/>
              </w:rPr>
              <w:t>”海外布局，推行“一区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策”差异化发展策略，按照“优先发展中东亚太、稳步推进非洲北美、积极培育拉美中亚”的战略选区思路，围绕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类核心产品、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项优势技术服务分类开拓市场。</w:t>
            </w:r>
          </w:p>
          <w:p w14:paraId="73642FF6" w14:textId="77777777" w:rsidR="00A60FEF" w:rsidRDefault="00A60FEF"/>
          <w:p w14:paraId="6D00D5F5" w14:textId="77777777" w:rsidR="00A60FEF" w:rsidRDefault="00BC50A8">
            <w:r>
              <w:t>Q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：公司能源物流服务板块近年来利润保持稳定，但今年上半年该板块利润同比大幅下滑。请问具体原因是什么？公司有哪些经营策略来应对板块利润下行？</w:t>
            </w:r>
          </w:p>
          <w:p w14:paraId="53101345" w14:textId="7BA24F88" w:rsidR="00A60FEF" w:rsidRDefault="00BC50A8" w:rsidP="004731C7">
            <w:r>
              <w:rPr>
                <w:rFonts w:hint="eastAsia"/>
              </w:rPr>
              <w:t>A</w:t>
            </w:r>
            <w:r>
              <w:t>10</w:t>
            </w:r>
            <w:r>
              <w:rPr>
                <w:rFonts w:hint="eastAsia"/>
              </w:rPr>
              <w:t>：能源物流服务产业近年来持续为公司提供稳定的收益。上半年受地缘局势影响，国际油价大幅上涨，公司部分油气副产品采购价格同比抬升，同时下游需求受新能源替代冲击持续偏弱，叠加国内成品油价格调控机制约束，销售价格提升空间有限，成本端上涨压力向下传导受到明显制约</w:t>
            </w:r>
            <w:r w:rsidR="004731C7">
              <w:rPr>
                <w:rFonts w:hint="eastAsia"/>
              </w:rPr>
              <w:t>，</w:t>
            </w:r>
            <w:r>
              <w:rPr>
                <w:rFonts w:hint="eastAsia"/>
              </w:rPr>
              <w:t>购销两端走势错配、价差显著收窄。下半年，公司将从采购、市场、运营三端协同发力，推动油气副产品销售业务经营改善。</w:t>
            </w:r>
          </w:p>
        </w:tc>
      </w:tr>
      <w:tr w:rsidR="00A60FEF" w14:paraId="70A74B90" w14:textId="77777777">
        <w:trPr>
          <w:trHeight w:val="523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FFE0" w14:textId="77777777" w:rsidR="00A60FEF" w:rsidRDefault="00BC50A8">
            <w:pPr>
              <w:spacing w:line="360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lastRenderedPageBreak/>
              <w:t>附件清单（如有）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BD62" w14:textId="77777777" w:rsidR="00A60FEF" w:rsidRDefault="00A60FEF">
            <w:pPr>
              <w:spacing w:line="360" w:lineRule="auto"/>
              <w:rPr>
                <w:rFonts w:ascii="Arial" w:hAnsi="Arial"/>
                <w:bCs/>
                <w:sz w:val="24"/>
              </w:rPr>
            </w:pPr>
          </w:p>
          <w:p w14:paraId="1266AC31" w14:textId="77777777" w:rsidR="00A60FEF" w:rsidRDefault="00A60FEF">
            <w:pPr>
              <w:spacing w:line="360" w:lineRule="auto"/>
              <w:rPr>
                <w:rFonts w:ascii="Arial" w:hAnsi="Arial"/>
                <w:bCs/>
                <w:sz w:val="24"/>
              </w:rPr>
            </w:pPr>
          </w:p>
        </w:tc>
      </w:tr>
      <w:tr w:rsidR="00A60FEF" w14:paraId="0E4E5983" w14:textId="77777777"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94ED" w14:textId="77777777" w:rsidR="00A60FEF" w:rsidRDefault="00BC50A8">
            <w:pPr>
              <w:spacing w:line="360" w:lineRule="auto"/>
              <w:jc w:val="center"/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 w:hint="eastAsia"/>
                <w:bCs/>
                <w:sz w:val="24"/>
              </w:rPr>
              <w:t>备注</w:t>
            </w:r>
          </w:p>
        </w:tc>
        <w:tc>
          <w:tcPr>
            <w:tcW w:w="4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413" w14:textId="77777777" w:rsidR="00A60FEF" w:rsidRDefault="00A60FEF">
            <w:pPr>
              <w:spacing w:line="360" w:lineRule="auto"/>
              <w:rPr>
                <w:rFonts w:ascii="Arial" w:hAnsi="Arial"/>
                <w:bCs/>
                <w:sz w:val="24"/>
              </w:rPr>
            </w:pPr>
          </w:p>
          <w:p w14:paraId="7A85A98D" w14:textId="1CD20CBE" w:rsidR="004731C7" w:rsidRPr="004731C7" w:rsidRDefault="004731C7" w:rsidP="004731C7">
            <w:pPr>
              <w:pStyle w:val="a0"/>
              <w:rPr>
                <w:rFonts w:hint="eastAsia"/>
              </w:rPr>
            </w:pPr>
            <w:bookmarkStart w:id="0" w:name="_GoBack"/>
            <w:bookmarkEnd w:id="0"/>
          </w:p>
        </w:tc>
      </w:tr>
    </w:tbl>
    <w:p w14:paraId="7A92A6A5" w14:textId="77777777" w:rsidR="00A60FEF" w:rsidRDefault="00A60FEF">
      <w:pPr>
        <w:spacing w:line="360" w:lineRule="auto"/>
      </w:pPr>
    </w:p>
    <w:sectPr w:rsidR="00A60FEF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AF"/>
    <w:rsid w:val="00002C11"/>
    <w:rsid w:val="000064E8"/>
    <w:rsid w:val="00014730"/>
    <w:rsid w:val="0001671F"/>
    <w:rsid w:val="000249CF"/>
    <w:rsid w:val="000322B8"/>
    <w:rsid w:val="000514E2"/>
    <w:rsid w:val="00064957"/>
    <w:rsid w:val="0007152A"/>
    <w:rsid w:val="00073A1D"/>
    <w:rsid w:val="00092E77"/>
    <w:rsid w:val="000959C1"/>
    <w:rsid w:val="00095F49"/>
    <w:rsid w:val="000B2D26"/>
    <w:rsid w:val="000B5A0A"/>
    <w:rsid w:val="000C39CE"/>
    <w:rsid w:val="000C4415"/>
    <w:rsid w:val="000E3B6B"/>
    <w:rsid w:val="000F0D13"/>
    <w:rsid w:val="000F3391"/>
    <w:rsid w:val="00102C7B"/>
    <w:rsid w:val="001041A7"/>
    <w:rsid w:val="00120BE7"/>
    <w:rsid w:val="00131336"/>
    <w:rsid w:val="00133145"/>
    <w:rsid w:val="00133934"/>
    <w:rsid w:val="00142FE9"/>
    <w:rsid w:val="00145654"/>
    <w:rsid w:val="00145874"/>
    <w:rsid w:val="0015176B"/>
    <w:rsid w:val="00157EEB"/>
    <w:rsid w:val="001640C6"/>
    <w:rsid w:val="00166E1D"/>
    <w:rsid w:val="00172322"/>
    <w:rsid w:val="00186EC9"/>
    <w:rsid w:val="00196E68"/>
    <w:rsid w:val="001A607F"/>
    <w:rsid w:val="001B50C9"/>
    <w:rsid w:val="001B5980"/>
    <w:rsid w:val="001C03A8"/>
    <w:rsid w:val="001C3EE5"/>
    <w:rsid w:val="001C5E58"/>
    <w:rsid w:val="001C7FAB"/>
    <w:rsid w:val="001D3E98"/>
    <w:rsid w:val="001E701A"/>
    <w:rsid w:val="001F2BC6"/>
    <w:rsid w:val="001F53CD"/>
    <w:rsid w:val="00201181"/>
    <w:rsid w:val="00202DBA"/>
    <w:rsid w:val="002047E6"/>
    <w:rsid w:val="00205C9B"/>
    <w:rsid w:val="002138F3"/>
    <w:rsid w:val="00217AD1"/>
    <w:rsid w:val="002234F1"/>
    <w:rsid w:val="00225F72"/>
    <w:rsid w:val="00231B7C"/>
    <w:rsid w:val="00232F5E"/>
    <w:rsid w:val="002345F5"/>
    <w:rsid w:val="00251396"/>
    <w:rsid w:val="00262377"/>
    <w:rsid w:val="00274437"/>
    <w:rsid w:val="002917B0"/>
    <w:rsid w:val="00291A90"/>
    <w:rsid w:val="00295886"/>
    <w:rsid w:val="0029714B"/>
    <w:rsid w:val="002A2354"/>
    <w:rsid w:val="002A7C64"/>
    <w:rsid w:val="002B3178"/>
    <w:rsid w:val="002B4C51"/>
    <w:rsid w:val="002C37B7"/>
    <w:rsid w:val="002D2D15"/>
    <w:rsid w:val="002D7106"/>
    <w:rsid w:val="002D71D3"/>
    <w:rsid w:val="002F08B5"/>
    <w:rsid w:val="002F105B"/>
    <w:rsid w:val="002F1B29"/>
    <w:rsid w:val="002F5019"/>
    <w:rsid w:val="002F57FB"/>
    <w:rsid w:val="003045BD"/>
    <w:rsid w:val="00337B48"/>
    <w:rsid w:val="00360C68"/>
    <w:rsid w:val="00367873"/>
    <w:rsid w:val="00375169"/>
    <w:rsid w:val="00381350"/>
    <w:rsid w:val="0038279B"/>
    <w:rsid w:val="0038654F"/>
    <w:rsid w:val="00392023"/>
    <w:rsid w:val="00392EE5"/>
    <w:rsid w:val="003932E8"/>
    <w:rsid w:val="00396048"/>
    <w:rsid w:val="003A38F1"/>
    <w:rsid w:val="003B0A80"/>
    <w:rsid w:val="003B3AAD"/>
    <w:rsid w:val="003C2D07"/>
    <w:rsid w:val="003C3CB2"/>
    <w:rsid w:val="003C4F29"/>
    <w:rsid w:val="003D4279"/>
    <w:rsid w:val="003D4E0A"/>
    <w:rsid w:val="003E0FCB"/>
    <w:rsid w:val="003E50AE"/>
    <w:rsid w:val="003F0C6C"/>
    <w:rsid w:val="003F4646"/>
    <w:rsid w:val="003F739A"/>
    <w:rsid w:val="0040026C"/>
    <w:rsid w:val="004115C5"/>
    <w:rsid w:val="00420C25"/>
    <w:rsid w:val="00425AD3"/>
    <w:rsid w:val="004261A5"/>
    <w:rsid w:val="00456B57"/>
    <w:rsid w:val="00461F34"/>
    <w:rsid w:val="004731C7"/>
    <w:rsid w:val="00483104"/>
    <w:rsid w:val="0049287C"/>
    <w:rsid w:val="0049413B"/>
    <w:rsid w:val="004A2313"/>
    <w:rsid w:val="004A48AF"/>
    <w:rsid w:val="004A5953"/>
    <w:rsid w:val="004A5CD1"/>
    <w:rsid w:val="004B64F0"/>
    <w:rsid w:val="004B6CCB"/>
    <w:rsid w:val="004C68C2"/>
    <w:rsid w:val="004D52E3"/>
    <w:rsid w:val="004E1560"/>
    <w:rsid w:val="004E6E75"/>
    <w:rsid w:val="004E7007"/>
    <w:rsid w:val="004F6986"/>
    <w:rsid w:val="005028F2"/>
    <w:rsid w:val="00502AC1"/>
    <w:rsid w:val="00505C7F"/>
    <w:rsid w:val="00510244"/>
    <w:rsid w:val="00513939"/>
    <w:rsid w:val="00516029"/>
    <w:rsid w:val="0051704B"/>
    <w:rsid w:val="00520481"/>
    <w:rsid w:val="005306D2"/>
    <w:rsid w:val="005329E3"/>
    <w:rsid w:val="00532CAD"/>
    <w:rsid w:val="0053346B"/>
    <w:rsid w:val="00533969"/>
    <w:rsid w:val="00540D89"/>
    <w:rsid w:val="005415B8"/>
    <w:rsid w:val="005569B7"/>
    <w:rsid w:val="00576C16"/>
    <w:rsid w:val="005A45C1"/>
    <w:rsid w:val="005A675E"/>
    <w:rsid w:val="005B2535"/>
    <w:rsid w:val="005B2C08"/>
    <w:rsid w:val="005C0791"/>
    <w:rsid w:val="005E223C"/>
    <w:rsid w:val="005F7998"/>
    <w:rsid w:val="006061B0"/>
    <w:rsid w:val="00613CB3"/>
    <w:rsid w:val="00627177"/>
    <w:rsid w:val="006339AA"/>
    <w:rsid w:val="00634AD8"/>
    <w:rsid w:val="00640637"/>
    <w:rsid w:val="006408CD"/>
    <w:rsid w:val="00642E5E"/>
    <w:rsid w:val="00647EF4"/>
    <w:rsid w:val="00653D6E"/>
    <w:rsid w:val="00667668"/>
    <w:rsid w:val="00670515"/>
    <w:rsid w:val="006A29C9"/>
    <w:rsid w:val="006A672C"/>
    <w:rsid w:val="006B23BF"/>
    <w:rsid w:val="006B31D9"/>
    <w:rsid w:val="006C55E7"/>
    <w:rsid w:val="006D0D9C"/>
    <w:rsid w:val="006D497F"/>
    <w:rsid w:val="006D6A12"/>
    <w:rsid w:val="006E211A"/>
    <w:rsid w:val="006E3954"/>
    <w:rsid w:val="006E45D9"/>
    <w:rsid w:val="00700F38"/>
    <w:rsid w:val="0071285A"/>
    <w:rsid w:val="00716C8F"/>
    <w:rsid w:val="00716FBA"/>
    <w:rsid w:val="007207CB"/>
    <w:rsid w:val="007232F6"/>
    <w:rsid w:val="007378CE"/>
    <w:rsid w:val="0074245B"/>
    <w:rsid w:val="007500D3"/>
    <w:rsid w:val="00767BBE"/>
    <w:rsid w:val="00771B49"/>
    <w:rsid w:val="007740D1"/>
    <w:rsid w:val="00781232"/>
    <w:rsid w:val="0078494D"/>
    <w:rsid w:val="00791A85"/>
    <w:rsid w:val="007A4BB1"/>
    <w:rsid w:val="007B3D4E"/>
    <w:rsid w:val="007B4526"/>
    <w:rsid w:val="007B4B1C"/>
    <w:rsid w:val="007D2AA9"/>
    <w:rsid w:val="007D2DAD"/>
    <w:rsid w:val="007D6C5F"/>
    <w:rsid w:val="007F3F8D"/>
    <w:rsid w:val="007F52F9"/>
    <w:rsid w:val="00814B49"/>
    <w:rsid w:val="00820A07"/>
    <w:rsid w:val="0084183B"/>
    <w:rsid w:val="008418D3"/>
    <w:rsid w:val="00841B87"/>
    <w:rsid w:val="00842582"/>
    <w:rsid w:val="00852F42"/>
    <w:rsid w:val="00857736"/>
    <w:rsid w:val="00870774"/>
    <w:rsid w:val="00870841"/>
    <w:rsid w:val="00870E6D"/>
    <w:rsid w:val="00871A27"/>
    <w:rsid w:val="00894C66"/>
    <w:rsid w:val="008A52A1"/>
    <w:rsid w:val="008D06F1"/>
    <w:rsid w:val="008D4B14"/>
    <w:rsid w:val="008D6D3B"/>
    <w:rsid w:val="008E16D4"/>
    <w:rsid w:val="008F33BB"/>
    <w:rsid w:val="0090720B"/>
    <w:rsid w:val="00915626"/>
    <w:rsid w:val="0092052F"/>
    <w:rsid w:val="00920A70"/>
    <w:rsid w:val="00931DF2"/>
    <w:rsid w:val="00933721"/>
    <w:rsid w:val="0094094D"/>
    <w:rsid w:val="00951C25"/>
    <w:rsid w:val="00952E2F"/>
    <w:rsid w:val="00953621"/>
    <w:rsid w:val="00955BD4"/>
    <w:rsid w:val="009734F6"/>
    <w:rsid w:val="0097646C"/>
    <w:rsid w:val="00982303"/>
    <w:rsid w:val="009A0AA8"/>
    <w:rsid w:val="009A0FDB"/>
    <w:rsid w:val="009A667A"/>
    <w:rsid w:val="009A6897"/>
    <w:rsid w:val="009A7E7D"/>
    <w:rsid w:val="009B0E27"/>
    <w:rsid w:val="009D0879"/>
    <w:rsid w:val="009D50D4"/>
    <w:rsid w:val="009E0F4E"/>
    <w:rsid w:val="009F1F15"/>
    <w:rsid w:val="009F2007"/>
    <w:rsid w:val="009F4A15"/>
    <w:rsid w:val="00A016D7"/>
    <w:rsid w:val="00A0182F"/>
    <w:rsid w:val="00A01CE4"/>
    <w:rsid w:val="00A06781"/>
    <w:rsid w:val="00A2008F"/>
    <w:rsid w:val="00A24FDB"/>
    <w:rsid w:val="00A2669E"/>
    <w:rsid w:val="00A27FDB"/>
    <w:rsid w:val="00A32E27"/>
    <w:rsid w:val="00A46331"/>
    <w:rsid w:val="00A5231B"/>
    <w:rsid w:val="00A54A1D"/>
    <w:rsid w:val="00A56E13"/>
    <w:rsid w:val="00A60FEF"/>
    <w:rsid w:val="00A64E11"/>
    <w:rsid w:val="00A64EBB"/>
    <w:rsid w:val="00A65ADC"/>
    <w:rsid w:val="00A66241"/>
    <w:rsid w:val="00A7677A"/>
    <w:rsid w:val="00A80C96"/>
    <w:rsid w:val="00A9782D"/>
    <w:rsid w:val="00AA30E5"/>
    <w:rsid w:val="00AA751C"/>
    <w:rsid w:val="00AB173C"/>
    <w:rsid w:val="00AB1D47"/>
    <w:rsid w:val="00AE00F9"/>
    <w:rsid w:val="00AE6AAD"/>
    <w:rsid w:val="00AF0540"/>
    <w:rsid w:val="00B04E0C"/>
    <w:rsid w:val="00B146C4"/>
    <w:rsid w:val="00B20CD0"/>
    <w:rsid w:val="00B266A9"/>
    <w:rsid w:val="00B32FB4"/>
    <w:rsid w:val="00B34808"/>
    <w:rsid w:val="00B3577D"/>
    <w:rsid w:val="00B57DE2"/>
    <w:rsid w:val="00B61024"/>
    <w:rsid w:val="00B62DBF"/>
    <w:rsid w:val="00B63DDA"/>
    <w:rsid w:val="00B64A83"/>
    <w:rsid w:val="00B70FBF"/>
    <w:rsid w:val="00B94426"/>
    <w:rsid w:val="00BA29F6"/>
    <w:rsid w:val="00BA7FB4"/>
    <w:rsid w:val="00BB3A40"/>
    <w:rsid w:val="00BB6048"/>
    <w:rsid w:val="00BC06D0"/>
    <w:rsid w:val="00BC50A8"/>
    <w:rsid w:val="00BC7C26"/>
    <w:rsid w:val="00BD605B"/>
    <w:rsid w:val="00BE2FE9"/>
    <w:rsid w:val="00C226DC"/>
    <w:rsid w:val="00C2418C"/>
    <w:rsid w:val="00C31F14"/>
    <w:rsid w:val="00C40EA6"/>
    <w:rsid w:val="00C42181"/>
    <w:rsid w:val="00C622EA"/>
    <w:rsid w:val="00C7176C"/>
    <w:rsid w:val="00C818BD"/>
    <w:rsid w:val="00C81F5B"/>
    <w:rsid w:val="00C92834"/>
    <w:rsid w:val="00CA2C89"/>
    <w:rsid w:val="00CA3859"/>
    <w:rsid w:val="00CA689B"/>
    <w:rsid w:val="00CB0A19"/>
    <w:rsid w:val="00CB671D"/>
    <w:rsid w:val="00CC207C"/>
    <w:rsid w:val="00CC243C"/>
    <w:rsid w:val="00CC5B7F"/>
    <w:rsid w:val="00CD0EC1"/>
    <w:rsid w:val="00CE4513"/>
    <w:rsid w:val="00CE53D2"/>
    <w:rsid w:val="00CF7EB2"/>
    <w:rsid w:val="00D02FF1"/>
    <w:rsid w:val="00D04654"/>
    <w:rsid w:val="00D07FB4"/>
    <w:rsid w:val="00D12A2E"/>
    <w:rsid w:val="00D140C0"/>
    <w:rsid w:val="00D37432"/>
    <w:rsid w:val="00D459BA"/>
    <w:rsid w:val="00D46A53"/>
    <w:rsid w:val="00D6274E"/>
    <w:rsid w:val="00D6600B"/>
    <w:rsid w:val="00D67300"/>
    <w:rsid w:val="00D67AA4"/>
    <w:rsid w:val="00D72A6F"/>
    <w:rsid w:val="00D75EFF"/>
    <w:rsid w:val="00D762C1"/>
    <w:rsid w:val="00D87F10"/>
    <w:rsid w:val="00D915CA"/>
    <w:rsid w:val="00D91F02"/>
    <w:rsid w:val="00D9302B"/>
    <w:rsid w:val="00DA2171"/>
    <w:rsid w:val="00DA3392"/>
    <w:rsid w:val="00DA34B0"/>
    <w:rsid w:val="00DA6434"/>
    <w:rsid w:val="00DB0F03"/>
    <w:rsid w:val="00DB3D89"/>
    <w:rsid w:val="00DC1EC5"/>
    <w:rsid w:val="00DC26ED"/>
    <w:rsid w:val="00DD156D"/>
    <w:rsid w:val="00DD3317"/>
    <w:rsid w:val="00DE5486"/>
    <w:rsid w:val="00DF4270"/>
    <w:rsid w:val="00E1402E"/>
    <w:rsid w:val="00E2445B"/>
    <w:rsid w:val="00E26F36"/>
    <w:rsid w:val="00E27AE2"/>
    <w:rsid w:val="00E315B8"/>
    <w:rsid w:val="00E54867"/>
    <w:rsid w:val="00E6091E"/>
    <w:rsid w:val="00E65FD5"/>
    <w:rsid w:val="00E878A5"/>
    <w:rsid w:val="00E947C4"/>
    <w:rsid w:val="00EB501A"/>
    <w:rsid w:val="00EC087B"/>
    <w:rsid w:val="00EC140C"/>
    <w:rsid w:val="00EC4B5E"/>
    <w:rsid w:val="00ED2FEA"/>
    <w:rsid w:val="00ED5B82"/>
    <w:rsid w:val="00EF595C"/>
    <w:rsid w:val="00EF63B5"/>
    <w:rsid w:val="00F065EA"/>
    <w:rsid w:val="00F12982"/>
    <w:rsid w:val="00F1430F"/>
    <w:rsid w:val="00F46311"/>
    <w:rsid w:val="00F54829"/>
    <w:rsid w:val="00F55C2F"/>
    <w:rsid w:val="00F5728D"/>
    <w:rsid w:val="00F76932"/>
    <w:rsid w:val="00F804AA"/>
    <w:rsid w:val="00F8256E"/>
    <w:rsid w:val="00F828C0"/>
    <w:rsid w:val="00F84A96"/>
    <w:rsid w:val="00F91EC5"/>
    <w:rsid w:val="00F930C8"/>
    <w:rsid w:val="00F9390C"/>
    <w:rsid w:val="00F959DE"/>
    <w:rsid w:val="00FB2757"/>
    <w:rsid w:val="00FB2E13"/>
    <w:rsid w:val="00FB342A"/>
    <w:rsid w:val="00FB36AF"/>
    <w:rsid w:val="00FC1264"/>
    <w:rsid w:val="00FC388F"/>
    <w:rsid w:val="00FD7CDB"/>
    <w:rsid w:val="00FE4171"/>
    <w:rsid w:val="0130215C"/>
    <w:rsid w:val="03C52BEB"/>
    <w:rsid w:val="06DC7859"/>
    <w:rsid w:val="07F118A7"/>
    <w:rsid w:val="09780FE6"/>
    <w:rsid w:val="0E4540CF"/>
    <w:rsid w:val="108E0C2E"/>
    <w:rsid w:val="11E00E28"/>
    <w:rsid w:val="14B8165B"/>
    <w:rsid w:val="18931874"/>
    <w:rsid w:val="1AC80709"/>
    <w:rsid w:val="1CB01AE5"/>
    <w:rsid w:val="20564F67"/>
    <w:rsid w:val="22903F40"/>
    <w:rsid w:val="2428786F"/>
    <w:rsid w:val="250E6BFE"/>
    <w:rsid w:val="253C3156"/>
    <w:rsid w:val="2FC015D3"/>
    <w:rsid w:val="300F2202"/>
    <w:rsid w:val="30E8054D"/>
    <w:rsid w:val="33C01926"/>
    <w:rsid w:val="34584414"/>
    <w:rsid w:val="370D1705"/>
    <w:rsid w:val="37697DF6"/>
    <w:rsid w:val="3A696285"/>
    <w:rsid w:val="3C9E1F83"/>
    <w:rsid w:val="3FE42117"/>
    <w:rsid w:val="40190FE2"/>
    <w:rsid w:val="40516596"/>
    <w:rsid w:val="424413B5"/>
    <w:rsid w:val="430420E0"/>
    <w:rsid w:val="579266F5"/>
    <w:rsid w:val="5B6B7E52"/>
    <w:rsid w:val="5C9B4908"/>
    <w:rsid w:val="5E0D31DF"/>
    <w:rsid w:val="5E831ACF"/>
    <w:rsid w:val="5F331135"/>
    <w:rsid w:val="5FCE799C"/>
    <w:rsid w:val="60A9304C"/>
    <w:rsid w:val="60D72176"/>
    <w:rsid w:val="61727C75"/>
    <w:rsid w:val="6C4876F4"/>
    <w:rsid w:val="72724C57"/>
    <w:rsid w:val="73194621"/>
    <w:rsid w:val="73D357FF"/>
    <w:rsid w:val="73E21972"/>
    <w:rsid w:val="76901005"/>
    <w:rsid w:val="793A669D"/>
    <w:rsid w:val="799646AA"/>
    <w:rsid w:val="7AF74291"/>
    <w:rsid w:val="7DB33A51"/>
    <w:rsid w:val="7E9F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F17AE"/>
  <w15:docId w15:val="{FA0AEE14-D20C-4B10-9A37-B9128D55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1"/>
        <w:tab w:val="left" w:pos="5041"/>
        <w:tab w:val="left" w:pos="5761"/>
        <w:tab w:val="left" w:pos="6481"/>
        <w:tab w:val="left" w:pos="7201"/>
        <w:tab w:val="left" w:pos="7921"/>
      </w:tabs>
      <w:autoSpaceDE w:val="0"/>
      <w:autoSpaceDN w:val="0"/>
      <w:spacing w:after="120"/>
    </w:pPr>
  </w:style>
  <w:style w:type="paragraph" w:styleId="a4">
    <w:name w:val="Title"/>
    <w:basedOn w:val="a"/>
    <w:next w:val="a"/>
    <w:qFormat/>
    <w:pPr>
      <w:spacing w:before="240" w:after="60"/>
      <w:jc w:val="center"/>
      <w:outlineLvl w:val="0"/>
    </w:pPr>
    <w:rPr>
      <w:rFonts w:ascii="Arial" w:hAnsi="Arial"/>
      <w:b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2">
    <w:name w:val="Body Text Indent 2"/>
    <w:basedOn w:val="a"/>
    <w:qFormat/>
    <w:pPr>
      <w:ind w:left="420"/>
    </w:pPr>
    <w:rPr>
      <w:rFonts w:asciiTheme="minorHAnsi" w:eastAsiaTheme="minorEastAsia" w:hAnsiTheme="minorHAnsi" w:cstheme="minorBidi"/>
      <w:b/>
      <w:sz w:val="24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Pr>
      <w:b/>
      <w:bCs/>
    </w:rPr>
  </w:style>
  <w:style w:type="character" w:styleId="af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8">
    <w:name w:val="批注框文本 字符"/>
    <w:basedOn w:val="a1"/>
    <w:link w:val="a7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c">
    <w:name w:val="页眉 字符"/>
    <w:basedOn w:val="a1"/>
    <w:link w:val="ab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a">
    <w:name w:val="页脚 字符"/>
    <w:basedOn w:val="a1"/>
    <w:link w:val="a9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批注文字 字符"/>
    <w:basedOn w:val="a1"/>
    <w:link w:val="a5"/>
    <w:uiPriority w:val="99"/>
    <w:qFormat/>
    <w:rPr>
      <w:rFonts w:ascii="Calibri" w:eastAsia="宋体" w:hAnsi="Calibri" w:cs="Times New Roman"/>
      <w:szCs w:val="24"/>
    </w:rPr>
  </w:style>
  <w:style w:type="character" w:customStyle="1" w:styleId="ae">
    <w:name w:val="批注主题 字符"/>
    <w:basedOn w:val="a6"/>
    <w:link w:val="ad"/>
    <w:uiPriority w:val="99"/>
    <w:semiHidden/>
    <w:qFormat/>
    <w:rPr>
      <w:rFonts w:ascii="Calibri" w:eastAsia="宋体" w:hAnsi="Calibri" w:cs="Times New Roman"/>
      <w:b/>
      <w:bCs/>
      <w:szCs w:val="24"/>
    </w:rPr>
  </w:style>
  <w:style w:type="character" w:customStyle="1" w:styleId="bgchighlight-anchor">
    <w:name w:val="bgchighlight-anchor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F32D2-D142-4A1C-BBB7-4D2093C0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Zhengrong</dc:creator>
  <cp:lastModifiedBy>孙光辉</cp:lastModifiedBy>
  <cp:revision>14</cp:revision>
  <cp:lastPrinted>2021-04-22T01:41:00Z</cp:lastPrinted>
  <dcterms:created xsi:type="dcterms:W3CDTF">2026-09-01T01:48:00Z</dcterms:created>
  <dcterms:modified xsi:type="dcterms:W3CDTF">2026-09-04T02:36:00Z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3C973868594C4E26ADE0D175BAAC3A4E</vt:lpwstr>
  </property>
  <property fmtid="{D5CDD505-2E9C-101B-9397-08002B2CF9AE}" pid="4" name="KSOTemplateDocerSaveRecord">
    <vt:lpwstr>eyJoZGlkIjoiMzEwNTM5NzYwMDRjMzkwZTVkZjY2ODkwMGIxNGU0OTUiLCJ1c2VySWQiOiI0NDY0NTgyODUifQ==</vt:lpwstr>
  </property>
</Properties>
</file>