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1D19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640" w:firstLineChars="200"/>
        <w:jc w:val="center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中青旅控股股份有限公司</w:t>
      </w:r>
    </w:p>
    <w:p w14:paraId="1D12717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640" w:firstLineChars="200"/>
        <w:jc w:val="center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投资者调研会议记录</w:t>
      </w:r>
    </w:p>
    <w:p w14:paraId="5DAE190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/>
        <w:textAlignment w:val="auto"/>
        <w:rPr>
          <w:rFonts w:ascii="宋体" w:hAnsi="宋体" w:eastAsia="宋体"/>
          <w:b/>
          <w:color w:val="auto"/>
          <w:sz w:val="24"/>
        </w:rPr>
      </w:pPr>
      <w:r>
        <w:rPr>
          <w:rFonts w:hint="eastAsia" w:ascii="宋体" w:hAnsi="宋体" w:eastAsia="宋体"/>
          <w:b/>
          <w:color w:val="auto"/>
          <w:sz w:val="24"/>
        </w:rPr>
        <w:t>时  间：202</w:t>
      </w:r>
      <w:r>
        <w:rPr>
          <w:rFonts w:hint="eastAsia" w:ascii="宋体" w:hAnsi="宋体" w:eastAsia="宋体"/>
          <w:b/>
          <w:color w:val="auto"/>
          <w:sz w:val="24"/>
          <w:lang w:val="en-US" w:eastAsia="zh-CN"/>
        </w:rPr>
        <w:t>6</w:t>
      </w:r>
      <w:r>
        <w:rPr>
          <w:rFonts w:hint="eastAsia" w:ascii="宋体" w:hAnsi="宋体" w:eastAsia="宋体"/>
          <w:b/>
          <w:color w:val="auto"/>
          <w:sz w:val="24"/>
        </w:rPr>
        <w:t>年</w:t>
      </w:r>
      <w:r>
        <w:rPr>
          <w:rFonts w:hint="eastAsia" w:ascii="宋体" w:hAnsi="宋体" w:eastAsia="宋体"/>
          <w:b/>
          <w:color w:val="auto"/>
          <w:sz w:val="24"/>
          <w:lang w:val="en-US" w:eastAsia="zh-CN"/>
        </w:rPr>
        <w:t>8</w:t>
      </w:r>
      <w:r>
        <w:rPr>
          <w:rFonts w:hint="eastAsia" w:ascii="宋体" w:hAnsi="宋体" w:eastAsia="宋体"/>
          <w:b/>
          <w:color w:val="auto"/>
          <w:sz w:val="24"/>
        </w:rPr>
        <w:t>月</w:t>
      </w:r>
      <w:r>
        <w:rPr>
          <w:rFonts w:hint="eastAsia" w:ascii="宋体" w:hAnsi="宋体" w:eastAsia="宋体"/>
          <w:b/>
          <w:color w:val="auto"/>
          <w:sz w:val="24"/>
          <w:lang w:val="en-US" w:eastAsia="zh-CN"/>
        </w:rPr>
        <w:t>26</w:t>
      </w:r>
      <w:r>
        <w:rPr>
          <w:rFonts w:hint="eastAsia" w:ascii="宋体" w:hAnsi="宋体" w:eastAsia="宋体"/>
          <w:b/>
          <w:color w:val="auto"/>
          <w:sz w:val="24"/>
        </w:rPr>
        <w:t>日</w:t>
      </w:r>
      <w:r>
        <w:rPr>
          <w:rFonts w:ascii="宋体" w:hAnsi="宋体" w:eastAsia="宋体"/>
          <w:b/>
          <w:color w:val="auto"/>
          <w:sz w:val="24"/>
        </w:rPr>
        <w:br w:type="textWrapping"/>
      </w:r>
      <w:r>
        <w:rPr>
          <w:rFonts w:hint="eastAsia" w:ascii="宋体" w:hAnsi="宋体" w:eastAsia="宋体"/>
          <w:b/>
          <w:color w:val="auto"/>
          <w:sz w:val="24"/>
        </w:rPr>
        <w:t>方  式：</w:t>
      </w:r>
      <w:r>
        <w:rPr>
          <w:rFonts w:hint="eastAsia" w:ascii="宋体" w:hAnsi="宋体" w:eastAsia="宋体"/>
          <w:b/>
          <w:color w:val="auto"/>
          <w:sz w:val="24"/>
          <w:lang w:val="en-US" w:eastAsia="zh-CN"/>
        </w:rPr>
        <w:t>电话</w:t>
      </w:r>
      <w:r>
        <w:rPr>
          <w:rFonts w:hint="eastAsia" w:ascii="宋体" w:hAnsi="宋体" w:eastAsia="宋体"/>
          <w:b/>
          <w:color w:val="auto"/>
          <w:sz w:val="24"/>
        </w:rPr>
        <w:t>调研</w:t>
      </w:r>
    </w:p>
    <w:p w14:paraId="6849A9F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/>
        <w:textAlignment w:val="auto"/>
        <w:rPr>
          <w:rFonts w:hint="default" w:ascii="黑体" w:hAnsi="黑体" w:eastAsia="宋体"/>
          <w:color w:val="auto"/>
          <w:sz w:val="32"/>
          <w:szCs w:val="32"/>
          <w:lang w:val="en-US" w:eastAsia="zh-CN"/>
        </w:rPr>
      </w:pPr>
      <w:r>
        <w:rPr>
          <w:rFonts w:ascii="宋体" w:hAnsi="宋体" w:eastAsia="宋体"/>
          <w:b/>
          <w:color w:val="auto"/>
          <w:sz w:val="24"/>
        </w:rPr>
        <w:t>接待人</w:t>
      </w:r>
      <w:r>
        <w:rPr>
          <w:rFonts w:hint="eastAsia" w:ascii="宋体" w:hAnsi="宋体" w:eastAsia="宋体"/>
          <w:b/>
          <w:color w:val="auto"/>
          <w:sz w:val="24"/>
        </w:rPr>
        <w:t>：</w:t>
      </w:r>
      <w:r>
        <w:rPr>
          <w:rFonts w:ascii="宋体" w:hAnsi="宋体" w:eastAsia="宋体"/>
          <w:b/>
          <w:color w:val="auto"/>
          <w:sz w:val="24"/>
        </w:rPr>
        <w:t>董事会秘书</w:t>
      </w:r>
      <w:r>
        <w:rPr>
          <w:rFonts w:hint="eastAsia" w:ascii="宋体" w:hAnsi="宋体" w:eastAsia="宋体"/>
          <w:b/>
          <w:color w:val="auto"/>
          <w:sz w:val="24"/>
        </w:rPr>
        <w:t xml:space="preserve"> </w:t>
      </w:r>
      <w:r>
        <w:rPr>
          <w:rFonts w:hint="eastAsia" w:ascii="宋体" w:hAnsi="宋体" w:eastAsia="宋体"/>
          <w:b/>
          <w:color w:val="auto"/>
          <w:sz w:val="24"/>
          <w:lang w:val="en-US" w:eastAsia="zh-CN"/>
        </w:rPr>
        <w:t>高鹭华</w:t>
      </w:r>
    </w:p>
    <w:p w14:paraId="60E9549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/>
        <w:jc w:val="both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出  席：中信证券等</w:t>
      </w:r>
    </w:p>
    <w:p w14:paraId="121055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/>
        <w:textAlignment w:val="auto"/>
        <w:rPr>
          <w:rFonts w:hint="eastAsia" w:ascii="宋体" w:hAnsi="宋体" w:cs="宋体"/>
          <w:b/>
          <w:sz w:val="24"/>
          <w:szCs w:val="24"/>
          <w:lang w:eastAsia="zh-CN"/>
        </w:rPr>
      </w:pPr>
    </w:p>
    <w:p w14:paraId="017577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/>
        <w:textAlignment w:val="auto"/>
        <w:rPr>
          <w:rFonts w:hint="eastAsia" w:ascii="宋体" w:hAnsi="宋体" w:cs="宋体"/>
          <w:b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lang w:eastAsia="zh-CN"/>
        </w:rPr>
        <w:t>经营情况回顾：</w:t>
      </w:r>
    </w:p>
    <w:p w14:paraId="15C43C06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2026年上半年公司实现营收53.85亿元，同比增长10.68%；归母净利润2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2.93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万元，同比下降66.9%，在消费承压、天气和安全事件叠加的行业环境下实现收入正增长、盈利为正。创格IT分销业务贡献收入27.8亿元，同比增长20%以上，是营收增长的核心动力；剔除该业务后文旅主业收入约25.4亿元，与2025年同期基本持平。中青博联整合营销业务2026年上半年实现扭亏为盈；传统旅行社的入境游、国内游业务同比实现较好增长。2026年上半年财务费用同比下降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600万元。</w:t>
      </w:r>
    </w:p>
    <w:p w14:paraId="3835B71C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利润下滑核心原因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乌镇景区属于劳动密集型业务，2026年受浙江省社保严格缴纳政策影响，人力成本大幅上升。古北水镇仍处于亏损期，对整体利润造成较大影响。山水酒店受行业供给过剩、老店物业条件制约，2026年上半年持续亏损。</w:t>
      </w:r>
    </w:p>
    <w:p w14:paraId="7A171B2A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left="0" w:firstLine="482" w:firstLineChars="200"/>
        <w:textAlignment w:val="auto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乌镇景区</w:t>
      </w:r>
    </w:p>
    <w:p w14:paraId="0EF9B019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坚持收费模式，通过门票筛选客流以保障服务品质和消费体验，同时持续推出特色IP活动激发深度度假需求，2026年上半年推出了新春水陆市集、江南蚕桑香市、春日市集、茅盾诞辰130周年文学周、端午龙舟沉浸式体验等活动，联动综艺《向往的生活》打造水乡旅居旅拍线路。在游客数减少的情况下，营收和利润保持相对稳定；2026年7-8月受台风等极端天气影响，游客数和营收同比下降，但人均消费实现明显提升。收入结构优化，酒店收入占总营收的比重较2025年同期提升超过10个百分点，达到50%。酒店2026年上半年整体入住率从2025年同期的45%提升至52%，提升7个百分点；2026年二季度入住率从2025年同期的52%提升至接近60%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，90%以上的酒店入住率均实现同比提升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7CB7AF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古北水镇</w:t>
      </w:r>
    </w:p>
    <w:p w14:paraId="5F2530A9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针对引流需求在春节、部分特殊节日推出免票政策，同时深化长城、非遗文化挖掘，丰富产品供给和主题体验，2026年上半年开展了新春冰雪庙会、清明踏青、初夏奇遇漫游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、端午长城龙舟节等活动，成功举办司马台100长城越野赛，吸引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近两千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名海内外选手参赛，配套举办长城文旅专业论坛，探索体育赛事、文化传播与商务交流联动模式。2026年7-8月游客数和收入较2025年同期（2025年受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暴雨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影响关闭多日）实现好转，亏损额同比收窄。2026年上半年酒店入住率与2025年同期基本持平，当前客流量有所上升，但人均消费、二次消费仍有较大提升空间。</w:t>
      </w:r>
    </w:p>
    <w:p w14:paraId="17FAB8C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left="0" w:firstLine="482" w:firstLineChars="200"/>
        <w:textAlignment w:val="auto"/>
        <w:rPr>
          <w:rFonts w:hint="eastAsia" w:ascii="宋体" w:hAnsi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整合营销（中青博联）</w:t>
      </w:r>
    </w:p>
    <w:p w14:paraId="652426A8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2026年属于会展大年，拥有长期积累的客户基础，且深度挖掘客户需求；加强应收账款催收和账期管理。叠加世界杯等重大赛事活动带来业务增量。2026年上半年实现扭亏为盈，同时打通了多类赛事的票务代理业务。</w:t>
      </w:r>
    </w:p>
    <w:p w14:paraId="3801196D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针对会展市场分化趋势，依托旗下技术公司推出智慧会展产品，向大型会议、政府主办会议、小微轻会议输出会展服务系统及相关服务，拓展客户边界。依托会展场景拓展周边消费产品，包括消费智能眼镜、3D打印健康科普产品等轻量消费外延商品与服务。拓展场馆运营业务，已管理中国科技馆、深圳科技馆，运营情况良好；同时布局城市更新、乡村振兴类项目，如湖北黄冈东坡项目、邯郸广府古城改造项目、河南国家级示范案例蘑菇小镇项目，将作为潜在新增长点。</w:t>
      </w:r>
    </w:p>
    <w:p w14:paraId="1D3937ED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旅行社业务</w:t>
      </w:r>
    </w:p>
    <w:p w14:paraId="372343F5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2026年初受中东局势不稳定、发达国家免签政策影响，出境游、海外签证中心业务受到较大冲击；公司通过大力发展入境游、国内游对冲出境游下滑，整体营收略有下降，但利润保持基本稳定。</w:t>
      </w:r>
    </w:p>
    <w:p w14:paraId="5EF2E512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left="0" w:firstLine="482" w:firstLineChars="200"/>
        <w:textAlignment w:val="auto"/>
        <w:rPr>
          <w:rFonts w:hint="eastAsia" w:ascii="宋体" w:hAnsi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创格科技（IT分销业务）</w:t>
      </w:r>
    </w:p>
    <w:p w14:paraId="274ABFED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行业地位稳定，是公司收入和现金流的核心支撑，2026年上半年收入27.8亿元，同比增长20%以上，未来将持续为公司贡献稳定的收入和现金流。</w:t>
      </w:r>
    </w:p>
    <w:p w14:paraId="79B1BF83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360" w:lineRule="auto"/>
        <w:ind w:left="0" w:firstLine="482" w:firstLineChars="200"/>
        <w:textAlignment w:val="auto"/>
        <w:rPr>
          <w:rFonts w:hint="eastAsia" w:ascii="宋体" w:hAnsi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行业环境与公司应对策略</w:t>
      </w:r>
    </w:p>
    <w:p w14:paraId="42E3E50F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文旅市场整体呈现出行人数增长，但传统景区、旅行社业务表现不佳的特征，公司核心业务受三类冲击：一是周边同类免费、低价景区分流客流；二是游客消费习惯变化，更倾向选择免费景点、减少对传统旅行社的依赖；三是2026年以来极端天气频发，对景区经营造成不利影响。</w:t>
      </w:r>
    </w:p>
    <w:p w14:paraId="47712C2C">
      <w:pPr>
        <w:pStyle w:val="2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十五五”规划仍在修订中，未来将重点发挥文旅行业轻资产运营优势，减少重资产投资，走“轻盈发展”路线，将侧重通过产品服务、轻资产管理输出带动业务增长。持续对景区产品进行内容创新、IP打造，优化收入结构，提升人均消费。会展行业大小年与当年重大赛事、庆典活动数量高度相关，2027-2028年有奥运会等重大赛事，将带来相关营销业务机会；持续拓展场馆运营、城市更新、乡村振兴等新业务线条，对冲G端、B端传统会展需求下滑的影响。同时对盈利能力弱、贡献度低的业务进行处置，当前已启动山水酒店的挂牌转让程序，通过市场化路径推进亏损业务出清，改善报表盈利能力。</w:t>
      </w:r>
    </w:p>
    <w:p w14:paraId="3C71C92D">
      <w:pPr>
        <w:pStyle w:val="2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1B8897D">
      <w:pPr>
        <w:pStyle w:val="2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当前公司核心业务面临的市场竞争情况是否比以往更激烈？应对策略有哪些？</w:t>
      </w:r>
    </w:p>
    <w:p w14:paraId="0F7F3ED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当前文旅市场表面呈现高度复苏态势，但传统景区、旅行社等细分领域竞争确实更加激烈，乌镇、古北水镇受到周边免费景区的明显冲击。公司应对策略分为多业务线布局：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景区业务方面，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乌镇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景区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坚持收费模式以保障服务品质，持续推陈出新打造特色IP，2026年上半年推出了新春水陆市集、江南蚕桑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香市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、茅盾诞辰130周年文学周等活动，联动《向往的生活》打造水乡旅居旅拍线路，酒店收入占比较2025年同期提升超10%，占总营收比重达到50%，在游客数减少的情况下维持了营收和利润的基本稳定。古北水镇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景区在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部分特殊节日推出免票政策引流，深化长城和非遗文化挖掘，2026年上半年举办了司马台100长城越野赛、长城文旅专业论坛，2026年7-8月游客数和收入较2025年同期实现好转。整合营销业务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方面，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中青博联表现亮眼，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大项目签约数量稳步增长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，同时打通了多类赛事票务代理，未来将作为重要业务抓手。旅行社业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eastAsia="zh-CN"/>
        </w:rPr>
        <w:t>务受中东局势不稳定、发达国家免签政策冲击，出境游业务下滑，公司通过大力发展入境游和国内游对冲，营收略有下降但利润保持稳定。资产优化方面已启动低效亏损酒店业务挂牌处置，压降低效无效资产。</w:t>
      </w:r>
    </w:p>
    <w:p w14:paraId="1F9A0A4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2026年暑期乌镇游客和收入下滑的主要原因是什么？是否有新的变化趋势？</w:t>
      </w:r>
    </w:p>
    <w:p w14:paraId="7388452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乌镇暑期下滑的核心原因有两点：一是宏观经济环境影响下，游客消费习惯发生变化，更倾向于选择免费景点、减少对传统旅行社的依赖，而乌镇坚持收费定位以保障游客体验，受到一定分流影响；二是2026年极端天气较多，暑期台风等恶劣天气对客流造成了直接冲击。目前公司已推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宠客计划，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涵盖近100项优惠、免费项目让利于消费者，后续将持续探索适配新消费习惯的经营策略，发挥国有背景和市场化机制融合的优势，维持自身经营特色。</w:t>
      </w:r>
    </w:p>
    <w:p w14:paraId="4DD154A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古北水镇的价格调整是否会持续？后续扭亏还有哪些举措？</w:t>
      </w:r>
    </w:p>
    <w:p w14:paraId="72A8D40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古北水镇的免票政策只是前期引流的阶段性动作，并非长期持续性政策，景区经营的核心还是提升游客体验和二次消费能力。目前古北仍处于亏损状态，但亏损额较2025年同期收窄，客流量有所上升，但人均消费、客单价和二次消费仍有较大提升空间，后续公司将围绕吃住行游购娱全链条探索新的业态布局，进一步提升产品和服务质量，同时2026年极端天气对经营造成的不利影响有望在下半年得到缓解。</w:t>
      </w:r>
    </w:p>
    <w:p w14:paraId="51DB9A3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问题四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乌镇、古北水镇的酒店入住率和房价较2025年有什么变化趋势？</w:t>
      </w:r>
    </w:p>
    <w:p w14:paraId="70B8F3E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乌镇酒店业务表现向好，2026年上半年整体入住率从2025年同期的45%提升至52%，同比提升7个百分点；2026年二季度入住率从2025年同期的52%提升至接近60%，90%以上的酒店入住率均同比提升。运营端通过推出住客专属无限制入园、水乡清晨独享秘境等特权，针对亲子、研学、海外客群定制一站式旅居套餐，升级夜游、非遗餐饮等业态，有效拉长了游客停留周期，虽然暑期受台风影响客流有所下降，但人均消费实现明显提升，度假客群的经营策略已得到数据验证。古北水镇的酒店入住率基本与2025年同期持平。</w:t>
      </w:r>
    </w:p>
    <w:p w14:paraId="02717AF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问题五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创格科技的收入和利润增长是否具有持续性？</w:t>
      </w:r>
    </w:p>
    <w:p w14:paraId="56867F5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创格科技是公司核心收入支柱之一，2026年上半年实现收入27.8亿元，同比增长超20%，对公司利润贡献突出。目前创格作为行业内核心经销商、代理商的地位稳固，公司将持续对其提供支持，该业务将持续为公司贡献稳定的现金流和收入，具备可持续性，是公司重要的业绩支撑板块。</w:t>
      </w:r>
    </w:p>
    <w:p w14:paraId="00CFF5E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问题六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2026年会展市场整体情况是否较2025年改善？中青博联利润增长的核心原因是什么？</w:t>
      </w:r>
    </w:p>
    <w:p w14:paraId="4518E8A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2026年属于会展行业大年，有美加墨世界杯、米兰冬奥会等重大赛事活动催化，行业整体机会较2025年有所增加，但同时也面临政府预算压缩、G端业务难度提升、毛利率下降的行业共性压力，需要投入更多资源才能维持同等规模的业绩。中青博联利润增长的核心原因包括：1. 自身竞争优势突出：拥有长期积累的深厚客户基础，深度绑定客户需求，大型万人级会议业务具备较高行业壁垒；2. 业务布局多元：针对中型、小微会议需求，依托旗下技术公司研发智慧会展服务系统，拓展政府、小微客户的轻量会议服务；3. 拓展增量业务：依托会展场景开发智能眼镜、3D打印健康科普产品等周边消费类商品和服务，同时布局场馆运营新赛道，已承接中国科技馆、深圳科技馆的运营管理，运行情况良好，是未来新的增长点；4. 内部管理优化：加强应收账款催收和账期管理，提升了资金使用效率和利润表现。</w:t>
      </w:r>
    </w:p>
    <w:p w14:paraId="67A2D4D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问题七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会展行业的大小年周期是什么规律？</w:t>
      </w:r>
    </w:p>
    <w:p w14:paraId="6CCC36E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会展行业的大小年没有固定的交替规律，核心取决于当年是否有重大赛事、庆典、国家级活动等催化，比如2026年有美加墨世界杯、2028年有奥运会，对应年份的行业机会就会更多。同时行业也受宏观经济环境、政府及企业的活动预算影响，近年政府类活动、药企营销活动同比大幅下滑，对行业整体需求造成了一定冲击。除传统会展业务外，公司也在拓展场馆运营、城市更新、乡村振兴等新赛道，比如湖北黄冈东坡项目、邯郸广府古城改造、河南蘑菇小镇（已成为国家级乡村振兴示范案例），对冲行业周期波动的影响。</w:t>
      </w:r>
    </w:p>
    <w:p w14:paraId="642AF12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问题八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公司是否会从战略层面聚焦主业，处置其他低效业务？</w:t>
      </w:r>
    </w:p>
    <w:p w14:paraId="10D971E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公司会持续根据业务盈利情况和行业环境做战略取舍，聚焦文旅主业，压降低效无效资产是明确的战略方向。山水酒店由于疫情后盈利表现持续不佳，品牌优势薄弱，对报表利润贡献为负，本次挂牌转让是公司优化业务结构的重点工作。后续公司将持续筛选业务线，舍弃盈利能力不强、贡献度不高的业态，重点拓展能为公司带来积极贡献的业务。</w:t>
      </w:r>
    </w:p>
    <w:p w14:paraId="00F4525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问题九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 公司未来几年的整体资本开支计划是什么？重点投向哪些项目？</w:t>
      </w:r>
    </w:p>
    <w:p w14:paraId="3808754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公司十五五规划仍在修订中，尚未正式发布，未来资本开支不会以重资产投资为重点，核心方向是依托公司在文旅行业的轻资产运营优势，通过输出产品、服务和管理带动业务发展，减少重资产对利润的拖累。</w:t>
      </w:r>
      <w:r>
        <w:rPr>
          <w:rFonts w:hint="eastAsia" w:ascii="宋体" w:hAnsi="宋体" w:eastAsia="宋体" w:cs="宋体"/>
          <w:sz w:val="24"/>
          <w:szCs w:val="24"/>
        </w:rPr>
        <w:t>目前暂无需要公告的大型重资产投资项目。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091C6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CE0AD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74D22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B6DF7">
    <w:pPr>
      <w:pStyle w:val="1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7CE45"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3E29A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drawingGridHorizontalSpacing w:val="360"/>
  <w:drawingGridVerticalSpacing w:val="36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72A27"/>
    <w:rsid w:val="00320656"/>
    <w:rsid w:val="0041225F"/>
    <w:rsid w:val="00BC57B2"/>
    <w:rsid w:val="00DE504F"/>
    <w:rsid w:val="00E7618A"/>
    <w:rsid w:val="067D155B"/>
    <w:rsid w:val="11666A33"/>
    <w:rsid w:val="1F3C055B"/>
    <w:rsid w:val="1F642E60"/>
    <w:rsid w:val="28B6314F"/>
    <w:rsid w:val="64EB1DAA"/>
    <w:rsid w:val="7AC0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link w:val="23"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7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7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8"/>
    <w:next w:val="3"/>
    <w:qFormat/>
    <w:uiPriority w:val="0"/>
    <w:pP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uiPriority w:val="0"/>
    <w:rPr>
      <w:color w:val="4F81BD" w:themeColor="accent1"/>
    </w:rPr>
  </w:style>
  <w:style w:type="character" w:customStyle="1" w:styleId="23">
    <w:name w:val="题注 字符"/>
    <w:basedOn w:val="21"/>
    <w:link w:val="12"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qFormat/>
    <w:uiPriority w:val="0"/>
    <w:pPr>
      <w:keepNext/>
    </w:pPr>
  </w:style>
  <w:style w:type="character" w:customStyle="1" w:styleId="37">
    <w:name w:val="Verbatim Char"/>
    <w:basedOn w:val="23"/>
    <w:link w:val="38"/>
    <w:qFormat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uiPriority w:val="0"/>
    <w:pPr>
      <w:wordWrap w:val="0"/>
    </w:pPr>
  </w:style>
  <w:style w:type="character" w:customStyle="1" w:styleId="39">
    <w:name w:val="Section Number"/>
    <w:basedOn w:val="23"/>
    <w:qFormat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qFormat/>
    <w:uiPriority w:val="0"/>
    <w:rPr>
      <w:rFonts w:ascii="Consolas" w:hAnsi="Consolas"/>
      <w:b/>
      <w:color w:val="007020"/>
      <w:sz w:val="22"/>
    </w:rPr>
  </w:style>
  <w:style w:type="character" w:customStyle="1" w:styleId="42">
    <w:name w:val="DataTypeTok"/>
    <w:basedOn w:val="37"/>
    <w:uiPriority w:val="0"/>
    <w:rPr>
      <w:rFonts w:ascii="Consolas" w:hAnsi="Consolas"/>
      <w:color w:val="902000"/>
      <w:sz w:val="22"/>
    </w:rPr>
  </w:style>
  <w:style w:type="character" w:customStyle="1" w:styleId="43">
    <w:name w:val="DecValTok"/>
    <w:basedOn w:val="37"/>
    <w:uiPriority w:val="0"/>
    <w:rPr>
      <w:rFonts w:ascii="Consolas" w:hAnsi="Consolas"/>
      <w:color w:val="40A070"/>
      <w:sz w:val="22"/>
    </w:rPr>
  </w:style>
  <w:style w:type="character" w:customStyle="1" w:styleId="44">
    <w:name w:val="BaseNTok"/>
    <w:basedOn w:val="37"/>
    <w:qFormat/>
    <w:uiPriority w:val="0"/>
    <w:rPr>
      <w:rFonts w:ascii="Consolas" w:hAnsi="Consolas"/>
      <w:color w:val="40A070"/>
      <w:sz w:val="22"/>
    </w:rPr>
  </w:style>
  <w:style w:type="character" w:customStyle="1" w:styleId="45">
    <w:name w:val="FloatTok"/>
    <w:basedOn w:val="37"/>
    <w:qFormat/>
    <w:uiPriority w:val="0"/>
    <w:rPr>
      <w:rFonts w:ascii="Consolas" w:hAnsi="Consolas"/>
      <w:color w:val="40A070"/>
      <w:sz w:val="22"/>
    </w:rPr>
  </w:style>
  <w:style w:type="character" w:customStyle="1" w:styleId="46">
    <w:name w:val="ConstantTok"/>
    <w:basedOn w:val="37"/>
    <w:qFormat/>
    <w:uiPriority w:val="0"/>
    <w:rPr>
      <w:rFonts w:ascii="Consolas" w:hAnsi="Consolas"/>
      <w:color w:val="880000"/>
      <w:sz w:val="22"/>
    </w:rPr>
  </w:style>
  <w:style w:type="character" w:customStyle="1" w:styleId="47">
    <w:name w:val="CharTok"/>
    <w:basedOn w:val="37"/>
    <w:uiPriority w:val="0"/>
    <w:rPr>
      <w:rFonts w:ascii="Consolas" w:hAnsi="Consolas"/>
      <w:color w:val="4070A0"/>
      <w:sz w:val="22"/>
    </w:rPr>
  </w:style>
  <w:style w:type="character" w:customStyle="1" w:styleId="48">
    <w:name w:val="SpecialCharTok"/>
    <w:basedOn w:val="37"/>
    <w:qFormat/>
    <w:uiPriority w:val="0"/>
    <w:rPr>
      <w:rFonts w:ascii="Consolas" w:hAnsi="Consolas"/>
      <w:color w:val="4070A0"/>
      <w:sz w:val="22"/>
    </w:rPr>
  </w:style>
  <w:style w:type="character" w:customStyle="1" w:styleId="49">
    <w:name w:val="StringTok"/>
    <w:basedOn w:val="37"/>
    <w:uiPriority w:val="0"/>
    <w:rPr>
      <w:rFonts w:ascii="Consolas" w:hAnsi="Consolas"/>
      <w:color w:val="4070A0"/>
      <w:sz w:val="22"/>
    </w:rPr>
  </w:style>
  <w:style w:type="character" w:customStyle="1" w:styleId="50">
    <w:name w:val="VerbatimStringTok"/>
    <w:basedOn w:val="37"/>
    <w:qFormat/>
    <w:uiPriority w:val="0"/>
    <w:rPr>
      <w:rFonts w:ascii="Consolas" w:hAnsi="Consolas"/>
      <w:color w:val="4070A0"/>
      <w:sz w:val="22"/>
    </w:rPr>
  </w:style>
  <w:style w:type="character" w:customStyle="1" w:styleId="51">
    <w:name w:val="SpecialStringTok"/>
    <w:basedOn w:val="37"/>
    <w:qFormat/>
    <w:uiPriority w:val="0"/>
    <w:rPr>
      <w:rFonts w:ascii="Consolas" w:hAnsi="Consolas"/>
      <w:color w:val="BB6688"/>
      <w:sz w:val="22"/>
    </w:rPr>
  </w:style>
  <w:style w:type="character" w:customStyle="1" w:styleId="52">
    <w:name w:val="ImportTok"/>
    <w:basedOn w:val="37"/>
    <w:qFormat/>
    <w:uiPriority w:val="0"/>
    <w:rPr>
      <w:rFonts w:ascii="Consolas" w:hAnsi="Consolas"/>
      <w:b/>
      <w:color w:val="008000"/>
      <w:sz w:val="22"/>
    </w:rPr>
  </w:style>
  <w:style w:type="character" w:customStyle="1" w:styleId="53">
    <w:name w:val="CommentTok"/>
    <w:basedOn w:val="37"/>
    <w:qFormat/>
    <w:uiPriority w:val="0"/>
    <w:rPr>
      <w:rFonts w:ascii="Consolas" w:hAnsi="Consolas"/>
      <w:i/>
      <w:color w:val="60A0B0"/>
      <w:sz w:val="22"/>
    </w:rPr>
  </w:style>
  <w:style w:type="character" w:customStyle="1" w:styleId="54">
    <w:name w:val="DocumentationTok"/>
    <w:basedOn w:val="37"/>
    <w:uiPriority w:val="0"/>
    <w:rPr>
      <w:rFonts w:ascii="Consolas" w:hAnsi="Consolas"/>
      <w:i/>
      <w:color w:val="BA2121"/>
      <w:sz w:val="22"/>
    </w:rPr>
  </w:style>
  <w:style w:type="character" w:customStyle="1" w:styleId="55">
    <w:name w:val="AnnotationTok"/>
    <w:basedOn w:val="37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6">
    <w:name w:val="CommentVarTok"/>
    <w:basedOn w:val="37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7">
    <w:name w:val="OtherTok"/>
    <w:basedOn w:val="37"/>
    <w:qFormat/>
    <w:uiPriority w:val="0"/>
    <w:rPr>
      <w:rFonts w:ascii="Consolas" w:hAnsi="Consolas"/>
      <w:color w:val="007020"/>
      <w:sz w:val="22"/>
    </w:rPr>
  </w:style>
  <w:style w:type="character" w:customStyle="1" w:styleId="58">
    <w:name w:val="FunctionTok"/>
    <w:basedOn w:val="37"/>
    <w:qFormat/>
    <w:uiPriority w:val="0"/>
    <w:rPr>
      <w:rFonts w:ascii="Consolas" w:hAnsi="Consolas"/>
      <w:color w:val="06287E"/>
      <w:sz w:val="22"/>
    </w:rPr>
  </w:style>
  <w:style w:type="character" w:customStyle="1" w:styleId="59">
    <w:name w:val="VariableTok"/>
    <w:basedOn w:val="37"/>
    <w:qFormat/>
    <w:uiPriority w:val="0"/>
    <w:rPr>
      <w:rFonts w:ascii="Consolas" w:hAnsi="Consolas"/>
      <w:color w:val="19177C"/>
      <w:sz w:val="22"/>
    </w:rPr>
  </w:style>
  <w:style w:type="character" w:customStyle="1" w:styleId="60">
    <w:name w:val="ControlFlowTok"/>
    <w:basedOn w:val="37"/>
    <w:qFormat/>
    <w:uiPriority w:val="0"/>
    <w:rPr>
      <w:rFonts w:ascii="Consolas" w:hAnsi="Consolas"/>
      <w:b/>
      <w:color w:val="007020"/>
      <w:sz w:val="22"/>
    </w:rPr>
  </w:style>
  <w:style w:type="character" w:customStyle="1" w:styleId="61">
    <w:name w:val="OperatorTok"/>
    <w:basedOn w:val="37"/>
    <w:uiPriority w:val="0"/>
    <w:rPr>
      <w:rFonts w:ascii="Consolas" w:hAnsi="Consolas"/>
      <w:color w:val="666666"/>
      <w:sz w:val="22"/>
    </w:rPr>
  </w:style>
  <w:style w:type="character" w:customStyle="1" w:styleId="62">
    <w:name w:val="BuiltInTok"/>
    <w:basedOn w:val="37"/>
    <w:qFormat/>
    <w:uiPriority w:val="0"/>
    <w:rPr>
      <w:rFonts w:ascii="Consolas" w:hAnsi="Consolas"/>
      <w:color w:val="008000"/>
      <w:sz w:val="22"/>
    </w:rPr>
  </w:style>
  <w:style w:type="character" w:customStyle="1" w:styleId="63">
    <w:name w:val="ExtensionTok"/>
    <w:basedOn w:val="37"/>
    <w:uiPriority w:val="0"/>
    <w:rPr>
      <w:rFonts w:ascii="Consolas" w:hAnsi="Consolas"/>
      <w:sz w:val="22"/>
    </w:rPr>
  </w:style>
  <w:style w:type="character" w:customStyle="1" w:styleId="64">
    <w:name w:val="PreprocessorTok"/>
    <w:basedOn w:val="37"/>
    <w:qFormat/>
    <w:uiPriority w:val="0"/>
    <w:rPr>
      <w:rFonts w:ascii="Consolas" w:hAnsi="Consolas"/>
      <w:color w:val="BC7A00"/>
      <w:sz w:val="22"/>
    </w:rPr>
  </w:style>
  <w:style w:type="character" w:customStyle="1" w:styleId="65">
    <w:name w:val="AttributeTok"/>
    <w:basedOn w:val="37"/>
    <w:qFormat/>
    <w:uiPriority w:val="0"/>
    <w:rPr>
      <w:rFonts w:ascii="Consolas" w:hAnsi="Consolas"/>
      <w:color w:val="7D9029"/>
      <w:sz w:val="22"/>
    </w:rPr>
  </w:style>
  <w:style w:type="character" w:customStyle="1" w:styleId="66">
    <w:name w:val="RegionMarkerTok"/>
    <w:basedOn w:val="37"/>
    <w:qFormat/>
    <w:uiPriority w:val="0"/>
    <w:rPr>
      <w:rFonts w:ascii="Consolas" w:hAnsi="Consolas"/>
      <w:sz w:val="22"/>
    </w:rPr>
  </w:style>
  <w:style w:type="character" w:customStyle="1" w:styleId="67">
    <w:name w:val="InformationTok"/>
    <w:basedOn w:val="37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8">
    <w:name w:val="WarningTok"/>
    <w:basedOn w:val="37"/>
    <w:uiPriority w:val="0"/>
    <w:rPr>
      <w:rFonts w:ascii="Consolas" w:hAnsi="Consolas"/>
      <w:b/>
      <w:i/>
      <w:color w:val="60A0B0"/>
      <w:sz w:val="22"/>
    </w:rPr>
  </w:style>
  <w:style w:type="character" w:customStyle="1" w:styleId="69">
    <w:name w:val="AlertTok"/>
    <w:basedOn w:val="37"/>
    <w:qFormat/>
    <w:uiPriority w:val="0"/>
    <w:rPr>
      <w:rFonts w:ascii="Consolas" w:hAnsi="Consolas"/>
      <w:b/>
      <w:color w:val="FF0000"/>
      <w:sz w:val="22"/>
    </w:rPr>
  </w:style>
  <w:style w:type="character" w:customStyle="1" w:styleId="70">
    <w:name w:val="ErrorTok"/>
    <w:basedOn w:val="37"/>
    <w:qFormat/>
    <w:uiPriority w:val="0"/>
    <w:rPr>
      <w:rFonts w:ascii="Consolas" w:hAnsi="Consolas"/>
      <w:b/>
      <w:color w:val="FF0000"/>
      <w:sz w:val="22"/>
    </w:rPr>
  </w:style>
  <w:style w:type="character" w:customStyle="1" w:styleId="71">
    <w:name w:val="NormalTok"/>
    <w:basedOn w:val="37"/>
    <w:qFormat/>
    <w:uiPriority w:val="0"/>
    <w:rPr>
      <w:rFonts w:ascii="Consolas" w:hAnsi="Consolas"/>
      <w:sz w:val="22"/>
    </w:rPr>
  </w:style>
  <w:style w:type="character" w:customStyle="1" w:styleId="72">
    <w:name w:val="页眉 字符"/>
    <w:basedOn w:val="21"/>
    <w:link w:val="16"/>
    <w:qFormat/>
    <w:uiPriority w:val="0"/>
    <w:rPr>
      <w:sz w:val="18"/>
      <w:szCs w:val="18"/>
    </w:rPr>
  </w:style>
  <w:style w:type="character" w:customStyle="1" w:styleId="73">
    <w:name w:val="页脚 字符"/>
    <w:basedOn w:val="21"/>
    <w:link w:val="1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4089</Words>
  <Characters>4334</Characters>
  <Lines>1</Lines>
  <Paragraphs>1</Paragraphs>
  <TotalTime>35</TotalTime>
  <ScaleCrop>false</ScaleCrop>
  <LinksUpToDate>false</LinksUpToDate>
  <CharactersWithSpaces>4354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2026-08-26T12:58:00Z</dcterms:created>
  <dc:creator>刘奥</dc:creator>
  <cp:lastModifiedBy>刘奥</cp:lastModifiedBy>
  <dcterms:modified xsi:type="dcterms:W3CDTF">2026-09-04T07:48:48Z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D_Document_Page_Count">
    <vt:lpwstr>5</vt:lpwstr>
  </property>
  <property fmtid="{D5CDD505-2E9C-101B-9397-08002B2CF9AE}" pid="3" name="ZX_Claim_Page_Number">
    <vt:lpwstr>5</vt:lpwstr>
  </property>
  <property fmtid="{D5CDD505-2E9C-101B-9397-08002B2CF9AE}" pid="4" name="KSOTemplateDocerSaveRecord">
    <vt:lpwstr>eyJoZGlkIjoiYjlmYmNiYzkwYTVlOGNmZjM3ODg5ZmQ0NmFlMzRmYmEiLCJ1c2VySWQiOiIxNjg4MTkzNDkzIn0=</vt:lpwstr>
  </property>
  <property fmtid="{D5CDD505-2E9C-101B-9397-08002B2CF9AE}" pid="5" name="KSOProductBuildVer">
    <vt:lpwstr>2052-12.1.0.22529</vt:lpwstr>
  </property>
  <property fmtid="{D5CDD505-2E9C-101B-9397-08002B2CF9AE}" pid="6" name="ICV">
    <vt:lpwstr>FFF26CC948564706B2B7B99853C05461_12</vt:lpwstr>
  </property>
</Properties>
</file>