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9F4EA4">
      <w:pPr>
        <w:jc w:val="center"/>
        <w:rPr>
          <w:rFonts w:hint="eastAsia" w:ascii="宋体" w:hAnsi="宋体"/>
          <w:sz w:val="24"/>
          <w:szCs w:val="24"/>
        </w:rPr>
      </w:pPr>
      <w:r>
        <w:rPr>
          <w:rFonts w:hint="eastAsia" w:ascii="宋体" w:hAnsi="宋体"/>
          <w:sz w:val="24"/>
          <w:szCs w:val="24"/>
        </w:rPr>
        <w:t>证券代码：</w:t>
      </w:r>
      <w:r>
        <w:rPr>
          <w:rFonts w:ascii="宋体" w:hAnsi="宋体"/>
          <w:sz w:val="24"/>
          <w:szCs w:val="24"/>
        </w:rPr>
        <w:t>603127</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公司简称：</w:t>
      </w:r>
      <w:r>
        <w:rPr>
          <w:rFonts w:ascii="宋体" w:hAnsi="宋体"/>
          <w:sz w:val="24"/>
          <w:szCs w:val="24"/>
        </w:rPr>
        <w:t>昭衍新药</w:t>
      </w:r>
    </w:p>
    <w:p w14:paraId="1D33CF58">
      <w:pPr>
        <w:spacing w:before="156" w:beforeLines="50"/>
        <w:jc w:val="center"/>
        <w:rPr>
          <w:rFonts w:hint="eastAsia" w:ascii="黑体" w:hAnsi="黑体" w:eastAsia="黑体"/>
          <w:sz w:val="36"/>
          <w:szCs w:val="36"/>
        </w:rPr>
      </w:pPr>
      <w:r>
        <w:rPr>
          <w:rFonts w:hint="eastAsia" w:ascii="黑体" w:hAnsi="黑体" w:eastAsia="黑体"/>
          <w:sz w:val="36"/>
          <w:szCs w:val="36"/>
        </w:rPr>
        <w:t>北京昭衍新药研究中心股份有限公司</w:t>
      </w:r>
    </w:p>
    <w:p w14:paraId="62E13DBF">
      <w:pPr>
        <w:jc w:val="center"/>
        <w:rPr>
          <w:rFonts w:hint="eastAsia" w:ascii="黑体" w:hAnsi="黑体" w:eastAsia="黑体"/>
          <w:sz w:val="36"/>
          <w:szCs w:val="36"/>
        </w:rPr>
      </w:pPr>
      <w:r>
        <w:rPr>
          <w:rFonts w:hint="eastAsia" w:ascii="黑体" w:hAnsi="黑体" w:eastAsia="黑体"/>
          <w:sz w:val="36"/>
          <w:szCs w:val="36"/>
        </w:rPr>
        <w:t>投资者关系活动记录表</w:t>
      </w:r>
    </w:p>
    <w:p w14:paraId="22EF3943">
      <w:pPr>
        <w:spacing w:line="360" w:lineRule="auto"/>
        <w:jc w:val="right"/>
        <w:rPr>
          <w:rFonts w:ascii="Times New Roman" w:hAnsi="Times New Roman"/>
          <w:sz w:val="24"/>
          <w:szCs w:val="24"/>
        </w:rPr>
      </w:pPr>
      <w:r>
        <w:rPr>
          <w:rFonts w:ascii="Times New Roman" w:hAnsi="Times New Roman"/>
          <w:sz w:val="24"/>
          <w:szCs w:val="24"/>
        </w:rPr>
        <w:t>编号：2026-00</w:t>
      </w:r>
      <w:r>
        <w:rPr>
          <w:rFonts w:hint="eastAsia" w:ascii="Times New Roman" w:hAnsi="Times New Roman"/>
          <w:sz w:val="24"/>
          <w:szCs w:val="24"/>
        </w:rPr>
        <w:t>3</w:t>
      </w:r>
    </w:p>
    <w:tbl>
      <w:tblPr>
        <w:tblStyle w:val="4"/>
        <w:tblW w:w="87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998"/>
        <w:gridCol w:w="6719"/>
      </w:tblGrid>
      <w:tr w14:paraId="38845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61" w:hRule="atLeast"/>
        </w:trPr>
        <w:tc>
          <w:tcPr>
            <w:tcW w:w="1998" w:type="dxa"/>
            <w:vAlign w:val="center"/>
          </w:tcPr>
          <w:p w14:paraId="219CD6BB">
            <w:pPr>
              <w:spacing w:line="360" w:lineRule="auto"/>
              <w:jc w:val="center"/>
              <w:rPr>
                <w:rFonts w:ascii="Times New Roman" w:hAnsi="Times New Roman"/>
                <w:sz w:val="24"/>
                <w:szCs w:val="24"/>
              </w:rPr>
            </w:pPr>
            <w:r>
              <w:rPr>
                <w:rFonts w:ascii="Times New Roman" w:hAnsi="Times New Roman"/>
                <w:sz w:val="24"/>
                <w:szCs w:val="24"/>
              </w:rPr>
              <w:t>投资者关系</w:t>
            </w:r>
          </w:p>
          <w:p w14:paraId="60F3CE64">
            <w:pPr>
              <w:spacing w:line="360" w:lineRule="auto"/>
              <w:jc w:val="center"/>
              <w:rPr>
                <w:rFonts w:ascii="Times New Roman" w:hAnsi="Times New Roman"/>
                <w:sz w:val="24"/>
                <w:szCs w:val="24"/>
              </w:rPr>
            </w:pPr>
            <w:r>
              <w:rPr>
                <w:rFonts w:ascii="Times New Roman" w:hAnsi="Times New Roman"/>
                <w:sz w:val="24"/>
                <w:szCs w:val="24"/>
              </w:rPr>
              <w:t>活动类别</w:t>
            </w:r>
          </w:p>
        </w:tc>
        <w:tc>
          <w:tcPr>
            <w:tcW w:w="6719" w:type="dxa"/>
            <w:vAlign w:val="center"/>
          </w:tcPr>
          <w:p w14:paraId="7373D994">
            <w:pPr>
              <w:spacing w:line="360" w:lineRule="auto"/>
              <w:rPr>
                <w:rFonts w:ascii="Times New Roman" w:hAnsi="Times New Roman"/>
                <w:sz w:val="24"/>
                <w:szCs w:val="24"/>
              </w:rPr>
            </w:pPr>
            <w:r>
              <w:rPr>
                <w:rFonts w:hint="eastAsia" w:ascii="Times New Roman" w:hAnsi="Times New Roman"/>
                <w:sz w:val="24"/>
                <w:szCs w:val="24"/>
              </w:rPr>
              <w:t>□</w:t>
            </w:r>
            <w:r>
              <w:rPr>
                <w:rFonts w:ascii="Times New Roman" w:hAnsi="Times New Roman"/>
                <w:sz w:val="24"/>
                <w:szCs w:val="24"/>
              </w:rPr>
              <w:t xml:space="preserve">特定对象调研                  </w:t>
            </w:r>
            <w:r>
              <w:rPr>
                <w:rFonts w:hint="eastAsia" w:ascii="Times New Roman" w:hAnsi="Times New Roman"/>
                <w:sz w:val="24"/>
                <w:szCs w:val="24"/>
              </w:rPr>
              <w:t>□</w:t>
            </w:r>
            <w:r>
              <w:rPr>
                <w:rFonts w:ascii="Times New Roman" w:hAnsi="Times New Roman"/>
                <w:sz w:val="24"/>
                <w:szCs w:val="24"/>
              </w:rPr>
              <w:t>分析师会议</w:t>
            </w:r>
          </w:p>
          <w:p w14:paraId="0FC93CC5">
            <w:pPr>
              <w:spacing w:line="360" w:lineRule="auto"/>
              <w:rPr>
                <w:rFonts w:ascii="Times New Roman" w:hAnsi="Times New Roman"/>
                <w:sz w:val="24"/>
                <w:szCs w:val="24"/>
              </w:rPr>
            </w:pPr>
            <w:r>
              <w:rPr>
                <w:rFonts w:hint="eastAsia" w:ascii="Times New Roman" w:hAnsi="Times New Roman"/>
                <w:sz w:val="24"/>
                <w:szCs w:val="24"/>
              </w:rPr>
              <w:t>□</w:t>
            </w:r>
            <w:r>
              <w:rPr>
                <w:rFonts w:ascii="Times New Roman" w:hAnsi="Times New Roman"/>
                <w:sz w:val="24"/>
                <w:szCs w:val="24"/>
              </w:rPr>
              <w:t xml:space="preserve">媒体采访                     </w:t>
            </w:r>
            <w:r>
              <w:rPr>
                <w:rFonts w:hint="eastAsia" w:ascii="Times New Roman" w:hAnsi="Times New Roman"/>
                <w:sz w:val="24"/>
                <w:szCs w:val="24"/>
              </w:rPr>
              <w:t xml:space="preserve"> </w:t>
            </w:r>
            <w:r>
              <w:rPr>
                <w:rFonts w:ascii="Times New Roman" w:hAnsi="Times New Roman"/>
                <w:sz w:val="24"/>
                <w:szCs w:val="24"/>
              </w:rPr>
              <w:t>√</w:t>
            </w:r>
            <w:r>
              <w:rPr>
                <w:rFonts w:hint="eastAsia" w:ascii="Times New Roman" w:hAnsi="Times New Roman"/>
                <w:sz w:val="24"/>
                <w:szCs w:val="24"/>
              </w:rPr>
              <w:t xml:space="preserve"> </w:t>
            </w:r>
            <w:r>
              <w:rPr>
                <w:rFonts w:ascii="Times New Roman" w:hAnsi="Times New Roman"/>
                <w:sz w:val="24"/>
                <w:szCs w:val="24"/>
              </w:rPr>
              <w:t xml:space="preserve">业绩说明会 </w:t>
            </w:r>
          </w:p>
          <w:p w14:paraId="21ADE3ED">
            <w:pPr>
              <w:spacing w:line="360" w:lineRule="auto"/>
              <w:rPr>
                <w:rFonts w:ascii="Times New Roman" w:hAnsi="Times New Roman"/>
                <w:sz w:val="24"/>
                <w:szCs w:val="24"/>
              </w:rPr>
            </w:pPr>
            <w:r>
              <w:rPr>
                <w:rFonts w:hint="eastAsia" w:ascii="Times New Roman" w:hAnsi="Times New Roman"/>
                <w:sz w:val="24"/>
                <w:szCs w:val="24"/>
              </w:rPr>
              <w:t>□</w:t>
            </w:r>
            <w:r>
              <w:rPr>
                <w:rFonts w:ascii="Times New Roman" w:hAnsi="Times New Roman"/>
                <w:sz w:val="24"/>
                <w:szCs w:val="24"/>
              </w:rPr>
              <w:t xml:space="preserve">新闻发布会                    </w:t>
            </w:r>
            <w:r>
              <w:rPr>
                <w:rFonts w:hint="eastAsia" w:ascii="Times New Roman" w:hAnsi="Times New Roman"/>
                <w:sz w:val="24"/>
                <w:szCs w:val="24"/>
              </w:rPr>
              <w:t>□</w:t>
            </w:r>
            <w:r>
              <w:rPr>
                <w:rFonts w:ascii="Times New Roman" w:hAnsi="Times New Roman"/>
                <w:sz w:val="24"/>
                <w:szCs w:val="24"/>
              </w:rPr>
              <w:t xml:space="preserve">路演活动 </w:t>
            </w:r>
          </w:p>
          <w:p w14:paraId="00CFA8BF">
            <w:pPr>
              <w:spacing w:line="360" w:lineRule="auto"/>
              <w:rPr>
                <w:rFonts w:ascii="Times New Roman" w:hAnsi="Times New Roman"/>
                <w:sz w:val="24"/>
                <w:szCs w:val="24"/>
              </w:rPr>
            </w:pPr>
            <w:r>
              <w:rPr>
                <w:rFonts w:hint="eastAsia" w:ascii="Times New Roman" w:hAnsi="Times New Roman"/>
                <w:sz w:val="24"/>
                <w:szCs w:val="24"/>
              </w:rPr>
              <w:t>□</w:t>
            </w:r>
            <w:r>
              <w:rPr>
                <w:rFonts w:ascii="Times New Roman" w:hAnsi="Times New Roman"/>
                <w:sz w:val="24"/>
                <w:szCs w:val="24"/>
              </w:rPr>
              <w:t xml:space="preserve">现场参观                      </w:t>
            </w:r>
            <w:r>
              <w:rPr>
                <w:rFonts w:hint="eastAsia" w:ascii="Times New Roman" w:hAnsi="Times New Roman"/>
                <w:sz w:val="24"/>
                <w:szCs w:val="24"/>
              </w:rPr>
              <w:t>□</w:t>
            </w:r>
            <w:r>
              <w:rPr>
                <w:rFonts w:ascii="Times New Roman" w:hAnsi="Times New Roman"/>
                <w:sz w:val="24"/>
                <w:szCs w:val="24"/>
              </w:rPr>
              <w:t>其他（</w:t>
            </w:r>
            <w:r>
              <w:rPr>
                <w:rFonts w:ascii="Times New Roman" w:hAnsi="Times New Roman"/>
                <w:sz w:val="24"/>
                <w:szCs w:val="24"/>
                <w:u w:val="single"/>
              </w:rPr>
              <w:t xml:space="preserve">              </w:t>
            </w:r>
            <w:r>
              <w:rPr>
                <w:rFonts w:ascii="Times New Roman" w:hAnsi="Times New Roman"/>
                <w:sz w:val="24"/>
                <w:szCs w:val="24"/>
              </w:rPr>
              <w:t>）</w:t>
            </w:r>
          </w:p>
        </w:tc>
      </w:tr>
      <w:tr w14:paraId="64A703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5" w:hRule="atLeast"/>
        </w:trPr>
        <w:tc>
          <w:tcPr>
            <w:tcW w:w="1998" w:type="dxa"/>
            <w:vAlign w:val="center"/>
          </w:tcPr>
          <w:p w14:paraId="5CADA7A3">
            <w:pPr>
              <w:spacing w:line="360" w:lineRule="auto"/>
              <w:jc w:val="center"/>
              <w:rPr>
                <w:rFonts w:ascii="Times New Roman" w:hAnsi="Times New Roman"/>
                <w:sz w:val="24"/>
                <w:szCs w:val="24"/>
              </w:rPr>
            </w:pPr>
            <w:r>
              <w:rPr>
                <w:rFonts w:ascii="Times New Roman" w:hAnsi="Times New Roman"/>
                <w:sz w:val="24"/>
                <w:szCs w:val="24"/>
              </w:rPr>
              <w:t>参与单位名称</w:t>
            </w:r>
          </w:p>
        </w:tc>
        <w:tc>
          <w:tcPr>
            <w:tcW w:w="6719" w:type="dxa"/>
            <w:vAlign w:val="center"/>
          </w:tcPr>
          <w:p w14:paraId="28BA5269">
            <w:pPr>
              <w:spacing w:line="360" w:lineRule="auto"/>
              <w:rPr>
                <w:rFonts w:ascii="Times New Roman" w:hAnsi="Times New Roman"/>
                <w:sz w:val="24"/>
                <w:szCs w:val="24"/>
              </w:rPr>
            </w:pPr>
            <w:r>
              <w:rPr>
                <w:rFonts w:ascii="Times New Roman" w:hAnsi="Times New Roman"/>
                <w:sz w:val="24"/>
                <w:szCs w:val="24"/>
              </w:rPr>
              <w:t>全体投资者均可通过网络互动的方式参加本次说明会</w:t>
            </w:r>
          </w:p>
        </w:tc>
      </w:tr>
      <w:tr w14:paraId="32A2D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8" w:hRule="atLeast"/>
        </w:trPr>
        <w:tc>
          <w:tcPr>
            <w:tcW w:w="1998" w:type="dxa"/>
            <w:vAlign w:val="center"/>
          </w:tcPr>
          <w:p w14:paraId="026EDC50">
            <w:pPr>
              <w:spacing w:line="360" w:lineRule="auto"/>
              <w:jc w:val="center"/>
              <w:rPr>
                <w:rFonts w:ascii="Times New Roman" w:hAnsi="Times New Roman"/>
                <w:sz w:val="24"/>
                <w:szCs w:val="24"/>
              </w:rPr>
            </w:pPr>
            <w:r>
              <w:rPr>
                <w:rFonts w:ascii="Times New Roman" w:hAnsi="Times New Roman"/>
                <w:sz w:val="24"/>
                <w:szCs w:val="24"/>
              </w:rPr>
              <w:t>活动主题</w:t>
            </w:r>
          </w:p>
        </w:tc>
        <w:tc>
          <w:tcPr>
            <w:tcW w:w="6719" w:type="dxa"/>
            <w:vAlign w:val="center"/>
          </w:tcPr>
          <w:p w14:paraId="03869766">
            <w:pPr>
              <w:spacing w:line="360" w:lineRule="auto"/>
              <w:rPr>
                <w:rFonts w:ascii="Times New Roman" w:hAnsi="Times New Roman"/>
                <w:sz w:val="24"/>
                <w:szCs w:val="24"/>
              </w:rPr>
            </w:pPr>
            <w:r>
              <w:rPr>
                <w:rFonts w:ascii="Times New Roman" w:hAnsi="Times New Roman"/>
                <w:bCs/>
                <w:iCs/>
                <w:color w:val="000000"/>
                <w:sz w:val="24"/>
                <w:lang w:val="en-GB"/>
              </w:rPr>
              <w:t>昭衍新药202</w:t>
            </w:r>
            <w:r>
              <w:rPr>
                <w:rFonts w:hint="eastAsia" w:ascii="Times New Roman" w:hAnsi="Times New Roman"/>
                <w:bCs/>
                <w:iCs/>
                <w:color w:val="000000"/>
                <w:sz w:val="24"/>
              </w:rPr>
              <w:t>6</w:t>
            </w:r>
            <w:r>
              <w:rPr>
                <w:rFonts w:ascii="Times New Roman" w:hAnsi="Times New Roman"/>
                <w:bCs/>
                <w:iCs/>
                <w:color w:val="000000"/>
                <w:sz w:val="24"/>
                <w:lang w:val="en-GB"/>
              </w:rPr>
              <w:t>年</w:t>
            </w:r>
            <w:r>
              <w:rPr>
                <w:rFonts w:hint="eastAsia" w:ascii="Times New Roman" w:hAnsi="Times New Roman"/>
                <w:bCs/>
                <w:iCs/>
                <w:color w:val="000000"/>
                <w:sz w:val="24"/>
              </w:rPr>
              <w:t>半年度</w:t>
            </w:r>
            <w:r>
              <w:rPr>
                <w:rFonts w:ascii="Times New Roman" w:hAnsi="Times New Roman"/>
                <w:bCs/>
                <w:iCs/>
                <w:color w:val="000000"/>
                <w:sz w:val="24"/>
                <w:lang w:val="en-GB"/>
              </w:rPr>
              <w:t>业绩说明会</w:t>
            </w:r>
          </w:p>
        </w:tc>
      </w:tr>
      <w:tr w14:paraId="2456F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6" w:hRule="atLeast"/>
        </w:trPr>
        <w:tc>
          <w:tcPr>
            <w:tcW w:w="1998" w:type="dxa"/>
            <w:vAlign w:val="center"/>
          </w:tcPr>
          <w:p w14:paraId="46008D8B">
            <w:pPr>
              <w:spacing w:line="360" w:lineRule="auto"/>
              <w:jc w:val="center"/>
              <w:rPr>
                <w:rFonts w:ascii="Times New Roman" w:hAnsi="Times New Roman"/>
                <w:sz w:val="24"/>
                <w:szCs w:val="24"/>
              </w:rPr>
            </w:pPr>
            <w:r>
              <w:rPr>
                <w:rFonts w:ascii="Times New Roman" w:hAnsi="Times New Roman"/>
                <w:sz w:val="24"/>
                <w:szCs w:val="24"/>
              </w:rPr>
              <w:t>时间</w:t>
            </w:r>
          </w:p>
        </w:tc>
        <w:tc>
          <w:tcPr>
            <w:tcW w:w="6719" w:type="dxa"/>
            <w:vAlign w:val="center"/>
          </w:tcPr>
          <w:p w14:paraId="3585CDB0">
            <w:pPr>
              <w:spacing w:line="360" w:lineRule="auto"/>
              <w:rPr>
                <w:rFonts w:ascii="Times New Roman" w:hAnsi="Times New Roman"/>
                <w:sz w:val="24"/>
                <w:szCs w:val="24"/>
              </w:rPr>
            </w:pPr>
            <w:r>
              <w:rPr>
                <w:rFonts w:ascii="Times New Roman" w:hAnsi="Times New Roman"/>
                <w:bCs/>
                <w:iCs/>
                <w:color w:val="000000"/>
                <w:sz w:val="24"/>
              </w:rPr>
              <w:t>2026年</w:t>
            </w:r>
            <w:r>
              <w:rPr>
                <w:rFonts w:hint="eastAsia" w:ascii="Times New Roman" w:hAnsi="Times New Roman"/>
                <w:bCs/>
                <w:iCs/>
                <w:color w:val="000000"/>
                <w:sz w:val="24"/>
              </w:rPr>
              <w:t>9</w:t>
            </w:r>
            <w:r>
              <w:rPr>
                <w:rFonts w:ascii="Times New Roman" w:hAnsi="Times New Roman"/>
                <w:bCs/>
                <w:iCs/>
                <w:color w:val="000000"/>
                <w:sz w:val="24"/>
              </w:rPr>
              <w:t xml:space="preserve">月8日  </w:t>
            </w:r>
            <w:r>
              <w:rPr>
                <w:rFonts w:hint="eastAsia" w:ascii="Times New Roman" w:hAnsi="Times New Roman"/>
                <w:bCs/>
                <w:iCs/>
                <w:color w:val="000000"/>
                <w:sz w:val="24"/>
              </w:rPr>
              <w:t>9</w:t>
            </w:r>
            <w:r>
              <w:rPr>
                <w:rFonts w:ascii="Times New Roman" w:hAnsi="Times New Roman"/>
                <w:bCs/>
                <w:iCs/>
                <w:color w:val="000000"/>
                <w:sz w:val="24"/>
              </w:rPr>
              <w:t>:00-1</w:t>
            </w:r>
            <w:r>
              <w:rPr>
                <w:rFonts w:hint="eastAsia" w:ascii="Times New Roman" w:hAnsi="Times New Roman"/>
                <w:bCs/>
                <w:iCs/>
                <w:color w:val="000000"/>
                <w:sz w:val="24"/>
              </w:rPr>
              <w:t>0</w:t>
            </w:r>
            <w:r>
              <w:rPr>
                <w:rFonts w:ascii="Times New Roman" w:hAnsi="Times New Roman"/>
                <w:bCs/>
                <w:iCs/>
                <w:color w:val="000000"/>
                <w:sz w:val="24"/>
              </w:rPr>
              <w:t>:00</w:t>
            </w:r>
          </w:p>
        </w:tc>
      </w:tr>
      <w:tr w14:paraId="4E0EC7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8" w:hRule="atLeast"/>
        </w:trPr>
        <w:tc>
          <w:tcPr>
            <w:tcW w:w="1998" w:type="dxa"/>
            <w:vAlign w:val="center"/>
          </w:tcPr>
          <w:p w14:paraId="42EE32F6">
            <w:pPr>
              <w:spacing w:line="360" w:lineRule="auto"/>
              <w:jc w:val="center"/>
              <w:rPr>
                <w:rFonts w:ascii="Times New Roman" w:hAnsi="Times New Roman"/>
                <w:sz w:val="24"/>
                <w:szCs w:val="24"/>
              </w:rPr>
            </w:pPr>
            <w:r>
              <w:rPr>
                <w:rFonts w:ascii="Times New Roman" w:hAnsi="Times New Roman"/>
                <w:sz w:val="24"/>
                <w:szCs w:val="24"/>
              </w:rPr>
              <w:t>地点</w:t>
            </w:r>
          </w:p>
        </w:tc>
        <w:tc>
          <w:tcPr>
            <w:tcW w:w="6719" w:type="dxa"/>
          </w:tcPr>
          <w:p w14:paraId="058616A8">
            <w:pPr>
              <w:spacing w:line="360" w:lineRule="auto"/>
              <w:rPr>
                <w:rFonts w:ascii="Times New Roman" w:hAnsi="Times New Roman"/>
                <w:sz w:val="24"/>
                <w:szCs w:val="24"/>
              </w:rPr>
            </w:pPr>
            <w:r>
              <w:rPr>
                <w:rFonts w:ascii="Times New Roman" w:hAnsi="Times New Roman"/>
                <w:bCs/>
                <w:sz w:val="24"/>
              </w:rPr>
              <w:t xml:space="preserve">上证路演中心 </w:t>
            </w:r>
            <w:r>
              <w:fldChar w:fldCharType="begin"/>
            </w:r>
            <w:r>
              <w:instrText xml:space="preserve"> HYPERLINK "https://roadshow.sseinfo.com" </w:instrText>
            </w:r>
            <w:r>
              <w:fldChar w:fldCharType="separate"/>
            </w:r>
            <w:r>
              <w:rPr>
                <w:rStyle w:val="6"/>
                <w:rFonts w:ascii="Times New Roman" w:hAnsi="Times New Roman"/>
                <w:bCs/>
                <w:color w:val="auto"/>
                <w:sz w:val="24"/>
                <w:u w:val="none"/>
              </w:rPr>
              <w:t>https://roadshow.sseinfo.com</w:t>
            </w:r>
            <w:r>
              <w:rPr>
                <w:rStyle w:val="6"/>
                <w:rFonts w:ascii="Times New Roman" w:hAnsi="Times New Roman"/>
                <w:bCs/>
                <w:color w:val="auto"/>
                <w:sz w:val="24"/>
                <w:u w:val="none"/>
              </w:rPr>
              <w:fldChar w:fldCharType="end"/>
            </w:r>
          </w:p>
        </w:tc>
      </w:tr>
      <w:tr w14:paraId="11A8E0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trPr>
        <w:tc>
          <w:tcPr>
            <w:tcW w:w="1998" w:type="dxa"/>
            <w:vAlign w:val="center"/>
          </w:tcPr>
          <w:p w14:paraId="4A7DB02E">
            <w:pPr>
              <w:spacing w:line="360" w:lineRule="auto"/>
              <w:jc w:val="center"/>
              <w:rPr>
                <w:rFonts w:ascii="Times New Roman" w:hAnsi="Times New Roman"/>
                <w:sz w:val="24"/>
                <w:szCs w:val="24"/>
              </w:rPr>
            </w:pPr>
            <w:r>
              <w:rPr>
                <w:rFonts w:ascii="Times New Roman" w:hAnsi="Times New Roman"/>
                <w:sz w:val="24"/>
                <w:szCs w:val="24"/>
              </w:rPr>
              <w:t>形式</w:t>
            </w:r>
          </w:p>
        </w:tc>
        <w:tc>
          <w:tcPr>
            <w:tcW w:w="6719" w:type="dxa"/>
          </w:tcPr>
          <w:p w14:paraId="1F4E80C0">
            <w:pPr>
              <w:spacing w:line="360" w:lineRule="auto"/>
              <w:rPr>
                <w:rFonts w:ascii="Times New Roman" w:hAnsi="Times New Roman"/>
                <w:bCs/>
                <w:sz w:val="24"/>
              </w:rPr>
            </w:pPr>
            <w:r>
              <w:rPr>
                <w:rFonts w:ascii="Times New Roman" w:hAnsi="Times New Roman"/>
                <w:bCs/>
                <w:sz w:val="24"/>
              </w:rPr>
              <w:t>网络文字互动</w:t>
            </w:r>
          </w:p>
        </w:tc>
      </w:tr>
      <w:tr w14:paraId="1757A3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8" w:hRule="atLeast"/>
        </w:trPr>
        <w:tc>
          <w:tcPr>
            <w:tcW w:w="1998" w:type="dxa"/>
            <w:vAlign w:val="center"/>
          </w:tcPr>
          <w:p w14:paraId="0BB7ABC1">
            <w:pPr>
              <w:spacing w:line="360" w:lineRule="auto"/>
              <w:jc w:val="center"/>
              <w:rPr>
                <w:rFonts w:ascii="Times New Roman" w:hAnsi="Times New Roman"/>
                <w:sz w:val="24"/>
                <w:szCs w:val="24"/>
              </w:rPr>
            </w:pPr>
            <w:r>
              <w:rPr>
                <w:rFonts w:ascii="Times New Roman" w:hAnsi="Times New Roman"/>
                <w:sz w:val="24"/>
                <w:szCs w:val="24"/>
              </w:rPr>
              <w:t>参会人员</w:t>
            </w:r>
          </w:p>
        </w:tc>
        <w:tc>
          <w:tcPr>
            <w:tcW w:w="6719" w:type="dxa"/>
            <w:vAlign w:val="center"/>
          </w:tcPr>
          <w:p w14:paraId="59B4DE0A">
            <w:pPr>
              <w:spacing w:line="360" w:lineRule="auto"/>
              <w:rPr>
                <w:rFonts w:ascii="Times New Roman" w:hAnsi="Times New Roman"/>
                <w:sz w:val="24"/>
                <w:szCs w:val="24"/>
              </w:rPr>
            </w:pPr>
            <w:r>
              <w:rPr>
                <w:rFonts w:ascii="Times New Roman" w:hAnsi="Times New Roman"/>
                <w:sz w:val="24"/>
                <w:szCs w:val="24"/>
              </w:rPr>
              <w:t>总经理、董事会秘书：高大鹏</w:t>
            </w:r>
          </w:p>
          <w:p w14:paraId="0942A949">
            <w:pPr>
              <w:spacing w:line="360" w:lineRule="auto"/>
              <w:rPr>
                <w:rFonts w:ascii="Times New Roman" w:hAnsi="Times New Roman"/>
                <w:sz w:val="24"/>
                <w:szCs w:val="24"/>
              </w:rPr>
            </w:pPr>
            <w:r>
              <w:rPr>
                <w:rFonts w:ascii="Times New Roman" w:hAnsi="Times New Roman"/>
                <w:sz w:val="24"/>
                <w:szCs w:val="24"/>
              </w:rPr>
              <w:t>独立董事：阳昌云</w:t>
            </w:r>
          </w:p>
          <w:p w14:paraId="16E2389A">
            <w:pPr>
              <w:spacing w:line="360" w:lineRule="auto"/>
              <w:rPr>
                <w:rFonts w:ascii="Times New Roman" w:hAnsi="Times New Roman"/>
                <w:sz w:val="24"/>
                <w:szCs w:val="24"/>
              </w:rPr>
            </w:pPr>
            <w:r>
              <w:rPr>
                <w:rFonts w:ascii="Times New Roman" w:hAnsi="Times New Roman"/>
                <w:sz w:val="24"/>
                <w:szCs w:val="24"/>
              </w:rPr>
              <w:t>财务</w:t>
            </w:r>
            <w:r>
              <w:rPr>
                <w:rFonts w:hint="eastAsia" w:ascii="Times New Roman" w:hAnsi="Times New Roman"/>
                <w:sz w:val="24"/>
                <w:szCs w:val="24"/>
              </w:rPr>
              <w:t>负责人</w:t>
            </w:r>
            <w:r>
              <w:rPr>
                <w:rFonts w:ascii="Times New Roman" w:hAnsi="Times New Roman"/>
                <w:sz w:val="24"/>
                <w:szCs w:val="24"/>
              </w:rPr>
              <w:t>：于爱水</w:t>
            </w:r>
          </w:p>
        </w:tc>
      </w:tr>
      <w:tr w14:paraId="19D910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trPr>
        <w:tc>
          <w:tcPr>
            <w:tcW w:w="1998" w:type="dxa"/>
            <w:vAlign w:val="center"/>
          </w:tcPr>
          <w:p w14:paraId="67F65D8B">
            <w:pPr>
              <w:spacing w:line="360" w:lineRule="auto"/>
              <w:jc w:val="center"/>
              <w:rPr>
                <w:rFonts w:ascii="Times New Roman" w:hAnsi="Times New Roman"/>
                <w:sz w:val="24"/>
                <w:szCs w:val="24"/>
              </w:rPr>
            </w:pPr>
            <w:r>
              <w:rPr>
                <w:rFonts w:ascii="Times New Roman" w:hAnsi="Times New Roman"/>
                <w:sz w:val="24"/>
                <w:szCs w:val="24"/>
              </w:rPr>
              <w:t>投资者关系活动</w:t>
            </w:r>
          </w:p>
          <w:p w14:paraId="4DB17AE0">
            <w:pPr>
              <w:spacing w:line="360" w:lineRule="auto"/>
              <w:jc w:val="center"/>
              <w:rPr>
                <w:rFonts w:ascii="Times New Roman" w:hAnsi="Times New Roman"/>
                <w:sz w:val="24"/>
                <w:szCs w:val="24"/>
              </w:rPr>
            </w:pPr>
            <w:r>
              <w:rPr>
                <w:rFonts w:ascii="Times New Roman" w:hAnsi="Times New Roman"/>
                <w:sz w:val="24"/>
                <w:szCs w:val="24"/>
              </w:rPr>
              <w:t>主要内容介绍</w:t>
            </w:r>
          </w:p>
        </w:tc>
        <w:tc>
          <w:tcPr>
            <w:tcW w:w="6719" w:type="dxa"/>
          </w:tcPr>
          <w:p w14:paraId="338C230E">
            <w:pPr>
              <w:spacing w:line="360" w:lineRule="auto"/>
              <w:ind w:firstLine="480" w:firstLineChars="200"/>
              <w:rPr>
                <w:rFonts w:ascii="Times New Roman" w:hAnsi="Times New Roman"/>
                <w:sz w:val="24"/>
              </w:rPr>
            </w:pPr>
            <w:r>
              <w:rPr>
                <w:rFonts w:ascii="Times New Roman" w:hAnsi="Times New Roman"/>
                <w:sz w:val="24"/>
              </w:rPr>
              <w:t>在本次业绩说明会上，公司就投资者关心的问题给予了答复，并对相关问题进行了梳理，问题及答复如下：</w:t>
            </w:r>
          </w:p>
          <w:p w14:paraId="6FF6DF83">
            <w:pPr>
              <w:spacing w:line="360" w:lineRule="auto"/>
              <w:ind w:firstLine="480" w:firstLineChars="200"/>
              <w:rPr>
                <w:rFonts w:ascii="Times New Roman" w:hAnsi="Times New Roman"/>
              </w:rPr>
            </w:pPr>
            <w:r>
              <w:rPr>
                <w:rFonts w:ascii="Times New Roman" w:hAnsi="Times New Roman"/>
                <w:sz w:val="24"/>
              </w:rPr>
              <w:t>1、生物资产公允价值对本期利润影响很大，如何看待后续实验猴价格走势，公司对生物资产收益的可持续性怎么判断？</w:t>
            </w:r>
          </w:p>
          <w:p w14:paraId="354033B9">
            <w:pPr>
              <w:spacing w:line="360" w:lineRule="auto"/>
              <w:ind w:firstLine="480" w:firstLineChars="200"/>
              <w:rPr>
                <w:rFonts w:ascii="Times New Roman" w:hAnsi="Times New Roman"/>
                <w:sz w:val="24"/>
              </w:rPr>
            </w:pPr>
            <w:r>
              <w:rPr>
                <w:rFonts w:ascii="Times New Roman" w:hAnsi="Times New Roman"/>
                <w:sz w:val="24"/>
              </w:rPr>
              <w:t>答</w:t>
            </w:r>
            <w:r>
              <w:rPr>
                <w:rFonts w:hint="eastAsia" w:ascii="Times New Roman" w:hAnsi="Times New Roman"/>
                <w:sz w:val="24"/>
              </w:rPr>
              <w:t>：</w:t>
            </w:r>
            <w:r>
              <w:rPr>
                <w:rFonts w:ascii="Times New Roman" w:hAnsi="Times New Roman"/>
                <w:sz w:val="24"/>
              </w:rPr>
              <w:t>1）非人灵长类实验动物价格变动主要源于供需结构变化：从需求端来看，2026年国内创新药融资、BD授权交易持续回暖，带来整体行业对于非人灵长类实验模型的需求大幅增长；从供给端来看，非人灵长类实验动物繁育率相对稳定，行业供给弹性较低，无法跟随需求快速扩产，因此国内非人灵长类实验动物的供需呈现紧张状态，价格也随之提升。然而，随着非人灵长类实验动物进口政策放开，叠加其他不确定因素，未来价格走势仍需持续观察。</w:t>
            </w:r>
          </w:p>
          <w:p w14:paraId="30C84E34">
            <w:pPr>
              <w:spacing w:line="360" w:lineRule="auto"/>
              <w:ind w:firstLine="480" w:firstLineChars="200"/>
              <w:rPr>
                <w:rFonts w:ascii="Times New Roman" w:hAnsi="Times New Roman"/>
                <w:sz w:val="24"/>
              </w:rPr>
            </w:pPr>
            <w:r>
              <w:rPr>
                <w:rFonts w:ascii="Times New Roman" w:hAnsi="Times New Roman"/>
                <w:sz w:val="24"/>
              </w:rPr>
              <w:t>2）生物资产公允价值变动主要包含了两部分，一部分为市场价格的变动，该部分变动影响因素较多，暂时不好预判；另一部分是生物资产的自然生长所带来的增值，在</w:t>
            </w:r>
            <w:r>
              <w:rPr>
                <w:rFonts w:hint="eastAsia" w:ascii="Times New Roman" w:hAnsi="Times New Roman"/>
                <w:sz w:val="24"/>
              </w:rPr>
              <w:t>非人灵长类实验动物价格</w:t>
            </w:r>
            <w:r>
              <w:rPr>
                <w:rFonts w:ascii="Times New Roman" w:hAnsi="Times New Roman"/>
                <w:sz w:val="24"/>
              </w:rPr>
              <w:t>稳定的情况下，每季度大概会有一个亿左右的评估增值，后续增值空间将随市场价格波动同步调整。</w:t>
            </w:r>
          </w:p>
          <w:p w14:paraId="43317D8C">
            <w:pPr>
              <w:spacing w:line="360" w:lineRule="auto"/>
              <w:ind w:firstLine="480" w:firstLineChars="200"/>
              <w:rPr>
                <w:rFonts w:ascii="Times New Roman" w:hAnsi="Times New Roman"/>
              </w:rPr>
            </w:pPr>
            <w:r>
              <w:rPr>
                <w:rFonts w:ascii="Times New Roman" w:hAnsi="Times New Roman"/>
                <w:sz w:val="24"/>
              </w:rPr>
              <w:t>2、上半年新签订单大幅增长，但实验室服务仍小幅亏损，请问存量低价订单预计何时消化完毕，实验室主业何时实现稳定盈利？</w:t>
            </w:r>
          </w:p>
          <w:p w14:paraId="31D9C7F3">
            <w:pPr>
              <w:spacing w:line="360" w:lineRule="auto"/>
              <w:ind w:firstLine="480" w:firstLineChars="200"/>
              <w:rPr>
                <w:rFonts w:ascii="Times New Roman" w:hAnsi="Times New Roman"/>
                <w:sz w:val="24"/>
              </w:rPr>
            </w:pPr>
            <w:r>
              <w:rPr>
                <w:rFonts w:ascii="Times New Roman" w:hAnsi="Times New Roman"/>
                <w:sz w:val="24"/>
              </w:rPr>
              <w:t>答</w:t>
            </w:r>
            <w:r>
              <w:rPr>
                <w:rFonts w:hint="eastAsia" w:ascii="Times New Roman" w:hAnsi="Times New Roman"/>
                <w:sz w:val="24"/>
              </w:rPr>
              <w:t>：</w:t>
            </w:r>
            <w:r>
              <w:rPr>
                <w:rFonts w:ascii="Times New Roman" w:hAnsi="Times New Roman"/>
                <w:sz w:val="24"/>
              </w:rPr>
              <w:t>2026年上半年，前期行业低价周期签订的存量订单仍在持续交付，因此短期仍对营收及实验室服务板块利润存在一定阶段性影响，但并不改变公司整体经营向上的核心趋势。伴随高单价订单持续落地结转、项目结构持续优化，同时公司规模化运营效率、精细化成本管控效果逐步释放，实验室服务业务的利润率也将逐步修复，回归稳健合理的盈利区间。从今年全年节奏来看，三季度将延续稳步改善态势；四季度随着高价订单集中结转，营收规模及利润率将会有较为明显的改善。</w:t>
            </w:r>
          </w:p>
          <w:p w14:paraId="75587A7A">
            <w:pPr>
              <w:spacing w:line="360" w:lineRule="auto"/>
              <w:ind w:firstLine="480" w:firstLineChars="200"/>
              <w:rPr>
                <w:rFonts w:ascii="Times New Roman" w:hAnsi="Times New Roman"/>
              </w:rPr>
            </w:pPr>
            <w:r>
              <w:rPr>
                <w:rFonts w:ascii="Times New Roman" w:hAnsi="Times New Roman"/>
                <w:sz w:val="24"/>
              </w:rPr>
              <w:t>3、公司提到实验猴进口政策放开带来不确定性，目前进口以种源引种为主。请问未来如果CITES配额大幅提升，大量海外猴子进入国内，公司内部如何测算对猴价、生物资产减值的潜在影响？公司有没有对应的风险对冲预案？</w:t>
            </w:r>
          </w:p>
          <w:p w14:paraId="5C2A2664">
            <w:pPr>
              <w:spacing w:line="360" w:lineRule="auto"/>
              <w:ind w:firstLine="480" w:firstLineChars="200"/>
              <w:rPr>
                <w:rFonts w:ascii="Times New Roman" w:hAnsi="Times New Roman"/>
                <w:sz w:val="24"/>
              </w:rPr>
            </w:pPr>
            <w:r>
              <w:rPr>
                <w:rFonts w:ascii="Times New Roman" w:hAnsi="Times New Roman"/>
                <w:sz w:val="24"/>
              </w:rPr>
              <w:t>答</w:t>
            </w:r>
            <w:r>
              <w:rPr>
                <w:rFonts w:hint="eastAsia" w:ascii="Times New Roman" w:hAnsi="Times New Roman"/>
                <w:sz w:val="24"/>
              </w:rPr>
              <w:t>：</w:t>
            </w:r>
            <w:r>
              <w:rPr>
                <w:rFonts w:ascii="Times New Roman" w:hAnsi="Times New Roman"/>
                <w:sz w:val="24"/>
              </w:rPr>
              <w:t>1</w:t>
            </w:r>
            <w:r>
              <w:rPr>
                <w:rFonts w:hint="eastAsia" w:ascii="Times New Roman" w:hAnsi="Times New Roman"/>
                <w:sz w:val="24"/>
              </w:rPr>
              <w:t>）</w:t>
            </w:r>
            <w:r>
              <w:rPr>
                <w:rFonts w:ascii="Times New Roman" w:hAnsi="Times New Roman"/>
                <w:sz w:val="24"/>
              </w:rPr>
              <w:t>关于进口政策与供给约束</w:t>
            </w:r>
            <w:r>
              <w:rPr>
                <w:rFonts w:hint="eastAsia" w:ascii="Times New Roman" w:hAnsi="Times New Roman"/>
                <w:sz w:val="24"/>
              </w:rPr>
              <w:t>：</w:t>
            </w:r>
            <w:r>
              <w:rPr>
                <w:rFonts w:ascii="Times New Roman" w:hAnsi="Times New Roman"/>
                <w:sz w:val="24"/>
              </w:rPr>
              <w:t>目前进口政策已放开，</w:t>
            </w:r>
            <w:r>
              <w:rPr>
                <w:rFonts w:hint="eastAsia" w:ascii="Times New Roman" w:hAnsi="Times New Roman"/>
                <w:sz w:val="24"/>
              </w:rPr>
              <w:t>用于繁殖</w:t>
            </w:r>
            <w:bookmarkStart w:id="0" w:name="_GoBack"/>
            <w:bookmarkEnd w:id="0"/>
            <w:r>
              <w:rPr>
                <w:rFonts w:hint="eastAsia" w:ascii="Times New Roman" w:hAnsi="Times New Roman"/>
                <w:sz w:val="24"/>
                <w:lang w:val="en-US" w:eastAsia="zh-CN"/>
              </w:rPr>
              <w:t>和</w:t>
            </w:r>
            <w:r>
              <w:rPr>
                <w:rFonts w:hint="eastAsia" w:ascii="Times New Roman" w:hAnsi="Times New Roman"/>
                <w:sz w:val="24"/>
              </w:rPr>
              <w:t>实验的非人灵长类实验动物</w:t>
            </w:r>
            <w:r>
              <w:rPr>
                <w:rFonts w:ascii="Times New Roman" w:hAnsi="Times New Roman"/>
                <w:sz w:val="24"/>
              </w:rPr>
              <w:t>均可进口，从实际情况看，今年非人灵长类</w:t>
            </w:r>
            <w:r>
              <w:rPr>
                <w:rFonts w:hint="eastAsia" w:ascii="Times New Roman" w:hAnsi="Times New Roman"/>
                <w:sz w:val="24"/>
              </w:rPr>
              <w:t>实验动物</w:t>
            </w:r>
            <w:r>
              <w:rPr>
                <w:rFonts w:ascii="Times New Roman" w:hAnsi="Times New Roman"/>
                <w:sz w:val="24"/>
              </w:rPr>
              <w:t>进口以</w:t>
            </w:r>
            <w:r>
              <w:rPr>
                <w:rFonts w:hint="eastAsia" w:ascii="Times New Roman" w:hAnsi="Times New Roman"/>
                <w:sz w:val="24"/>
              </w:rPr>
              <w:t>用于实验的类型</w:t>
            </w:r>
            <w:r>
              <w:rPr>
                <w:rFonts w:ascii="Times New Roman" w:hAnsi="Times New Roman"/>
                <w:sz w:val="24"/>
              </w:rPr>
              <w:t>为主。</w:t>
            </w:r>
            <w:r>
              <w:rPr>
                <w:rFonts w:hint="eastAsia" w:ascii="Times New Roman" w:hAnsi="Times New Roman"/>
                <w:sz w:val="24"/>
              </w:rPr>
              <w:t>市场上非人灵长类实验动物的</w:t>
            </w:r>
            <w:r>
              <w:rPr>
                <w:rFonts w:ascii="Times New Roman" w:hAnsi="Times New Roman"/>
                <w:sz w:val="24"/>
              </w:rPr>
              <w:t>价格最终取决于供需关系及供需缺口。即便 CITES 配额大幅提升，进口规模也并非完全由配额决定，实际仍受两大硬约束制约：一是海外符合标准的</w:t>
            </w:r>
            <w:r>
              <w:rPr>
                <w:rFonts w:hint="eastAsia" w:ascii="Times New Roman" w:hAnsi="Times New Roman"/>
                <w:sz w:val="24"/>
              </w:rPr>
              <w:t>非人灵长类实验动物饲养场地</w:t>
            </w:r>
            <w:r>
              <w:rPr>
                <w:rFonts w:ascii="Times New Roman" w:hAnsi="Times New Roman"/>
                <w:sz w:val="24"/>
              </w:rPr>
              <w:t>资源稀缺，</w:t>
            </w:r>
            <w:r>
              <w:rPr>
                <w:rFonts w:hint="eastAsia" w:ascii="Times New Roman" w:hAnsi="Times New Roman"/>
                <w:sz w:val="24"/>
              </w:rPr>
              <w:t>非人灵长类实验动物</w:t>
            </w:r>
            <w:r>
              <w:rPr>
                <w:rFonts w:ascii="Times New Roman" w:hAnsi="Times New Roman"/>
                <w:sz w:val="24"/>
              </w:rPr>
              <w:t>需满足严格的实验标准，在海外寻找到合规</w:t>
            </w:r>
            <w:r>
              <w:rPr>
                <w:rFonts w:hint="eastAsia" w:ascii="Times New Roman" w:hAnsi="Times New Roman"/>
                <w:sz w:val="24"/>
              </w:rPr>
              <w:t>饲养场地</w:t>
            </w:r>
            <w:r>
              <w:rPr>
                <w:rFonts w:ascii="Times New Roman" w:hAnsi="Times New Roman"/>
                <w:sz w:val="24"/>
              </w:rPr>
              <w:t>或供应商难度较大，能否建立稳定合作关系是进口的前提；二是国内隔离场资源紧张，符合新建标准的隔离场数量有限，当前各隔离场均需排队使用，这一硬件条件构成进口的第二个关键瓶颈。</w:t>
            </w:r>
          </w:p>
          <w:p w14:paraId="508B49B2">
            <w:pPr>
              <w:spacing w:line="360" w:lineRule="auto"/>
              <w:ind w:firstLine="480" w:firstLineChars="200"/>
              <w:rPr>
                <w:rFonts w:ascii="Times New Roman" w:hAnsi="Times New Roman"/>
                <w:sz w:val="24"/>
              </w:rPr>
            </w:pPr>
            <w:r>
              <w:rPr>
                <w:rFonts w:hint="eastAsia" w:ascii="Times New Roman" w:hAnsi="Times New Roman"/>
                <w:sz w:val="24"/>
              </w:rPr>
              <w:t>2）</w:t>
            </w:r>
            <w:r>
              <w:rPr>
                <w:rFonts w:ascii="Times New Roman" w:hAnsi="Times New Roman"/>
                <w:sz w:val="24"/>
              </w:rPr>
              <w:t>关于内部测算机制</w:t>
            </w:r>
            <w:r>
              <w:rPr>
                <w:rFonts w:hint="eastAsia" w:ascii="Times New Roman" w:hAnsi="Times New Roman"/>
                <w:sz w:val="24"/>
              </w:rPr>
              <w:t>：</w:t>
            </w:r>
            <w:r>
              <w:rPr>
                <w:rFonts w:ascii="Times New Roman" w:hAnsi="Times New Roman"/>
                <w:sz w:val="24"/>
              </w:rPr>
              <w:t>公司已将进口政策变化、CITES 配额调整作为重要行业风险因子纳入经营测算框架。针对</w:t>
            </w:r>
            <w:r>
              <w:rPr>
                <w:rFonts w:hint="eastAsia" w:ascii="Times New Roman" w:hAnsi="Times New Roman"/>
                <w:sz w:val="24"/>
              </w:rPr>
              <w:t>非人灵长类实验动物的</w:t>
            </w:r>
            <w:r>
              <w:rPr>
                <w:rFonts w:hint="eastAsia" w:ascii="Times New Roman" w:hAnsi="Times New Roman"/>
                <w:sz w:val="24"/>
                <w:lang w:val="en-US" w:eastAsia="zh-CN"/>
              </w:rPr>
              <w:t>价格</w:t>
            </w:r>
            <w:r>
              <w:rPr>
                <w:rFonts w:ascii="Times New Roman" w:hAnsi="Times New Roman"/>
                <w:sz w:val="24"/>
              </w:rPr>
              <w:t>可能产生的波动影响，公司会基于不同情况，结合现有</w:t>
            </w:r>
            <w:r>
              <w:rPr>
                <w:rFonts w:hint="eastAsia" w:ascii="Times New Roman" w:hAnsi="Times New Roman"/>
                <w:sz w:val="24"/>
              </w:rPr>
              <w:t>非人灵长类实验动物的</w:t>
            </w:r>
            <w:r>
              <w:rPr>
                <w:rFonts w:ascii="Times New Roman" w:hAnsi="Times New Roman"/>
                <w:sz w:val="24"/>
              </w:rPr>
              <w:t>存栏结构、繁育周期、在手订单履约情况，进行动态监测。同时，为匹配业务节奏、降低非经营性因素对财务表现的扰动，公司将会积极优化生物资产的管理策略。未来将通过科学规划采购节奏、合理安排使用周期等方式，动态平衡库存结构，力争平滑公允价值变动对利润的阶段性影响。我们的目标是让财务表现更真实地反映技术服务能力与运营效率，而非资产价格的市场情绪。</w:t>
            </w:r>
          </w:p>
          <w:p w14:paraId="46D6B776">
            <w:pPr>
              <w:spacing w:line="360" w:lineRule="auto"/>
              <w:ind w:firstLine="480" w:firstLineChars="200"/>
              <w:rPr>
                <w:rFonts w:ascii="Times New Roman" w:hAnsi="Times New Roman"/>
                <w:sz w:val="24"/>
              </w:rPr>
            </w:pPr>
            <w:r>
              <w:rPr>
                <w:rFonts w:ascii="Times New Roman" w:hAnsi="Times New Roman"/>
                <w:sz w:val="24"/>
              </w:rPr>
              <w:t>昭衍新药的长期价值仍根植于其技术壁垒、服务质量和客户信任。公司将持续聚焦主业，强化核心竞争力，并通过精细化资产管理，保障业务稳健、可持续发展。</w:t>
            </w:r>
          </w:p>
          <w:p w14:paraId="696F6D3A">
            <w:pPr>
              <w:spacing w:line="360" w:lineRule="auto"/>
              <w:ind w:firstLine="480" w:firstLineChars="200"/>
              <w:rPr>
                <w:rFonts w:ascii="Times New Roman" w:hAnsi="Times New Roman"/>
              </w:rPr>
            </w:pPr>
            <w:r>
              <w:rPr>
                <w:rFonts w:ascii="Times New Roman" w:hAnsi="Times New Roman"/>
                <w:sz w:val="24"/>
              </w:rPr>
              <w:t>4、归母净利润同比增长超11倍至7.48亿元，该利润的主要来源是什么？其可持续性如何？半年报显示，公司本期利润总额的大幅跃升主要受生物资产公允价值变动收益驱动，该部分收益高达7.35亿元。归母净利润7.48亿元中绝大部分由此贡献，实验室服务及其他业务实际贡献净利润为-3661.23万元。这一非经常性损益（主要源于实验用猴市场价格上涨）是否具备持续性？若未来生物资产价格出现波动或反转，公司利润将面临怎样的压力？</w:t>
            </w:r>
          </w:p>
          <w:p w14:paraId="14A7EE4F">
            <w:pPr>
              <w:spacing w:line="360" w:lineRule="auto"/>
              <w:ind w:firstLine="480" w:firstLineChars="200"/>
              <w:rPr>
                <w:rFonts w:ascii="Times New Roman" w:hAnsi="Times New Roman"/>
                <w:sz w:val="24"/>
              </w:rPr>
            </w:pPr>
            <w:r>
              <w:rPr>
                <w:rFonts w:ascii="Times New Roman" w:hAnsi="Times New Roman"/>
                <w:sz w:val="24"/>
              </w:rPr>
              <w:t>答</w:t>
            </w:r>
            <w:r>
              <w:rPr>
                <w:rFonts w:hint="eastAsia" w:ascii="Times New Roman" w:hAnsi="Times New Roman"/>
                <w:sz w:val="24"/>
              </w:rPr>
              <w:t>：</w:t>
            </w:r>
            <w:r>
              <w:rPr>
                <w:rFonts w:ascii="Times New Roman" w:hAnsi="Times New Roman"/>
                <w:sz w:val="24"/>
              </w:rPr>
              <w:t>首先生物资产公允价值变动收益并非为非经常性损益。该部分收益也包括了公司自有非人灵长类实验动物使用所产生的实际经营利润，以及非人灵长类动物因自然生长所带来的实际价值增值，这两部分会随公司业务经营持续发生。</w:t>
            </w:r>
          </w:p>
          <w:p w14:paraId="6F9C93A9">
            <w:pPr>
              <w:spacing w:line="360" w:lineRule="auto"/>
              <w:ind w:firstLine="480" w:firstLineChars="200"/>
              <w:rPr>
                <w:rFonts w:ascii="Times New Roman" w:hAnsi="Times New Roman"/>
                <w:sz w:val="24"/>
              </w:rPr>
            </w:pPr>
            <w:r>
              <w:rPr>
                <w:rFonts w:ascii="Times New Roman" w:hAnsi="Times New Roman"/>
                <w:sz w:val="24"/>
              </w:rPr>
              <w:t>为更好地匹配业务节奏、降低非经营性因素对财务表现的扰动，公司将会积极优化生物资产的管理策略。未来将通过科学规划采购节奏、合理安排使用周期等方式，动态平衡库存结构，力争平滑公允价值变动对利润的阶段性影响。我们的目标是让财务表现更真实地反映技术服务能力与运营效率，而非资产价格的市场情绪。</w:t>
            </w:r>
          </w:p>
          <w:p w14:paraId="37F844D6">
            <w:pPr>
              <w:spacing w:line="360" w:lineRule="auto"/>
              <w:ind w:firstLine="480" w:firstLineChars="200"/>
              <w:rPr>
                <w:rFonts w:ascii="Times New Roman" w:hAnsi="Times New Roman"/>
                <w:sz w:val="24"/>
              </w:rPr>
            </w:pPr>
            <w:r>
              <w:rPr>
                <w:rFonts w:ascii="Times New Roman" w:hAnsi="Times New Roman"/>
                <w:sz w:val="24"/>
              </w:rPr>
              <w:t>总而言之，昭衍新药的长期价值仍根植于其技术壁垒、服务质量和客户信任。公司将持续聚焦主业，强化核心竞争力，并通过精细化资产管理，保障业务稳健、可持续发展。</w:t>
            </w:r>
          </w:p>
          <w:p w14:paraId="74153FAF">
            <w:pPr>
              <w:spacing w:line="360" w:lineRule="auto"/>
              <w:ind w:firstLine="480" w:firstLineChars="200"/>
              <w:rPr>
                <w:rFonts w:ascii="Times New Roman" w:hAnsi="Times New Roman"/>
              </w:rPr>
            </w:pPr>
            <w:r>
              <w:rPr>
                <w:rFonts w:ascii="Times New Roman" w:hAnsi="Times New Roman"/>
                <w:sz w:val="24"/>
              </w:rPr>
              <w:t>5、报告期内主营业务（实验室服务及其他业务）仍处于亏损状态，具体亏损规模是多少？同比变化趋势如何？剔除生物资产公允价值变动影响后，实验室服务及其他业务贡献净利润为-3661.23万元，虽同比减亏43.50%，但仍未实现盈利。主营业务亏损的具体原因是什么？公司提到受制于前期行业竞争激烈的滞后影响，毛利水平尚未完全恢复，那么毛利率修复的具体时间表和路径是什么？</w:t>
            </w:r>
          </w:p>
          <w:p w14:paraId="2AC6995E">
            <w:pPr>
              <w:spacing w:line="360" w:lineRule="auto"/>
              <w:ind w:firstLine="480" w:firstLineChars="200"/>
              <w:rPr>
                <w:rFonts w:ascii="Times New Roman" w:hAnsi="Times New Roman"/>
                <w:sz w:val="24"/>
              </w:rPr>
            </w:pPr>
            <w:r>
              <w:rPr>
                <w:rFonts w:ascii="Times New Roman" w:hAnsi="Times New Roman"/>
                <w:sz w:val="24"/>
              </w:rPr>
              <w:t>答</w:t>
            </w:r>
            <w:r>
              <w:rPr>
                <w:rFonts w:hint="eastAsia" w:ascii="Times New Roman" w:hAnsi="Times New Roman"/>
                <w:sz w:val="24"/>
              </w:rPr>
              <w:t>：</w:t>
            </w:r>
            <w:r>
              <w:rPr>
                <w:rFonts w:ascii="Times New Roman" w:hAnsi="Times New Roman"/>
                <w:sz w:val="24"/>
              </w:rPr>
              <w:t>2026年上半年，前期行业低价周期签订的存量订单仍在持续交付，因此短期仍对营收及实验室服务板块利润存在一定阶段性影响，但并不改变公司整体经营向上的核心趋势。伴随高单价订单持续落地结转、项目结构持续优化，同时公司规模化运营效率、精细化成本管控效果逐步释放，实验室服务业务的利润率也将逐步修复，回归稳健合理的盈利区间。从今年全年节奏来看，三季度将延续稳步改善态势；四季度随着高价订单集中结转，营收规模及利润率将会有较为明显的改善。</w:t>
            </w:r>
          </w:p>
          <w:p w14:paraId="789EE9C5">
            <w:pPr>
              <w:spacing w:line="360" w:lineRule="auto"/>
              <w:ind w:firstLine="480" w:firstLineChars="200"/>
              <w:rPr>
                <w:rFonts w:ascii="Times New Roman" w:hAnsi="Times New Roman"/>
              </w:rPr>
            </w:pPr>
            <w:r>
              <w:rPr>
                <w:rFonts w:ascii="Times New Roman" w:hAnsi="Times New Roman"/>
                <w:sz w:val="24"/>
              </w:rPr>
              <w:t>6、公司新签订单同比增长98%至20.2亿元，在手订单达37亿元，在主营业务仍亏损的背景下，订单高速增长能否有效转化为未来的盈利改善？</w:t>
            </w:r>
          </w:p>
          <w:p w14:paraId="1A741DFB">
            <w:pPr>
              <w:numPr>
                <w:ilvl w:val="255"/>
                <w:numId w:val="0"/>
              </w:numPr>
              <w:spacing w:line="360" w:lineRule="auto"/>
              <w:ind w:firstLine="480" w:firstLineChars="200"/>
              <w:rPr>
                <w:rFonts w:ascii="Times New Roman" w:hAnsi="Times New Roman"/>
                <w:sz w:val="24"/>
              </w:rPr>
            </w:pPr>
            <w:r>
              <w:rPr>
                <w:rFonts w:ascii="Times New Roman" w:hAnsi="Times New Roman"/>
                <w:sz w:val="24"/>
              </w:rPr>
              <w:t>答</w:t>
            </w:r>
            <w:r>
              <w:rPr>
                <w:rFonts w:hint="eastAsia" w:ascii="Times New Roman" w:hAnsi="Times New Roman"/>
                <w:sz w:val="24"/>
              </w:rPr>
              <w:t>：</w:t>
            </w:r>
            <w:r>
              <w:rPr>
                <w:rFonts w:ascii="Times New Roman" w:hAnsi="Times New Roman"/>
                <w:sz w:val="24"/>
              </w:rPr>
              <w:t>自 2025 年第四季度开始，公司订单报价逐步修复，公司新签订单价格水平实现逐步回升。目前 20.2 亿元新签订单以及 37 亿元在手订单为后续收入确认奠定了扎实的业务基础，但订单到收入、利润释放存在项目执行周期，因此收入及利润的确认会滞后于新签订单的情况。但随着价格修复后的新签项目陆续进入执行阶段，按项目周期逐步结转、确认收入，叠加项目成本管控持续优化，公司整体盈利水平有望逐步回归正常盈利区间。同时公司会持续提升项目运营效率，加强项目全周期成本管理，推动充足的订单储备切实转化为未来的业绩改善。</w:t>
            </w:r>
          </w:p>
        </w:tc>
      </w:tr>
      <w:tr w14:paraId="4A5E4C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trPr>
        <w:tc>
          <w:tcPr>
            <w:tcW w:w="1998" w:type="dxa"/>
            <w:vAlign w:val="center"/>
          </w:tcPr>
          <w:p w14:paraId="66D86E92">
            <w:pPr>
              <w:spacing w:line="360" w:lineRule="auto"/>
              <w:jc w:val="left"/>
              <w:rPr>
                <w:rFonts w:ascii="Times New Roman" w:hAnsi="Times New Roman"/>
                <w:sz w:val="24"/>
                <w:szCs w:val="24"/>
              </w:rPr>
            </w:pPr>
            <w:r>
              <w:rPr>
                <w:rFonts w:hint="eastAsia" w:ascii="Times New Roman" w:hAnsi="Times New Roman"/>
                <w:sz w:val="24"/>
                <w:szCs w:val="24"/>
              </w:rPr>
              <w:t>附件清单（如有）</w:t>
            </w:r>
          </w:p>
        </w:tc>
        <w:tc>
          <w:tcPr>
            <w:tcW w:w="6719" w:type="dxa"/>
            <w:vAlign w:val="center"/>
          </w:tcPr>
          <w:p w14:paraId="005B7A3C">
            <w:pPr>
              <w:spacing w:line="360" w:lineRule="auto"/>
              <w:jc w:val="left"/>
              <w:rPr>
                <w:rFonts w:ascii="Times New Roman" w:hAnsi="Times New Roman"/>
                <w:sz w:val="24"/>
              </w:rPr>
            </w:pPr>
            <w:r>
              <w:rPr>
                <w:rFonts w:hint="eastAsia" w:ascii="Times New Roman" w:hAnsi="Times New Roman"/>
                <w:sz w:val="24"/>
              </w:rPr>
              <w:t>无</w:t>
            </w:r>
          </w:p>
        </w:tc>
      </w:tr>
      <w:tr w14:paraId="4A65B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trPr>
        <w:tc>
          <w:tcPr>
            <w:tcW w:w="1998" w:type="dxa"/>
            <w:vAlign w:val="center"/>
          </w:tcPr>
          <w:p w14:paraId="51808EAC">
            <w:pPr>
              <w:spacing w:line="360" w:lineRule="auto"/>
              <w:jc w:val="left"/>
              <w:rPr>
                <w:rFonts w:ascii="Times New Roman" w:hAnsi="Times New Roman"/>
                <w:sz w:val="24"/>
                <w:szCs w:val="24"/>
              </w:rPr>
            </w:pPr>
            <w:r>
              <w:rPr>
                <w:rFonts w:hint="eastAsia" w:ascii="Times New Roman" w:hAnsi="Times New Roman"/>
                <w:sz w:val="24"/>
                <w:szCs w:val="24"/>
              </w:rPr>
              <w:t>日期</w:t>
            </w:r>
          </w:p>
        </w:tc>
        <w:tc>
          <w:tcPr>
            <w:tcW w:w="6719" w:type="dxa"/>
            <w:vAlign w:val="center"/>
          </w:tcPr>
          <w:p w14:paraId="5DE782E2">
            <w:pPr>
              <w:spacing w:line="360" w:lineRule="auto"/>
              <w:jc w:val="left"/>
              <w:rPr>
                <w:rFonts w:ascii="Times New Roman" w:hAnsi="Times New Roman"/>
                <w:sz w:val="24"/>
              </w:rPr>
            </w:pPr>
            <w:r>
              <w:rPr>
                <w:rFonts w:ascii="Times New Roman" w:hAnsi="Times New Roman"/>
                <w:bCs/>
                <w:iCs/>
                <w:color w:val="000000"/>
                <w:sz w:val="24"/>
              </w:rPr>
              <w:t>2026年</w:t>
            </w:r>
            <w:r>
              <w:rPr>
                <w:rFonts w:hint="eastAsia" w:ascii="Times New Roman" w:hAnsi="Times New Roman"/>
                <w:bCs/>
                <w:iCs/>
                <w:color w:val="000000"/>
                <w:sz w:val="24"/>
              </w:rPr>
              <w:t>9</w:t>
            </w:r>
            <w:r>
              <w:rPr>
                <w:rFonts w:ascii="Times New Roman" w:hAnsi="Times New Roman"/>
                <w:bCs/>
                <w:iCs/>
                <w:color w:val="000000"/>
                <w:sz w:val="24"/>
              </w:rPr>
              <w:t>月8日</w:t>
            </w:r>
          </w:p>
        </w:tc>
      </w:tr>
    </w:tbl>
    <w:p w14:paraId="433DD659"/>
    <w:p w14:paraId="3A551C60"/>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7E9AD">
    <w:pPr>
      <w:pStyle w:val="2"/>
      <w:tabs>
        <w:tab w:val="clear" w:pos="4153"/>
      </w:tabs>
      <w:jc w:val="right"/>
    </w:pPr>
    <w:r>
      <w:rPr>
        <w:rFonts w:hint="eastAsia"/>
      </w:rPr>
      <w:t>北京昭衍新药研究中心股份有限公司投资者关系活动记录表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I3NTlhNGJhZTk1YmZkMTc2MTM0MTg2MGI3NTFmMTEifQ=="/>
  </w:docVars>
  <w:rsids>
    <w:rsidRoot w:val="007C1F91"/>
    <w:rsid w:val="004F2175"/>
    <w:rsid w:val="007C1BDB"/>
    <w:rsid w:val="007C1F91"/>
    <w:rsid w:val="007E31B9"/>
    <w:rsid w:val="009E39B8"/>
    <w:rsid w:val="0DA8136D"/>
    <w:rsid w:val="0FE8213B"/>
    <w:rsid w:val="124F46F3"/>
    <w:rsid w:val="12992410"/>
    <w:rsid w:val="152D239E"/>
    <w:rsid w:val="1CB2496B"/>
    <w:rsid w:val="1E34479D"/>
    <w:rsid w:val="20B6067F"/>
    <w:rsid w:val="2EDC5093"/>
    <w:rsid w:val="31F12C79"/>
    <w:rsid w:val="325D20BC"/>
    <w:rsid w:val="32807B59"/>
    <w:rsid w:val="3C59493B"/>
    <w:rsid w:val="43003DC8"/>
    <w:rsid w:val="44602453"/>
    <w:rsid w:val="477D2C30"/>
    <w:rsid w:val="4972249A"/>
    <w:rsid w:val="5721105B"/>
    <w:rsid w:val="5FEB0458"/>
    <w:rsid w:val="601C5616"/>
    <w:rsid w:val="606D13C6"/>
    <w:rsid w:val="61B42C51"/>
    <w:rsid w:val="64C86FBA"/>
    <w:rsid w:val="65DF6369"/>
    <w:rsid w:val="670E1BEF"/>
    <w:rsid w:val="6E20577C"/>
    <w:rsid w:val="71787AB9"/>
    <w:rsid w:val="73347415"/>
    <w:rsid w:val="7551349F"/>
    <w:rsid w:val="79420C91"/>
    <w:rsid w:val="79C066CF"/>
    <w:rsid w:val="7D1A427A"/>
    <w:rsid w:val="7F75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table" w:styleId="4">
    <w:name w:val="Table Grid"/>
    <w:basedOn w:val="3"/>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6">
    <w:name w:val="Hyperlink"/>
    <w:basedOn w:val="5"/>
    <w:unhideWhenUsed/>
    <w:qFormat/>
    <w:uiPriority w:val="99"/>
    <w:rPr>
      <w:color w:val="0563C1"/>
      <w:u w:val="single"/>
    </w:rPr>
  </w:style>
  <w:style w:type="paragraph" w:customStyle="1" w:styleId="7">
    <w:name w:val="_Style 6"/>
    <w:basedOn w:val="1"/>
    <w:qFormat/>
    <w:uiPriority w:val="34"/>
    <w:pPr>
      <w:ind w:firstLine="420" w:firstLineChars="200"/>
    </w:pPr>
  </w:style>
  <w:style w:type="paragraph" w:customStyle="1" w:styleId="8">
    <w:name w:val="Revision"/>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2880</Words>
  <Characters>3001</Characters>
  <Lines>22</Lines>
  <Paragraphs>6</Paragraphs>
  <TotalTime>8</TotalTime>
  <ScaleCrop>false</ScaleCrop>
  <LinksUpToDate>false</LinksUpToDate>
  <CharactersWithSpaces>3139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2026-09-08T02:33:00Z</dcterms:created>
  <dc:creator>Administrator</dc:creator>
  <cp:lastModifiedBy>AAA</cp:lastModifiedBy>
  <dcterms:modified xsi:type="dcterms:W3CDTF">2026-09-08T03:13:34Z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85CD4AF29FEA47689F308524144D38C8_13</vt:lpwstr>
  </property>
  <property fmtid="{D5CDD505-2E9C-101B-9397-08002B2CF9AE}" pid="4" name="KSOTemplateDocerSaveRecord">
    <vt:lpwstr>eyJoZGlkIjoiODg3ZmNjYTg3NjNiMjYxOTFkNDhiOGQzM2JmYzRiZjAiLCJ1c2VySWQiOiI0MTI5MjY3MDIifQ==</vt:lpwstr>
  </property>
</Properties>
</file>