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64376">
      <w:pPr>
        <w:spacing w:line="342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证券代码：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600936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证券简称：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北投科技</w:t>
      </w:r>
    </w:p>
    <w:p w14:paraId="585A7B76">
      <w:pPr>
        <w:spacing w:line="342" w:lineRule="auto"/>
        <w:rPr>
          <w:rFonts w:ascii="Arial"/>
          <w:sz w:val="21"/>
        </w:rPr>
      </w:pPr>
    </w:p>
    <w:p w14:paraId="032BAD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ascii="黑体" w:hAnsi="黑体" w:eastAsia="黑体" w:cs="黑体"/>
          <w:b/>
          <w:bCs/>
          <w:spacing w:val="15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pacing w:val="15"/>
          <w:sz w:val="44"/>
          <w:szCs w:val="44"/>
          <w:lang w:val="en-US" w:eastAsia="zh-CN"/>
        </w:rPr>
        <w:t>广西北投科技</w:t>
      </w:r>
      <w:r>
        <w:rPr>
          <w:rFonts w:ascii="黑体" w:hAnsi="黑体" w:eastAsia="黑体" w:cs="黑体"/>
          <w:b/>
          <w:bCs/>
          <w:spacing w:val="15"/>
          <w:sz w:val="44"/>
          <w:szCs w:val="44"/>
        </w:rPr>
        <w:t>股份有限公司</w:t>
      </w:r>
    </w:p>
    <w:p w14:paraId="73BCA7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ascii="黑体" w:hAnsi="黑体" w:eastAsia="黑体" w:cs="黑体"/>
          <w:b/>
          <w:bCs/>
          <w:spacing w:val="15"/>
          <w:sz w:val="44"/>
          <w:szCs w:val="44"/>
        </w:rPr>
        <w:t>投资</w:t>
      </w:r>
      <w:r>
        <w:rPr>
          <w:rFonts w:hint="eastAsia" w:ascii="黑体" w:hAnsi="黑体" w:eastAsia="黑体" w:cs="黑体"/>
          <w:b/>
          <w:bCs/>
          <w:spacing w:val="15"/>
          <w:sz w:val="44"/>
          <w:szCs w:val="44"/>
          <w:lang w:val="en-US" w:eastAsia="zh-CN"/>
        </w:rPr>
        <w:t>者</w:t>
      </w:r>
      <w:r>
        <w:rPr>
          <w:rFonts w:ascii="黑体" w:hAnsi="黑体" w:eastAsia="黑体" w:cs="黑体"/>
          <w:b/>
          <w:bCs/>
          <w:spacing w:val="15"/>
          <w:sz w:val="44"/>
          <w:szCs w:val="44"/>
        </w:rPr>
        <w:t>关系活动</w:t>
      </w:r>
      <w:r>
        <w:rPr>
          <w:rFonts w:ascii="黑体" w:hAnsi="黑体" w:eastAsia="黑体" w:cs="黑体"/>
          <w:b/>
          <w:bCs/>
          <w:spacing w:val="2"/>
          <w:sz w:val="44"/>
          <w:szCs w:val="44"/>
        </w:rPr>
        <w:t>记录表</w:t>
      </w:r>
    </w:p>
    <w:p w14:paraId="4ED51C22">
      <w:pPr>
        <w:spacing w:before="131" w:line="224" w:lineRule="auto"/>
        <w:ind w:left="211" w:leftChars="0" w:hanging="211" w:hangingChars="69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编号：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2026-001</w:t>
      </w:r>
    </w:p>
    <w:tbl>
      <w:tblPr>
        <w:tblStyle w:val="10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7355"/>
      </w:tblGrid>
      <w:tr w14:paraId="25ECB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1710" w:type="dxa"/>
            <w:vAlign w:val="center"/>
          </w:tcPr>
          <w:p w14:paraId="1389B5E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投资者关系活动类别</w:t>
            </w:r>
          </w:p>
        </w:tc>
        <w:tc>
          <w:tcPr>
            <w:tcW w:w="7355" w:type="dxa"/>
            <w:vAlign w:val="top"/>
          </w:tcPr>
          <w:p w14:paraId="504E6E9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特定对象调研</w:t>
            </w: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分析师会议</w:t>
            </w:r>
          </w:p>
          <w:p w14:paraId="5BADE16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□媒体采访</w:t>
            </w: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□业绩说明会</w:t>
            </w:r>
          </w:p>
          <w:p w14:paraId="75E0C46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□新闻发布会</w:t>
            </w: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□路演活动</w:t>
            </w:r>
          </w:p>
          <w:p w14:paraId="4A672CA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现场参观</w:t>
            </w:r>
          </w:p>
          <w:p w14:paraId="473FC32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其他（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我是股东”走进沪市上市公司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val="en-US" w:eastAsia="zh-CN"/>
              </w:rPr>
              <w:t>北投科技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）</w:t>
            </w:r>
          </w:p>
        </w:tc>
      </w:tr>
      <w:tr w14:paraId="71B61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710" w:type="dxa"/>
            <w:vAlign w:val="center"/>
          </w:tcPr>
          <w:p w14:paraId="6350936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highlight w:val="none"/>
              </w:rPr>
              <w:t>活动参与人员</w:t>
            </w:r>
          </w:p>
        </w:tc>
        <w:tc>
          <w:tcPr>
            <w:tcW w:w="7355" w:type="dxa"/>
            <w:vAlign w:val="center"/>
          </w:tcPr>
          <w:p w14:paraId="2CED27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left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国投证券及参加活动的机构和个人投资者30人</w:t>
            </w:r>
          </w:p>
        </w:tc>
      </w:tr>
      <w:tr w14:paraId="58E8F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710" w:type="dxa"/>
            <w:vAlign w:val="center"/>
          </w:tcPr>
          <w:p w14:paraId="113A668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17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32"/>
                <w:szCs w:val="32"/>
                <w:lang w:val="en-US" w:eastAsia="zh-CN"/>
              </w:rPr>
              <w:t>上市公司接待人员</w:t>
            </w:r>
          </w:p>
        </w:tc>
        <w:tc>
          <w:tcPr>
            <w:tcW w:w="7355" w:type="dxa"/>
            <w:vAlign w:val="top"/>
          </w:tcPr>
          <w:p w14:paraId="600D96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公司管理层，董事会办公室（证券事务部）、财务管理部、市场发展部、企业运营中心相关人员</w:t>
            </w:r>
          </w:p>
        </w:tc>
      </w:tr>
      <w:tr w14:paraId="023A3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710" w:type="dxa"/>
            <w:vAlign w:val="center"/>
          </w:tcPr>
          <w:p w14:paraId="320B49E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32"/>
                <w:szCs w:val="32"/>
              </w:rPr>
              <w:t>时间</w:t>
            </w:r>
          </w:p>
        </w:tc>
        <w:tc>
          <w:tcPr>
            <w:tcW w:w="7355" w:type="dxa"/>
            <w:vAlign w:val="top"/>
          </w:tcPr>
          <w:p w14:paraId="3B60EF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2026年9月4日</w:t>
            </w:r>
          </w:p>
        </w:tc>
      </w:tr>
      <w:tr w14:paraId="47F00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710" w:type="dxa"/>
            <w:vAlign w:val="center"/>
          </w:tcPr>
          <w:p w14:paraId="5302BE2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地点</w:t>
            </w:r>
          </w:p>
        </w:tc>
        <w:tc>
          <w:tcPr>
            <w:tcW w:w="7355" w:type="dxa"/>
            <w:vAlign w:val="top"/>
          </w:tcPr>
          <w:p w14:paraId="4A96B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广西壮族自治区南宁市西乡塘区新康西路158号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广西北投科技股份有限公司</w:t>
            </w:r>
          </w:p>
        </w:tc>
      </w:tr>
      <w:tr w14:paraId="64E50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710" w:type="dxa"/>
            <w:vAlign w:val="center"/>
          </w:tcPr>
          <w:p w14:paraId="72B3332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形式</w:t>
            </w:r>
          </w:p>
        </w:tc>
        <w:tc>
          <w:tcPr>
            <w:tcW w:w="7355" w:type="dxa"/>
            <w:vAlign w:val="top"/>
          </w:tcPr>
          <w:p w14:paraId="11B5AF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现场参观</w:t>
            </w:r>
          </w:p>
        </w:tc>
      </w:tr>
      <w:tr w14:paraId="78EEC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710" w:type="dxa"/>
            <w:vAlign w:val="center"/>
          </w:tcPr>
          <w:p w14:paraId="1B6DF5A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32"/>
                <w:szCs w:val="32"/>
              </w:rPr>
              <w:t>交流内容及具体问答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记录</w:t>
            </w:r>
          </w:p>
        </w:tc>
        <w:tc>
          <w:tcPr>
            <w:tcW w:w="7355" w:type="dxa"/>
            <w:vAlign w:val="top"/>
          </w:tcPr>
          <w:p w14:paraId="728272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日，公司联合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国投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证券举办“我是股东”走进上市公司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北投科技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活动。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投资者实地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参观了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展厅及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各业务板块实验室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随后进行座谈交流，公司管理层就业务发展情况、战略规划及投资者关心的问题进行了介绍与解答。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记录如下：</w:t>
            </w:r>
          </w:p>
          <w:p w14:paraId="63F2F3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3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公司2026年上半年营业收入同比有所下降，但利润实现扭亏为盈，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具体是什么原因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？</w:t>
            </w:r>
          </w:p>
          <w:p w14:paraId="58E52E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2026年上半年，公司实现营业收入14.13亿元，利润总额1.20亿元，归属于上市公司股东的净利润5,235.29万元，业绩情况实现扭亏为盈，基本面表现持续企稳回升。</w:t>
            </w:r>
          </w:p>
          <w:p w14:paraId="74F2E7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关于营业收入同比下降，主要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因为重大资产置换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后合并报表范围变化所致。上年同期营收同时包含广电科技及交科集团经营业绩，本期不再包含广电科技经营业绩。虽然营业收入规模有所下降，但随着原广电亏损业务整体剥离，公司盈利结构持续优化，盈利质量显著提升。报告期内，公司核心主业发展动能稳步增强，聚焦智慧交通领域，持续夯实数智工程、勘察设计与试验检测、新材料及机电设备三大业务板块，高速公路机电工程、试验检测等传统交通业务稳步推进，在手订单有序转化，基本盘保持稳固；同时积极拓展区外市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，围绕低空经济、新能源与交能融合、智能装备等新兴方向开展业务探索，为公司转型升级积蓄力量。公司将继续聚焦智慧交通主业，持续提升经营质效，推动公司高质量发展。感谢您的关注！</w:t>
            </w:r>
          </w:p>
          <w:p w14:paraId="0133F8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643" w:firstLineChars="200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  <w:t>平陆运河即将通航，公司参与了哪些工作？通航后是否还有持续性的发展机会和项目？</w:t>
            </w:r>
          </w:p>
          <w:p w14:paraId="65933A3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  <w:lang w:val="en-US" w:eastAsia="en-US" w:bidi="ar-SA"/>
              </w:rPr>
              <w:t>平陆运河是西部陆海新通道骨干工程和新时代标志性重大工程。作为广西本土交通科技企业，公司依托勘察设计与试验检测、数智工程、新材料及机电设备三大业务协同的综合优势，积极参与了平陆运河建设相关工作，承担了检测咨询、信息化、电气工程等相关业务，积累了大型水运工程的技术能力和项目经验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  <w:lang w:val="en-US" w:eastAsia="zh-CN" w:bidi="ar-SA"/>
              </w:rPr>
              <w:t>后续，公司会依托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  <w:lang w:val="en-US" w:eastAsia="en-US" w:bidi="ar-SA"/>
              </w:rPr>
              <w:t>技术和经验积累，围绕自身优势领域持续跟踪、积极参与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  <w:lang w:val="en-US" w:eastAsia="zh-CN" w:bidi="ar-SA"/>
              </w:rPr>
              <w:t>相关领域项目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  <w:lang w:val="en-US" w:eastAsia="en-US" w:bidi="ar-SA"/>
              </w:rPr>
              <w:t>，踏实做好经营，努力争取更多项目机会。如签订达到披露标准的重大合同，公司将严格按照信息披露规则及时履行披露义务。感谢您的关注！</w:t>
            </w:r>
          </w:p>
          <w:p w14:paraId="3EEEBF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3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3.公司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半年报多次提及人工智能、“科宝”交通大模型等，公司人工智能业务目前进展如何？</w:t>
            </w:r>
          </w:p>
          <w:p w14:paraId="3A67D4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司高度重视人工智能技术在交通领域的融合应用，已建成自主可控的AI技术底座，形成从数据采集、标注、模型训练到智能体应用的全链路能力。目前，公司人工智能主要作为技术手段赋能主营业务，相关进展如下：</w:t>
            </w:r>
          </w:p>
          <w:p w14:paraId="740550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一是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AI垂类产品已实现场景化落地。公司自主研发的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报告通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数据通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等AI垂类产品，已在多式联运、口岸监管、高速运营、安全监测等场景深度应用，持续为公司主业注入智能化价值。</w:t>
            </w:r>
          </w:p>
          <w:p w14:paraId="2FD759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交通大模型赋能智慧管养。公司以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检E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智能多维道路检测车研发与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交通大模型应用为突破口，针对传统养护决策经验依赖性强、灾害事件识别效率低等行业痛点，构建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空天地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体化智慧管养技术体系。相关模型已赋能科学养护决策、灾害事件识别等场景，推出全区公路网络科学养护决策模型，助推养护行业降本增效；同时开发广西交通基础设施智慧管养与应急平台等系列产品，深度融合北斗、AI、数字孪生等技术，加速推动交通运输行业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经验驱动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数据驱动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转型。</w:t>
            </w:r>
          </w:p>
          <w:p w14:paraId="38C79C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三是AI技术在新兴领域持续拓展。在低空经济领域，公司研发的AI识别算法可精准驱动无人机完成公路无人化智能巡检、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施工管理AI监管、抛洒物识别、交通事故辅助处置、风险隐患排查及高边坡巡查等六大场景任务；在智能装备领域，AI技术已应用于隧道智能调光系统、智检机器人一站式自动化服务系统等创新成果。</w:t>
            </w:r>
          </w:p>
          <w:p w14:paraId="0CA0CC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截至目前，公司人工智能主要作为技术手段赋能数智工程、勘察设计与试验检测、新材料及机电设备等主营业务，尚未形成独立的人工智能业务板块。公司将持续加大人工智能技术研发投入，深化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AI+交通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场景应用，助力公司高质量发展。感谢您的关注！</w:t>
            </w:r>
          </w:p>
          <w:p w14:paraId="5B1094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3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4.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公司已经连续两个季度实现盈利，上半年扭亏为盈是否具有可持续性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？</w:t>
            </w:r>
          </w:p>
          <w:p w14:paraId="28407C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2026年上半年，公司顺利实现扭亏为盈，经营基本面企稳回升，经营质效实现根本性改善。本期实现营业收入14.13亿元，利润总额1.20亿元，归属于上市公司股东的净利润5,235.29万元。</w:t>
            </w:r>
          </w:p>
          <w:p w14:paraId="3FF2A5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关于盈利的可持续性，公司具备以下几方面的支撑基础：</w:t>
            </w:r>
          </w:p>
          <w:p w14:paraId="0551EB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一是亏损业务已彻底出清，盈利结构根本性改善。随着重大资产置换完成，原广电亏损业务已整体剥离，公司主业聚焦智慧交通科技赛道，历史包袱有效化解，为持续盈利奠定了坚实基础。</w:t>
            </w:r>
          </w:p>
          <w:p w14:paraId="1FF00F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是传统主业基本盘稳固，在手订单有序转化。公司持续夯实数智工程、勘察设计与试验检测、新材料及机电设备三大业务板块，高速公路机电工程、试验检测等传统交通业务稳步推进，区内市场地位持续巩固，在手订单有序转化，基本盘保持稳固。</w:t>
            </w:r>
          </w:p>
          <w:p w14:paraId="3C1873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是区外市场拓展取得突破，增长空间持续打开。报告期内，公司积极拓展区外市场，成功落地深圳妈湾跨海通道智慧化提升工程、江苏东兴高速机电项目、长沙绕城高速数字化升级等标杆项目，中标新疆独库高速中心实验室、柬埔寨扶南德佐综合水利工程检测项目，区外及海外市场布局成效初步显现，为业绩持续增长提供了新的空间。</w:t>
            </w:r>
          </w:p>
          <w:p w14:paraId="40C37A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四是新兴业务布局积极，转型升级积蓄动能。公司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围绕低空经济、新能源与交能融合、智能装备等新兴方向开展业务探索，创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新产品持续迭代，保持高强度研发投入。报告期内获得29项科技项目立项（其中省部级28项），新增授权专利42件（其中发明专利23件），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各项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创新成果加速落地，为公司转型升级和长期发展积蓄力量。</w:t>
            </w:r>
          </w:p>
          <w:p w14:paraId="643E64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公司将继续聚焦智慧交通主业，持续提升经营质效，推动公司高质量发展。感谢您的关注！</w:t>
            </w:r>
          </w:p>
          <w:p w14:paraId="3D8778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3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公司一直强调“走出去”，2026年上半年区外和海外市场拓展情况如何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？</w:t>
            </w:r>
          </w:p>
          <w:p w14:paraId="1ABA6C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2026年上半年，公司坚持“立足区内、辐射全国”的市场布局，通过设立国内多地区域经营中心，优化资源配置与市场响应机制。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报告期内，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区外和海外市场拓展均取得积极进展。</w:t>
            </w:r>
          </w:p>
          <w:p w14:paraId="705F65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区外市场方面，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公司持续加快区外市场拓展和业务场景延伸，成功进入江苏高速公路机电工程施工市场；顺利承接深圳妈湾跨海通道智慧化提升工程，首次实现海底隧道智慧化升级领域项目落地，进一步拓宽数智工程业务边界；同时，持续深耕高速公路数字化转型赛道，承接长沙绕城高速西北段数字化升级深化设计项目，进一步强化智慧高速、数字化改造等领域技术积累和项目经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中标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新疆独库高速中心实验室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  <w:t>为公司区外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市场持续拓展奠定良好基础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6D4048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海外市场方面，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公司充分发挥广西毗邻东盟的区位优势，积极服务“一带一路”和西部陆海新通道建设。报告期内，公司成功中标中越东兴—芒街智慧口岸北仑河一桥旅客通道项目，进一步积累跨境智慧口岸建设项目经验，为后续参与“一带一路”沿线国家智慧口岸及相关数字化项目提供可复制的实践经验；同时，公司积极拓展海外工程技术服务市场，成功中标柬埔寨扶南德佐综合水利工程试验检测技术服务项目，推动试验检测业务向东盟市场延伸，为公司进一步拓展海外市场、提升国际化业务能力积累项目经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。感谢您的关注！</w:t>
            </w:r>
          </w:p>
        </w:tc>
      </w:tr>
      <w:tr w14:paraId="7CBF1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1710" w:type="dxa"/>
            <w:vAlign w:val="center"/>
          </w:tcPr>
          <w:p w14:paraId="3ECECD2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32"/>
                <w:szCs w:val="32"/>
              </w:rPr>
              <w:t>关于本次活动是否涉及应披露重大信息的</w:t>
            </w: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说明</w:t>
            </w:r>
          </w:p>
        </w:tc>
        <w:tc>
          <w:tcPr>
            <w:tcW w:w="7355" w:type="dxa"/>
            <w:vAlign w:val="top"/>
          </w:tcPr>
          <w:p w14:paraId="040EE5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238CA5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320" w:firstLineChars="10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否</w:t>
            </w:r>
          </w:p>
        </w:tc>
      </w:tr>
      <w:tr w14:paraId="46A044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1710" w:type="dxa"/>
            <w:vAlign w:val="center"/>
          </w:tcPr>
          <w:p w14:paraId="5B993C8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32"/>
                <w:szCs w:val="32"/>
              </w:rPr>
              <w:t>活动过程中所使用的</w:t>
            </w: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演示文稿、提供的文档等附件（如有，可作为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附件）</w:t>
            </w:r>
          </w:p>
        </w:tc>
        <w:tc>
          <w:tcPr>
            <w:tcW w:w="7355" w:type="dxa"/>
            <w:vAlign w:val="top"/>
          </w:tcPr>
          <w:p w14:paraId="26AB9B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4C41CF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320" w:firstLineChars="100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无</w:t>
            </w:r>
          </w:p>
        </w:tc>
      </w:tr>
    </w:tbl>
    <w:p w14:paraId="59D1FFFE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361" w:bottom="1041" w:left="1474" w:header="0" w:footer="67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1FDC6">
    <w:pPr>
      <w:spacing w:line="233" w:lineRule="auto"/>
      <w:ind w:left="784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3B043">
                          <w:pPr>
                            <w:pStyle w:val="3"/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t>—　</w:t>
                          </w: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1"/>
                              <w:szCs w:val="21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7C3B043">
                    <w:pPr>
                      <w:pStyle w:val="3"/>
                      <w:rPr>
                        <w:rFonts w:ascii="宋体" w:hAnsi="宋体" w:eastAsia="宋体"/>
                        <w:sz w:val="21"/>
                        <w:szCs w:val="21"/>
                      </w:rPr>
                    </w:pP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t>—　</w:t>
                    </w: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1"/>
                        <w:szCs w:val="21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9726DE7"/>
    <w:rsid w:val="32534769"/>
    <w:rsid w:val="3355726E"/>
    <w:rsid w:val="34305B10"/>
    <w:rsid w:val="4BD55986"/>
    <w:rsid w:val="4D654A45"/>
    <w:rsid w:val="4E704ACE"/>
    <w:rsid w:val="613B0A3A"/>
    <w:rsid w:val="6705099E"/>
    <w:rsid w:val="6CC22541"/>
    <w:rsid w:val="76404839"/>
    <w:rsid w:val="79A17972"/>
    <w:rsid w:val="7CCA34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fa03f5aa-10cb-4f98-9e58-4975cf7b3086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7282722D</paraID>
      <start>32</start>
      <end>33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f92c1d-4ac0-4d24-8ce9-8fee4dd86d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3025</Words>
  <Characters>3108</Characters>
  <TotalTime>29</TotalTime>
  <ScaleCrop>false</ScaleCrop>
  <LinksUpToDate>false</LinksUpToDate>
  <CharactersWithSpaces>3160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2026-07-20T01:28:00Z</dcterms:created>
  <dc:creator>user</dc:creator>
  <cp:lastModifiedBy>李佳延</cp:lastModifiedBy>
  <dcterms:modified xsi:type="dcterms:W3CDTF">2026-09-07T09:03:55Z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2026-07-20T09:28:07Z</vt:filetime>
  </property>
  <property fmtid="{D5CDD505-2E9C-101B-9397-08002B2CF9AE}" pid="4" name="KSOTemplateDocerSaveRecord">
    <vt:lpwstr>eyJoZGlkIjoiZDNlOWQwNjg2OTRkYmJlZmQxNTdiNDI1ZDljZGM5ZTUiLCJ1c2VySWQiOiIxNzExODU2NDg3In0=</vt:lpwstr>
  </property>
  <property fmtid="{D5CDD505-2E9C-101B-9397-08002B2CF9AE}" pid="5" name="KSOProductBuildVer">
    <vt:lpwstr>2052-12.1.0.23542</vt:lpwstr>
  </property>
  <property fmtid="{D5CDD505-2E9C-101B-9397-08002B2CF9AE}" pid="6" name="ICV">
    <vt:lpwstr>D75147570B4F4A16B6F928E3FA758964_13</vt:lpwstr>
  </property>
</Properties>
</file>