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D552C">
      <w:pPr>
        <w:pStyle w:val="2"/>
        <w:rPr>
          <w:rFonts w:hint="default" w:ascii="宋体" w:hAnsi="宋体" w:eastAsia="宋体" w:cs="宋体"/>
          <w:sz w:val="20"/>
          <w:szCs w:val="20"/>
          <w:lang w:val="en-US" w:eastAsia="zh-CN"/>
        </w:rPr>
      </w:pPr>
      <w:r>
        <w:rPr>
          <w:rFonts w:hint="eastAsia" w:ascii="宋体" w:hAnsi="宋体" w:eastAsia="宋体" w:cs="宋体"/>
          <w:sz w:val="20"/>
          <w:szCs w:val="20"/>
          <w:lang w:val="en-US"/>
        </w:rPr>
        <w:t>证券代码：</w:t>
      </w:r>
      <w:r>
        <w:rPr>
          <w:rFonts w:hint="eastAsia" w:ascii="宋体" w:hAnsi="宋体" w:eastAsia="宋体" w:cs="宋体"/>
          <w:sz w:val="20"/>
          <w:szCs w:val="20"/>
          <w:lang w:val="en-US" w:eastAsia="zh-CN"/>
        </w:rPr>
        <w:t>603559</w:t>
      </w:r>
      <w:r>
        <w:rPr>
          <w:rFonts w:hint="eastAsia" w:ascii="宋体" w:hAnsi="宋体" w:eastAsia="宋体" w:cs="宋体"/>
          <w:sz w:val="20"/>
          <w:szCs w:val="20"/>
          <w:lang w:val="en-US"/>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0"/>
          <w:szCs w:val="20"/>
          <w:lang w:val="en-US"/>
        </w:rPr>
        <w:t>证券简称：</w:t>
      </w:r>
      <w:r>
        <w:rPr>
          <w:rFonts w:hint="eastAsia" w:ascii="宋体" w:hAnsi="宋体" w:eastAsia="宋体" w:cs="宋体"/>
          <w:sz w:val="20"/>
          <w:szCs w:val="20"/>
          <w:lang w:val="en-US" w:eastAsia="zh-CN"/>
        </w:rPr>
        <w:t>中通国脉</w:t>
      </w:r>
    </w:p>
    <w:p w14:paraId="3F898293">
      <w:pPr>
        <w:spacing w:line="360" w:lineRule="auto"/>
        <w:jc w:val="center"/>
        <w:rPr>
          <w:rFonts w:ascii="宋体" w:hAnsi="宋体" w:eastAsia="宋体" w:cs="宋体"/>
          <w:b/>
          <w:bCs/>
          <w:sz w:val="44"/>
          <w:szCs w:val="44"/>
        </w:rPr>
      </w:pPr>
    </w:p>
    <w:p w14:paraId="4F8CBC60">
      <w:pPr>
        <w:spacing w:line="360" w:lineRule="auto"/>
        <w:jc w:val="center"/>
        <w:rPr>
          <w:rFonts w:ascii="宋体" w:hAnsi="宋体" w:eastAsia="宋体" w:cs="宋体"/>
          <w:b/>
          <w:bCs/>
          <w:sz w:val="44"/>
          <w:szCs w:val="44"/>
        </w:rPr>
      </w:pPr>
      <w:r>
        <w:rPr>
          <w:rFonts w:hint="eastAsia" w:ascii="宋体" w:hAnsi="宋体" w:eastAsia="宋体" w:cs="宋体"/>
          <w:b/>
          <w:bCs/>
          <w:sz w:val="44"/>
          <w:szCs w:val="44"/>
        </w:rPr>
        <w:t>中通国脉通信股份有限公司</w:t>
      </w:r>
    </w:p>
    <w:p w14:paraId="2F018A79">
      <w:pPr>
        <w:spacing w:line="360" w:lineRule="auto"/>
        <w:jc w:val="center"/>
        <w:rPr>
          <w:rFonts w:ascii="宋体" w:hAnsi="宋体" w:eastAsia="宋体" w:cs="宋体"/>
          <w:sz w:val="44"/>
          <w:szCs w:val="44"/>
        </w:rPr>
      </w:pPr>
      <w:r>
        <w:rPr>
          <w:rFonts w:hint="eastAsia" w:ascii="宋体" w:hAnsi="宋体" w:eastAsia="宋体" w:cs="宋体"/>
          <w:b/>
          <w:bCs/>
          <w:sz w:val="44"/>
          <w:szCs w:val="44"/>
        </w:rPr>
        <w:t>投资者关系活动记录表</w:t>
      </w:r>
    </w:p>
    <w:p w14:paraId="586658E2">
      <w:pPr>
        <w:spacing w:before="51" w:after="32"/>
        <w:ind w:right="619"/>
        <w:jc w:val="right"/>
        <w:rPr>
          <w:rFonts w:hint="default" w:ascii="宋体" w:hAnsi="宋体" w:eastAsia="宋体" w:cs="宋体"/>
          <w:sz w:val="20"/>
          <w:szCs w:val="20"/>
          <w:lang w:val="en-US" w:eastAsia="zh-CN"/>
        </w:rPr>
      </w:pPr>
      <w:r>
        <w:rPr>
          <w:rFonts w:hint="eastAsia" w:ascii="宋体" w:hAnsi="宋体" w:eastAsia="宋体" w:cs="宋体"/>
          <w:sz w:val="20"/>
          <w:szCs w:val="20"/>
        </w:rPr>
        <w:t>编号：</w:t>
      </w:r>
      <w:r>
        <w:rPr>
          <w:rFonts w:hint="eastAsia" w:ascii="宋体" w:hAnsi="宋体" w:eastAsia="宋体" w:cs="宋体"/>
          <w:sz w:val="20"/>
          <w:szCs w:val="20"/>
          <w:lang w:val="en-US"/>
        </w:rPr>
        <w:t>2026</w:t>
      </w:r>
      <w:r>
        <w:rPr>
          <w:rFonts w:hint="eastAsia" w:ascii="宋体" w:hAnsi="宋体" w:eastAsia="宋体" w:cs="宋体"/>
          <w:sz w:val="20"/>
          <w:szCs w:val="20"/>
        </w:rPr>
        <w:t xml:space="preserve"> -</w:t>
      </w:r>
      <w:r>
        <w:rPr>
          <w:rFonts w:hint="eastAsia" w:ascii="宋体" w:hAnsi="宋体" w:eastAsia="宋体" w:cs="宋体"/>
          <w:sz w:val="20"/>
          <w:szCs w:val="20"/>
          <w:lang w:val="en-US" w:eastAsia="zh-CN"/>
        </w:rPr>
        <w:t>003</w:t>
      </w:r>
    </w:p>
    <w:tbl>
      <w:tblPr>
        <w:tblStyle w:val="9"/>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2413"/>
        <w:gridCol w:w="6112"/>
      </w:tblGrid>
      <w:tr w14:paraId="7FA6E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2413" w:type="dxa"/>
            <w:vAlign w:val="center"/>
          </w:tcPr>
          <w:p w14:paraId="57411F08">
            <w:pPr>
              <w:pStyle w:val="12"/>
              <w:keepNext w:val="0"/>
              <w:keepLines w:val="0"/>
              <w:pageBreakBefore w:val="0"/>
              <w:widowControl w:val="0"/>
              <w:kinsoku/>
              <w:wordWrap/>
              <w:overflowPunct/>
              <w:topLinePunct w:val="0"/>
              <w:autoSpaceDE w:val="0"/>
              <w:autoSpaceDN w:val="0"/>
              <w:bidi w:val="0"/>
              <w:adjustRightInd/>
              <w:snapToGrid/>
              <w:spacing w:line="360" w:lineRule="auto"/>
              <w:ind w:left="0"/>
              <w:jc w:val="center"/>
              <w:textAlignment w:val="auto"/>
              <w:rPr>
                <w:rFonts w:ascii="宋体" w:hAnsi="宋体" w:eastAsia="宋体" w:cs="宋体"/>
                <w:b/>
                <w:bCs/>
                <w:sz w:val="20"/>
                <w:szCs w:val="20"/>
              </w:rPr>
            </w:pPr>
            <w:r>
              <w:rPr>
                <w:rFonts w:hint="eastAsia" w:ascii="宋体" w:hAnsi="宋体" w:eastAsia="宋体" w:cs="宋体"/>
                <w:b/>
                <w:bCs/>
                <w:sz w:val="20"/>
                <w:szCs w:val="20"/>
              </w:rPr>
              <w:t>投资者关系活动类别</w:t>
            </w:r>
          </w:p>
        </w:tc>
        <w:tc>
          <w:tcPr>
            <w:tcW w:w="6112" w:type="dxa"/>
          </w:tcPr>
          <w:p w14:paraId="0DA5C3FD">
            <w:pPr>
              <w:pStyle w:val="12"/>
              <w:spacing w:before="7"/>
              <w:rPr>
                <w:rFonts w:ascii="宋体" w:hAnsi="宋体" w:eastAsia="宋体" w:cs="宋体"/>
                <w:sz w:val="20"/>
                <w:szCs w:val="20"/>
              </w:rPr>
            </w:pPr>
          </w:p>
          <w:p w14:paraId="5FEA6FE2">
            <w:pPr>
              <w:pStyle w:val="12"/>
              <w:tabs>
                <w:tab w:val="left" w:pos="2418"/>
              </w:tabs>
              <w:spacing w:before="1"/>
              <w:ind w:left="107"/>
              <w:rPr>
                <w:rFonts w:ascii="宋体" w:hAnsi="宋体" w:eastAsia="宋体" w:cs="宋体"/>
                <w:sz w:val="20"/>
                <w:szCs w:val="20"/>
              </w:rPr>
            </w:pPr>
            <w:sdt>
              <w:sdtPr>
                <w:rPr>
                  <w:rFonts w:hint="eastAsia" w:ascii="宋体" w:hAnsi="宋体" w:eastAsia="宋体" w:cs="宋体"/>
                  <w:sz w:val="20"/>
                  <w:szCs w:val="20"/>
                </w:rPr>
                <w:id w:val="249780449"/>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特</w:t>
            </w:r>
            <w:r>
              <w:rPr>
                <w:rFonts w:hint="eastAsia" w:ascii="宋体" w:hAnsi="宋体" w:eastAsia="宋体" w:cs="宋体"/>
                <w:spacing w:val="-3"/>
                <w:sz w:val="20"/>
                <w:szCs w:val="20"/>
              </w:rPr>
              <w:t>定</w:t>
            </w:r>
            <w:r>
              <w:rPr>
                <w:rFonts w:hint="eastAsia" w:ascii="宋体" w:hAnsi="宋体" w:eastAsia="宋体" w:cs="宋体"/>
                <w:sz w:val="20"/>
                <w:szCs w:val="20"/>
              </w:rPr>
              <w:t>对</w:t>
            </w:r>
            <w:r>
              <w:rPr>
                <w:rFonts w:hint="eastAsia" w:ascii="宋体" w:hAnsi="宋体" w:eastAsia="宋体" w:cs="宋体"/>
                <w:spacing w:val="-3"/>
                <w:sz w:val="20"/>
                <w:szCs w:val="20"/>
              </w:rPr>
              <w:t>象</w:t>
            </w:r>
            <w:r>
              <w:rPr>
                <w:rFonts w:hint="eastAsia" w:ascii="宋体" w:hAnsi="宋体" w:eastAsia="宋体" w:cs="宋体"/>
                <w:sz w:val="20"/>
                <w:szCs w:val="20"/>
              </w:rPr>
              <w:t>调研</w:t>
            </w:r>
            <w:r>
              <w:rPr>
                <w:rFonts w:hint="eastAsia" w:ascii="宋体" w:hAnsi="宋体" w:eastAsia="宋体" w:cs="宋体"/>
                <w:sz w:val="20"/>
                <w:szCs w:val="20"/>
              </w:rPr>
              <w:tab/>
            </w:r>
            <w:sdt>
              <w:sdtPr>
                <w:rPr>
                  <w:rFonts w:hint="eastAsia" w:ascii="宋体" w:hAnsi="宋体" w:eastAsia="宋体" w:cs="宋体"/>
                  <w:sz w:val="20"/>
                  <w:szCs w:val="20"/>
                </w:rPr>
                <w:id w:val="-416875725"/>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分</w:t>
            </w:r>
            <w:r>
              <w:rPr>
                <w:rFonts w:hint="eastAsia" w:ascii="宋体" w:hAnsi="宋体" w:eastAsia="宋体" w:cs="宋体"/>
                <w:spacing w:val="-3"/>
                <w:sz w:val="20"/>
                <w:szCs w:val="20"/>
              </w:rPr>
              <w:t>析</w:t>
            </w:r>
            <w:r>
              <w:rPr>
                <w:rFonts w:hint="eastAsia" w:ascii="宋体" w:hAnsi="宋体" w:eastAsia="宋体" w:cs="宋体"/>
                <w:sz w:val="20"/>
                <w:szCs w:val="20"/>
              </w:rPr>
              <w:t>师</w:t>
            </w:r>
            <w:r>
              <w:rPr>
                <w:rFonts w:hint="eastAsia" w:ascii="宋体" w:hAnsi="宋体" w:eastAsia="宋体" w:cs="宋体"/>
                <w:spacing w:val="-3"/>
                <w:sz w:val="20"/>
                <w:szCs w:val="20"/>
              </w:rPr>
              <w:t>会</w:t>
            </w:r>
            <w:r>
              <w:rPr>
                <w:rFonts w:hint="eastAsia" w:ascii="宋体" w:hAnsi="宋体" w:eastAsia="宋体" w:cs="宋体"/>
                <w:sz w:val="20"/>
                <w:szCs w:val="20"/>
              </w:rPr>
              <w:t>议</w:t>
            </w:r>
          </w:p>
          <w:p w14:paraId="26B89F00">
            <w:pPr>
              <w:pStyle w:val="12"/>
              <w:spacing w:before="11"/>
              <w:rPr>
                <w:rFonts w:ascii="宋体" w:hAnsi="宋体" w:eastAsia="宋体" w:cs="宋体"/>
                <w:sz w:val="20"/>
                <w:szCs w:val="20"/>
              </w:rPr>
            </w:pPr>
          </w:p>
          <w:p w14:paraId="4BF6574C">
            <w:pPr>
              <w:pStyle w:val="12"/>
              <w:tabs>
                <w:tab w:val="left" w:pos="2418"/>
              </w:tabs>
              <w:ind w:left="107"/>
              <w:rPr>
                <w:rFonts w:ascii="宋体" w:hAnsi="宋体" w:eastAsia="宋体" w:cs="宋体"/>
                <w:sz w:val="20"/>
                <w:szCs w:val="20"/>
              </w:rPr>
            </w:pPr>
            <w:sdt>
              <w:sdtPr>
                <w:rPr>
                  <w:rFonts w:hint="eastAsia" w:ascii="宋体" w:hAnsi="宋体" w:eastAsia="宋体" w:cs="宋体"/>
                  <w:sz w:val="20"/>
                  <w:szCs w:val="20"/>
                </w:rPr>
                <w:id w:val="120690601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媒</w:t>
            </w:r>
            <w:r>
              <w:rPr>
                <w:rFonts w:hint="eastAsia" w:ascii="宋体" w:hAnsi="宋体" w:eastAsia="宋体" w:cs="宋体"/>
                <w:spacing w:val="-3"/>
                <w:sz w:val="20"/>
                <w:szCs w:val="20"/>
              </w:rPr>
              <w:t>体</w:t>
            </w:r>
            <w:r>
              <w:rPr>
                <w:rFonts w:hint="eastAsia" w:ascii="宋体" w:hAnsi="宋体" w:eastAsia="宋体" w:cs="宋体"/>
                <w:sz w:val="20"/>
                <w:szCs w:val="20"/>
              </w:rPr>
              <w:t>采访</w:t>
            </w:r>
            <w:r>
              <w:rPr>
                <w:rFonts w:hint="eastAsia" w:ascii="宋体" w:hAnsi="宋体" w:eastAsia="宋体" w:cs="宋体"/>
                <w:sz w:val="20"/>
                <w:szCs w:val="20"/>
              </w:rPr>
              <w:tab/>
            </w:r>
            <w:sdt>
              <w:sdtPr>
                <w:rPr>
                  <w:rFonts w:hint="eastAsia" w:ascii="宋体" w:hAnsi="宋体" w:eastAsia="宋体" w:cs="宋体"/>
                  <w:sz w:val="20"/>
                  <w:szCs w:val="20"/>
                </w:rPr>
                <w:id w:val="-66658901"/>
                <w14:checkbox>
                  <w14:checked w14:val="1"/>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Wingdings 2" w:hAnsi="Wingdings 2" w:eastAsia="MS Gothic" w:cs="宋体"/>
                    <w:sz w:val="20"/>
                    <w:szCs w:val="20"/>
                    <w:lang w:val="zh-CN" w:eastAsia="zh-CN" w:bidi="zh-CN"/>
                  </w:rPr>
                  <w:t>R</w:t>
                </w:r>
              </w:sdtContent>
            </w:sdt>
            <w:r>
              <w:rPr>
                <w:rFonts w:hint="eastAsia" w:ascii="宋体" w:hAnsi="宋体" w:eastAsia="宋体" w:cs="宋体"/>
                <w:sz w:val="20"/>
                <w:szCs w:val="20"/>
              </w:rPr>
              <w:t>业</w:t>
            </w:r>
            <w:r>
              <w:rPr>
                <w:rFonts w:hint="eastAsia" w:ascii="宋体" w:hAnsi="宋体" w:eastAsia="宋体" w:cs="宋体"/>
                <w:spacing w:val="-3"/>
                <w:sz w:val="20"/>
                <w:szCs w:val="20"/>
              </w:rPr>
              <w:t>绩</w:t>
            </w:r>
            <w:r>
              <w:rPr>
                <w:rFonts w:hint="eastAsia" w:ascii="宋体" w:hAnsi="宋体" w:eastAsia="宋体" w:cs="宋体"/>
                <w:sz w:val="20"/>
                <w:szCs w:val="20"/>
              </w:rPr>
              <w:t>说</w:t>
            </w:r>
            <w:r>
              <w:rPr>
                <w:rFonts w:hint="eastAsia" w:ascii="宋体" w:hAnsi="宋体" w:eastAsia="宋体" w:cs="宋体"/>
                <w:spacing w:val="-3"/>
                <w:sz w:val="20"/>
                <w:szCs w:val="20"/>
              </w:rPr>
              <w:t>明</w:t>
            </w:r>
            <w:r>
              <w:rPr>
                <w:rFonts w:hint="eastAsia" w:ascii="宋体" w:hAnsi="宋体" w:eastAsia="宋体" w:cs="宋体"/>
                <w:sz w:val="20"/>
                <w:szCs w:val="20"/>
              </w:rPr>
              <w:t>会</w:t>
            </w:r>
          </w:p>
          <w:p w14:paraId="0E0A046C">
            <w:pPr>
              <w:pStyle w:val="12"/>
              <w:spacing w:before="8"/>
              <w:rPr>
                <w:rFonts w:ascii="宋体" w:hAnsi="宋体" w:eastAsia="宋体" w:cs="宋体"/>
                <w:sz w:val="20"/>
                <w:szCs w:val="20"/>
              </w:rPr>
            </w:pPr>
          </w:p>
          <w:p w14:paraId="5A35B168">
            <w:pPr>
              <w:pStyle w:val="12"/>
              <w:tabs>
                <w:tab w:val="left" w:pos="2418"/>
              </w:tabs>
              <w:ind w:left="107"/>
              <w:rPr>
                <w:rFonts w:ascii="宋体" w:hAnsi="宋体" w:eastAsia="宋体" w:cs="宋体"/>
                <w:sz w:val="20"/>
                <w:szCs w:val="20"/>
              </w:rPr>
            </w:pPr>
            <w:sdt>
              <w:sdtPr>
                <w:rPr>
                  <w:rFonts w:hint="eastAsia" w:ascii="宋体" w:hAnsi="宋体" w:eastAsia="宋体" w:cs="宋体"/>
                  <w:sz w:val="20"/>
                  <w:szCs w:val="20"/>
                </w:rPr>
                <w:id w:val="-184816743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新</w:t>
            </w:r>
            <w:r>
              <w:rPr>
                <w:rFonts w:hint="eastAsia" w:ascii="宋体" w:hAnsi="宋体" w:eastAsia="宋体" w:cs="宋体"/>
                <w:spacing w:val="-3"/>
                <w:sz w:val="20"/>
                <w:szCs w:val="20"/>
              </w:rPr>
              <w:t>闻</w:t>
            </w:r>
            <w:r>
              <w:rPr>
                <w:rFonts w:hint="eastAsia" w:ascii="宋体" w:hAnsi="宋体" w:eastAsia="宋体" w:cs="宋体"/>
                <w:sz w:val="20"/>
                <w:szCs w:val="20"/>
              </w:rPr>
              <w:t>发</w:t>
            </w:r>
            <w:r>
              <w:rPr>
                <w:rFonts w:hint="eastAsia" w:ascii="宋体" w:hAnsi="宋体" w:eastAsia="宋体" w:cs="宋体"/>
                <w:spacing w:val="-3"/>
                <w:sz w:val="20"/>
                <w:szCs w:val="20"/>
              </w:rPr>
              <w:t>布</w:t>
            </w:r>
            <w:r>
              <w:rPr>
                <w:rFonts w:hint="eastAsia" w:ascii="宋体" w:hAnsi="宋体" w:eastAsia="宋体" w:cs="宋体"/>
                <w:sz w:val="20"/>
                <w:szCs w:val="20"/>
              </w:rPr>
              <w:t>会</w:t>
            </w:r>
            <w:r>
              <w:rPr>
                <w:rFonts w:hint="eastAsia" w:ascii="宋体" w:hAnsi="宋体" w:eastAsia="宋体" w:cs="宋体"/>
                <w:sz w:val="20"/>
                <w:szCs w:val="20"/>
              </w:rPr>
              <w:tab/>
            </w:r>
            <w:sdt>
              <w:sdtPr>
                <w:rPr>
                  <w:rFonts w:hint="eastAsia" w:ascii="宋体" w:hAnsi="宋体" w:eastAsia="宋体" w:cs="宋体"/>
                  <w:sz w:val="20"/>
                  <w:szCs w:val="20"/>
                </w:rPr>
                <w:id w:val="412049691"/>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路</w:t>
            </w:r>
            <w:r>
              <w:rPr>
                <w:rFonts w:hint="eastAsia" w:ascii="宋体" w:hAnsi="宋体" w:eastAsia="宋体" w:cs="宋体"/>
                <w:spacing w:val="-3"/>
                <w:sz w:val="20"/>
                <w:szCs w:val="20"/>
              </w:rPr>
              <w:t>演</w:t>
            </w:r>
            <w:r>
              <w:rPr>
                <w:rFonts w:hint="eastAsia" w:ascii="宋体" w:hAnsi="宋体" w:eastAsia="宋体" w:cs="宋体"/>
                <w:sz w:val="20"/>
                <w:szCs w:val="20"/>
              </w:rPr>
              <w:t>活动</w:t>
            </w:r>
          </w:p>
          <w:p w14:paraId="48E76BD1">
            <w:pPr>
              <w:pStyle w:val="12"/>
              <w:spacing w:before="8"/>
              <w:rPr>
                <w:rFonts w:ascii="宋体" w:hAnsi="宋体" w:eastAsia="宋体" w:cs="宋体"/>
                <w:sz w:val="20"/>
                <w:szCs w:val="20"/>
              </w:rPr>
            </w:pPr>
          </w:p>
          <w:p w14:paraId="6FE2B5DF">
            <w:pPr>
              <w:pStyle w:val="12"/>
              <w:ind w:left="107"/>
              <w:rPr>
                <w:rFonts w:ascii="宋体" w:hAnsi="宋体" w:eastAsia="宋体" w:cs="宋体"/>
                <w:sz w:val="20"/>
                <w:szCs w:val="20"/>
              </w:rPr>
            </w:pPr>
            <w:sdt>
              <w:sdtPr>
                <w:rPr>
                  <w:rFonts w:hint="eastAsia" w:ascii="宋体" w:hAnsi="宋体" w:eastAsia="宋体" w:cs="宋体"/>
                  <w:sz w:val="20"/>
                  <w:szCs w:val="20"/>
                </w:rPr>
                <w:id w:val="-1333366911"/>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现场参观</w:t>
            </w:r>
          </w:p>
          <w:p w14:paraId="5273C7C2">
            <w:pPr>
              <w:pStyle w:val="12"/>
              <w:spacing w:before="11"/>
              <w:rPr>
                <w:rFonts w:ascii="宋体" w:hAnsi="宋体" w:eastAsia="宋体" w:cs="宋体"/>
                <w:sz w:val="20"/>
                <w:szCs w:val="20"/>
              </w:rPr>
            </w:pPr>
          </w:p>
          <w:p w14:paraId="45036DAB">
            <w:pPr>
              <w:pStyle w:val="12"/>
              <w:ind w:left="107"/>
              <w:rPr>
                <w:rFonts w:ascii="宋体" w:hAnsi="宋体" w:eastAsia="宋体" w:cs="宋体"/>
                <w:sz w:val="20"/>
                <w:szCs w:val="20"/>
              </w:rPr>
            </w:pPr>
            <w:sdt>
              <w:sdtPr>
                <w:rPr>
                  <w:rFonts w:hint="eastAsia" w:ascii="宋体" w:hAnsi="宋体" w:eastAsia="宋体" w:cs="宋体"/>
                  <w:sz w:val="20"/>
                  <w:szCs w:val="20"/>
                </w:rPr>
                <w:id w:val="400885218"/>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其他（</w:t>
            </w:r>
            <w:r>
              <w:rPr>
                <w:rFonts w:hint="eastAsia" w:ascii="宋体" w:hAnsi="宋体" w:eastAsia="宋体" w:cs="宋体"/>
                <w:sz w:val="20"/>
                <w:szCs w:val="20"/>
                <w:u w:val="single"/>
              </w:rPr>
              <w:t>请文字说明其他活动内容）</w:t>
            </w:r>
          </w:p>
        </w:tc>
      </w:tr>
      <w:tr w14:paraId="7B2F3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120" w:hRule="atLeast"/>
          <w:jc w:val="center"/>
        </w:trPr>
        <w:tc>
          <w:tcPr>
            <w:tcW w:w="2413" w:type="dxa"/>
            <w:vAlign w:val="center"/>
          </w:tcPr>
          <w:p w14:paraId="795B0E8E">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ind w:right="0"/>
              <w:jc w:val="center"/>
              <w:textAlignment w:val="auto"/>
              <w:rPr>
                <w:rFonts w:hint="eastAsia" w:asciiTheme="minorEastAsia" w:hAnsiTheme="minorEastAsia" w:eastAsiaTheme="minorEastAsia" w:cstheme="minorEastAsia"/>
                <w:b/>
                <w:bCs/>
                <w:sz w:val="20"/>
                <w:szCs w:val="20"/>
              </w:rPr>
            </w:pPr>
            <w:r>
              <w:rPr>
                <w:rFonts w:hint="eastAsia" w:asciiTheme="minorEastAsia" w:hAnsiTheme="minorEastAsia" w:eastAsiaTheme="minorEastAsia" w:cstheme="minorEastAsia"/>
                <w:b/>
                <w:bCs/>
                <w:sz w:val="20"/>
                <w:szCs w:val="20"/>
              </w:rPr>
              <w:t>参与单位名称及人员姓名</w:t>
            </w:r>
          </w:p>
        </w:tc>
        <w:tc>
          <w:tcPr>
            <w:tcW w:w="6112" w:type="dxa"/>
            <w:vAlign w:val="center"/>
          </w:tcPr>
          <w:p w14:paraId="61DD39D9">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ind w:left="0" w:right="0" w:firstLine="0" w:firstLineChars="0"/>
              <w:jc w:val="left"/>
              <w:textAlignment w:val="auto"/>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线上参与公司2026年半年度业绩说明会的投资者</w:t>
            </w:r>
          </w:p>
        </w:tc>
      </w:tr>
      <w:tr w14:paraId="0690A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413" w:type="dxa"/>
            <w:vAlign w:val="center"/>
          </w:tcPr>
          <w:p w14:paraId="46791E5C">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ind w:right="0"/>
              <w:jc w:val="center"/>
              <w:textAlignment w:val="auto"/>
              <w:rPr>
                <w:rFonts w:hint="eastAsia" w:asciiTheme="minorEastAsia" w:hAnsiTheme="minorEastAsia" w:eastAsiaTheme="minorEastAsia" w:cstheme="minorEastAsia"/>
                <w:b/>
                <w:bCs/>
                <w:sz w:val="20"/>
                <w:szCs w:val="20"/>
              </w:rPr>
            </w:pPr>
            <w:r>
              <w:rPr>
                <w:rFonts w:hint="eastAsia" w:asciiTheme="minorEastAsia" w:hAnsiTheme="minorEastAsia" w:eastAsiaTheme="minorEastAsia" w:cstheme="minorEastAsia"/>
                <w:b/>
                <w:bCs/>
                <w:sz w:val="20"/>
                <w:szCs w:val="20"/>
              </w:rPr>
              <w:t>时间</w:t>
            </w:r>
          </w:p>
        </w:tc>
        <w:tc>
          <w:tcPr>
            <w:tcW w:w="6112" w:type="dxa"/>
            <w:vAlign w:val="center"/>
          </w:tcPr>
          <w:p w14:paraId="7F212AC0">
            <w:pPr>
              <w:keepNext w:val="0"/>
              <w:keepLines w:val="0"/>
              <w:pageBreakBefore w:val="0"/>
              <w:widowControl w:val="0"/>
              <w:kinsoku/>
              <w:wordWrap/>
              <w:overflowPunct/>
              <w:topLinePunct w:val="0"/>
              <w:autoSpaceDE w:val="0"/>
              <w:autoSpaceDN w:val="0"/>
              <w:bidi w:val="0"/>
              <w:adjustRightInd/>
              <w:snapToGrid/>
              <w:spacing w:beforeAutospacing="0" w:line="360" w:lineRule="auto"/>
              <w:ind w:left="0" w:right="0" w:firstLine="0" w:firstLineChars="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lang w:eastAsia="zh-CN"/>
              </w:rPr>
              <w:t>2026年9月3日</w:t>
            </w:r>
            <w:r>
              <w:rPr>
                <w:rFonts w:hint="eastAsia" w:asciiTheme="minorEastAsia" w:hAnsiTheme="minorEastAsia" w:eastAsiaTheme="minorEastAsia" w:cstheme="minorEastAsia"/>
                <w:sz w:val="20"/>
                <w:szCs w:val="20"/>
              </w:rPr>
              <w:t xml:space="preserve"> 10:00-11:00</w:t>
            </w:r>
          </w:p>
        </w:tc>
      </w:tr>
      <w:tr w14:paraId="203CB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2413" w:type="dxa"/>
            <w:vAlign w:val="center"/>
          </w:tcPr>
          <w:p w14:paraId="31D45763">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ind w:right="0"/>
              <w:jc w:val="center"/>
              <w:textAlignment w:val="auto"/>
              <w:rPr>
                <w:rFonts w:hint="eastAsia" w:asciiTheme="minorEastAsia" w:hAnsiTheme="minorEastAsia" w:eastAsiaTheme="minorEastAsia" w:cstheme="minorEastAsia"/>
                <w:b/>
                <w:bCs/>
                <w:sz w:val="20"/>
                <w:szCs w:val="20"/>
              </w:rPr>
            </w:pPr>
            <w:r>
              <w:rPr>
                <w:rFonts w:hint="eastAsia" w:asciiTheme="minorEastAsia" w:hAnsiTheme="minorEastAsia" w:eastAsiaTheme="minorEastAsia" w:cstheme="minorEastAsia"/>
                <w:b/>
                <w:bCs/>
                <w:sz w:val="20"/>
                <w:szCs w:val="20"/>
              </w:rPr>
              <w:t>地点</w:t>
            </w:r>
          </w:p>
        </w:tc>
        <w:tc>
          <w:tcPr>
            <w:tcW w:w="6112" w:type="dxa"/>
            <w:vAlign w:val="center"/>
          </w:tcPr>
          <w:p w14:paraId="7C95182C">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ind w:left="0" w:right="0" w:firstLine="0" w:firstLineChars="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价值在线（https://www.ir-online.cn/）网络互动</w:t>
            </w:r>
          </w:p>
        </w:tc>
      </w:tr>
      <w:tr w14:paraId="656B8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413" w:type="dxa"/>
            <w:vAlign w:val="center"/>
          </w:tcPr>
          <w:p w14:paraId="3B747FAD">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ind w:right="0"/>
              <w:jc w:val="center"/>
              <w:textAlignment w:val="auto"/>
              <w:rPr>
                <w:rFonts w:hint="eastAsia" w:asciiTheme="minorEastAsia" w:hAnsiTheme="minorEastAsia" w:eastAsiaTheme="minorEastAsia" w:cstheme="minorEastAsia"/>
                <w:b/>
                <w:bCs/>
                <w:sz w:val="20"/>
                <w:szCs w:val="20"/>
              </w:rPr>
            </w:pPr>
            <w:r>
              <w:rPr>
                <w:rFonts w:hint="eastAsia" w:asciiTheme="minorEastAsia" w:hAnsiTheme="minorEastAsia" w:eastAsiaTheme="minorEastAsia" w:cstheme="minorEastAsia"/>
                <w:b/>
                <w:bCs/>
                <w:sz w:val="20"/>
                <w:szCs w:val="20"/>
              </w:rPr>
              <w:t>上市公司接待人员姓名</w:t>
            </w:r>
          </w:p>
        </w:tc>
        <w:tc>
          <w:tcPr>
            <w:tcW w:w="6112" w:type="dxa"/>
            <w:vAlign w:val="center"/>
          </w:tcPr>
          <w:p w14:paraId="21710DEC">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ind w:left="0" w:right="0" w:firstLine="0" w:firstLineChars="0"/>
              <w:jc w:val="left"/>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董事长兼总经理 李学刚</w:t>
            </w:r>
            <w:r>
              <w:rPr>
                <w:rFonts w:hint="eastAsia" w:asciiTheme="minorEastAsia" w:hAnsiTheme="minorEastAsia" w:eastAsiaTheme="minorEastAsia" w:cstheme="minorEastAsia"/>
                <w:sz w:val="20"/>
                <w:szCs w:val="20"/>
              </w:rPr>
              <w:br w:type="textWrapping"/>
            </w:r>
            <w:r>
              <w:rPr>
                <w:rFonts w:hint="eastAsia" w:asciiTheme="minorEastAsia" w:hAnsiTheme="minorEastAsia" w:eastAsiaTheme="minorEastAsia" w:cstheme="minorEastAsia"/>
                <w:sz w:val="20"/>
                <w:szCs w:val="20"/>
              </w:rPr>
              <w:t>副董事长兼董事会秘书兼财务总监 闫海涛</w:t>
            </w:r>
            <w:r>
              <w:rPr>
                <w:rFonts w:hint="eastAsia" w:asciiTheme="minorEastAsia" w:hAnsiTheme="minorEastAsia" w:eastAsiaTheme="minorEastAsia" w:cstheme="minorEastAsia"/>
                <w:sz w:val="20"/>
                <w:szCs w:val="20"/>
              </w:rPr>
              <w:br w:type="textWrapping"/>
            </w:r>
            <w:r>
              <w:rPr>
                <w:rFonts w:hint="eastAsia" w:asciiTheme="minorEastAsia" w:hAnsiTheme="minorEastAsia" w:eastAsiaTheme="minorEastAsia" w:cstheme="minorEastAsia"/>
                <w:sz w:val="20"/>
                <w:szCs w:val="20"/>
              </w:rPr>
              <w:t>独立董事 王卫国</w:t>
            </w:r>
          </w:p>
        </w:tc>
      </w:tr>
      <w:tr w14:paraId="74E15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0" w:hRule="atLeast"/>
          <w:jc w:val="center"/>
        </w:trPr>
        <w:tc>
          <w:tcPr>
            <w:tcW w:w="2413" w:type="dxa"/>
            <w:vAlign w:val="center"/>
          </w:tcPr>
          <w:p w14:paraId="13B279E7">
            <w:pPr>
              <w:pStyle w:val="12"/>
              <w:keepNext w:val="0"/>
              <w:keepLines w:val="0"/>
              <w:pageBreakBefore w:val="0"/>
              <w:widowControl w:val="0"/>
              <w:kinsoku/>
              <w:wordWrap/>
              <w:overflowPunct/>
              <w:topLinePunct w:val="0"/>
              <w:autoSpaceDE w:val="0"/>
              <w:autoSpaceDN w:val="0"/>
              <w:bidi w:val="0"/>
              <w:adjustRightInd/>
              <w:snapToGrid/>
              <w:spacing w:line="360" w:lineRule="auto"/>
              <w:ind w:right="0"/>
              <w:jc w:val="center"/>
              <w:textAlignment w:val="auto"/>
              <w:rPr>
                <w:rFonts w:hint="eastAsia" w:ascii="宋体" w:hAnsi="宋体" w:eastAsia="宋体" w:cs="宋体"/>
                <w:b/>
                <w:bCs/>
                <w:sz w:val="20"/>
                <w:szCs w:val="20"/>
              </w:rPr>
            </w:pPr>
            <w:r>
              <w:rPr>
                <w:rFonts w:hint="eastAsia" w:ascii="宋体" w:hAnsi="宋体" w:eastAsia="宋体" w:cs="宋体"/>
                <w:b/>
                <w:bCs/>
                <w:sz w:val="20"/>
                <w:szCs w:val="20"/>
              </w:rPr>
              <w:t>投资者关系活动</w:t>
            </w:r>
          </w:p>
          <w:p w14:paraId="2247A1F6">
            <w:pPr>
              <w:pStyle w:val="12"/>
              <w:keepNext w:val="0"/>
              <w:keepLines w:val="0"/>
              <w:pageBreakBefore w:val="0"/>
              <w:widowControl w:val="0"/>
              <w:kinsoku/>
              <w:wordWrap/>
              <w:overflowPunct/>
              <w:topLinePunct w:val="0"/>
              <w:autoSpaceDE w:val="0"/>
              <w:autoSpaceDN w:val="0"/>
              <w:bidi w:val="0"/>
              <w:adjustRightInd/>
              <w:snapToGrid/>
              <w:spacing w:line="360" w:lineRule="auto"/>
              <w:ind w:right="0"/>
              <w:jc w:val="center"/>
              <w:textAlignment w:val="auto"/>
              <w:rPr>
                <w:rFonts w:ascii="宋体" w:hAnsi="宋体" w:eastAsia="宋体" w:cs="宋体"/>
                <w:b/>
                <w:bCs/>
                <w:sz w:val="20"/>
                <w:szCs w:val="20"/>
              </w:rPr>
            </w:pPr>
            <w:r>
              <w:rPr>
                <w:rFonts w:hint="eastAsia" w:ascii="宋体" w:hAnsi="宋体" w:eastAsia="宋体" w:cs="宋体"/>
                <w:b/>
                <w:bCs/>
                <w:sz w:val="20"/>
                <w:szCs w:val="20"/>
              </w:rPr>
              <w:t>主要内容介绍</w:t>
            </w:r>
          </w:p>
        </w:tc>
        <w:tc>
          <w:tcPr>
            <w:tcW w:w="6112" w:type="dxa"/>
          </w:tcPr>
          <w:p w14:paraId="2A37909C">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textAlignment w:val="auto"/>
              <w:rPr>
                <w:rFonts w:ascii="宋体" w:hAnsi="宋体" w:eastAsia="宋体" w:cs="宋体"/>
                <w:sz w:val="20"/>
                <w:szCs w:val="20"/>
              </w:rPr>
            </w:pPr>
            <w:r>
              <w:rPr>
                <w:rFonts w:ascii="宋体" w:hAnsi="宋体" w:eastAsia="宋体" w:cs="宋体"/>
                <w:b/>
                <w:sz w:val="20"/>
              </w:rPr>
              <w:t xml:space="preserve">   </w:t>
            </w:r>
            <w:r>
              <w:rPr>
                <w:rFonts w:hint="eastAsia" w:asciiTheme="minorEastAsia" w:hAnsiTheme="minorEastAsia" w:eastAsiaTheme="minorEastAsia" w:cstheme="minorEastAsia"/>
                <w:b/>
                <w:sz w:val="20"/>
                <w:szCs w:val="20"/>
              </w:rPr>
              <w:t xml:space="preserve"> 1.董秘您好，华君算谷规划64个AI算力机柜，属于小型智算项目。请问：1、64机柜规划是远期目标还是一期建设规模？一期实际计划上线多少个AI算力机柜？
2、项目规划总算力大约多少PFlops？主要面向什么类型客户，有无意向长单客户？谢谢。</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公司如涉及达到披露标准的交易，公司将严格按照监管要求履行审议程序及信息披露义务。截至目前，公司不存在应当披露而未披露的相关业务。敬请关注公司后续披露的定期报告及相关公告。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2.您好，请问贵公司在7月初成立了一家算力公司，为什么改名字了呢</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公司如涉及达到披露标准的交易，公司将严格按照监管要求履行审议程序及信息披露义务。截至目前，公司不存在应当披露而未披露的相关业务。敬请关注公司后续披露的定期报告及相关公告。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3.公司在新疆塔城的算力项目是属于施工建设方，还是参与后续运营方</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尊敬的投资者您好，关于新疆塔城的算力项目，公司仅与对方开展过洽谈，相关信息请您关注公司指定信息披露媒体发布的公告，感谢您对公司的关心与关注。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4.公司在低空经济领域和智慧城市领域方面有哪些成功项目，为后续发展业务是否有经验积累</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在低空经济领域，公司2025年已成功交付沈阳低空全域可信数据服务中心项目;在智慧城市领域，公司2025年成功交付了长春市新型智慧城市建设项目、辽源市智慧停车场及充电基础设施建设项目等标杆工程。目前公司低空经济相关业务尚处于前期探索阶段，公司将在审慎评估市场前景和自身能力的基础上稳步推进相关业务。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5.公司和中钧科技公司有没有业务往来，和金正旗下公司有没有业务往来，公司是否会低价或者负利润给金正集团做业务</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公司已于2026年8月26日披露了2026年半年度报告，相关信息请查阅定期报告，公司与关联方发生的关联交易以实际生产经营业务为基础，基于正常市场交易条件，遵循公正、公平、互利的原则，定价公允合理，不存在损害公 司利益和中小股东利益的情形，感谢您对公司的关注。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6.金正集团作为重整产业投资人，承诺36个月不减持。请问大股东后续有没有资产注入、业务协同导入上市公司的明确计划？公司未来战略定位：是优先深耕通信主业，还是会积极向算力、数智化方向转型？</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金正集团参与公司重整取得控制权，目的是挽救上市公司、稳定控制权、打造产业整合平台，并依托自身资源注入资金与优质项目，助力公司脱困并长期稳健发展，目前金正集团已履行相关承诺，股份锁定36个月。关于大股东资产注入的具体明确计划，请您关注公司后续的相关公告。业务协同方面，目前金正集团已经通过其工程建设板块的业务能力，帮助公司在市政、房建、水利、公路等多方面领域承接部分工程项目，同时金正集团凭借自身实体产业资源和已投资布局的渠道资源，全方位推动与公司在多个业务领域的上下游产业链协同发展。公司未来战略定位方面，公司目前持续聚焦通信技术服务主业，在通信网络建设、维护与优化、IDC技术服务及信息系统集成等核心领域深耕布局，同时大力发展政企数智化业务，积极在低空经济、车联网、智慧城市等新兴应用场景探索拓展。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7.公司有机器人和算力业务吗？</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尊敬的投资者您好，截至目前，公司尚未开展相关业务，敬请关注公司后续披露的定期报告及相关公告。感谢您对公司的关注。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8.请问公司今年在新疆业务拓展如何，有没有比去年同比增长</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尊敬的投资者您好，新疆地区是公司业务发展的重要区域之一，公司目前正在积极拓展新疆地区业务，具体新疆业务2026年数据及同比增长情况请您关注公司披露的定期报告。感谢您对公司的关注。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9.公司从重整完成就说说转型，并夸下海口在2026年公司上市10周年全面转型完成，目前距离2026年还有3个多月结束，今年还能完成转型吗</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公司重整完成于2024年12月30日。现阶段公司围绕既定战略，在巩固传统通信工程业务的同时，加大ICT数字化产业投入，深耕智慧城市、低空经济等新兴领域，2026年上半年公司稳步推进各项业务，优化业务结构，稳固通信技术传统业务，大力发展政企数智化业务，并积极推进低空经济与车路云业务，同时加大研发投入，引进高水平专业人才，通过降本增效和风险管控优化组织运营，赋能公司可持续发展，上半年已实现营业收入2.23亿元，同比上升27.42%，实现归属于上市公司股东的净利润958.56万元。后续公司将继续按照既定方针推进各项战略任务，具体进展及经营情况请以公司在指定信息披露媒体发布的公告及定期报告信息为准。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10.公司目前经营能力根本没有任何改善，靠会计准则完成短期</w:t>
            </w:r>
            <w:bookmarkStart w:id="0" w:name="_GoBack"/>
            <w:r>
              <w:rPr>
                <w:rFonts w:hint="eastAsia" w:asciiTheme="minorEastAsia" w:hAnsiTheme="minorEastAsia" w:eastAsiaTheme="minorEastAsia" w:cstheme="minorEastAsia"/>
                <w:b/>
                <w:sz w:val="20"/>
                <w:szCs w:val="20"/>
              </w:rPr>
              <w:t>扭亏为赢</w:t>
            </w:r>
            <w:bookmarkEnd w:id="0"/>
            <w:r>
              <w:rPr>
                <w:rFonts w:hint="eastAsia" w:asciiTheme="minorEastAsia" w:hAnsiTheme="minorEastAsia" w:eastAsiaTheme="minorEastAsia" w:cstheme="minorEastAsia"/>
                <w:b/>
                <w:sz w:val="20"/>
                <w:szCs w:val="20"/>
              </w:rPr>
              <w:t>并不能保证持续稳定盈利，公司有什么好的方向让公司可持续盈利</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公司重整完成后，控制权得到稳定，资金、人员等生产经营要素均已恢复正常，审计受限等此前影响持续经营能力的问题也已得到改善，经营状况已经持续向好。公司在稳固通信技术传统业务的基础上，大力拓展政企数智化业务，同时积极推进新兴业务布局；通过加大研发投入、引进高水平专业人才、降本增效和优化风险管控，不断优化组织运营，夯实可持续发展的基础。2026年上半年公司实现营业收入约2.23亿元，同比增长27.42%，实现归属于上市公司股东的净利润958.56万元，虽然半年度实现扭亏为盈，但当前通信施工行业竞争激烈，存在行业毛利率下滑、项目利润空间压缩等问题，公司管理层会继续坚持稳健经营与创新布局并举，继续聚焦ICT产业、政企客户、技术服务等新相</w:t>
            </w:r>
            <w:r>
              <w:rPr>
                <w:rFonts w:hint="eastAsia" w:asciiTheme="minorEastAsia" w:hAnsiTheme="minorEastAsia" w:eastAsiaTheme="minorEastAsia" w:cstheme="minorEastAsia"/>
                <w:b w:val="0"/>
                <w:sz w:val="20"/>
                <w:szCs w:val="20"/>
                <w:lang w:eastAsia="zh-CN"/>
              </w:rPr>
              <w:t>关领</w:t>
            </w:r>
            <w:r>
              <w:rPr>
                <w:rFonts w:hint="eastAsia" w:asciiTheme="minorEastAsia" w:hAnsiTheme="minorEastAsia" w:eastAsiaTheme="minorEastAsia" w:cstheme="minorEastAsia"/>
                <w:b w:val="0"/>
                <w:sz w:val="20"/>
                <w:szCs w:val="20"/>
              </w:rPr>
              <w:t>域推动业务转型升级。感谢您对公司的关注。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11.最近的连续涨停，贵司是发起者还是跟随者</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感谢您的提问。股票二级市场交易价格受宏观经济、行业周期、市场资金、投资者情绪等多重因素影响，公司已按照监管要求履行信息披露义务，若出现股票交易异常波动，已及时披露《股票交易异常波动公告》。请投资者理性看待股价波动，注意投资风险，审慎决策。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12.请问公司在新疆是否有低空经济、算力承建和运维的业务订单？</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2026年上半年公司稳步推进各项业务，优化业务结构，稳固通信技术传统业务，大力发展政企数智化业务，并积极推进低空经济业务，通过降本增效和风险管控优化组织运营，赋能公司可持续发展；截至目前，公司尚未开展算力相关业务，敬请关注公司后续披露的定期报告及相关公告。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13.请问，这次的连续涨停，是通脉主导的吗？</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公司股票近期出现连续三个交易日内收盘价格涨幅偏离值累计超过20%的异常波动情形后，公司已及时开展自查，并向控股股东及实际控制人进行了核实。经核实，公司、控股股东及实际控制人均不存在涉及公司应披露而未披露的重大信息，也不存在处于筹划阶段的重大事项，本次股价异常波动并非公司主导。同时，公司提醒您，公司股价受宏观经济环境、市场供需关系、投资者交易决策等多种因素影响，请您注意二级市场交易风险，理性决策、审慎投资。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14.李董好，我是一名普通投资者，请问贵司今年有没有打算资产注入，算力业务打算拓展吗？谢谢</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关于资产注入相关事项：截至目前，公司目前正专注于通过重整计划改善资产负债结构和财务状况，以及提升公司的核心竞争力和盈利能力，目前公司暂不涉及并购重组与资产注入计划，公司后续如有相关资产注入或资产重组计划，将根据相关规定及时履行信息披露义务，相关信息请以公司在上海证券交易所网站及《中国证券报》《上海证券报》等指定信息披露媒体发布的官方公告为准。截至目前，公司尚未开展算力相关业务，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15.请问公司目前有Ai相关技术或者相关服务吗，公司在智慧城市建设方面Ai可视监控技术是否应用其中，还有Ai医疗方面是否有相关技术</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尊敬的投资者您好，感谢您的提问。截至目前，公司及下属子公司暂未开展 AI 相关技术及服务业务；公司智慧城市、智慧校园、弱电智能化业务主要提供通信及信息化工程建设整体解决方案，目前尚未应用 AI 可视监控相关技术，也不涉及 AI 医疗相关技术及业务。公司持续关注行业技术发展趋势，推动通信施工与行业应用融合以提升施工效率。公司所有相关业务均以在上交所披露的公告为准，敬请广大投资者理性投资，注意投资风险。</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16.公司今年车路云项目中标的多不多，这个业务毛利率有多少</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公司如涉及达到披露标准的交易，公司将严格按照监管要求履行审议程序及信息披露义务。截至目前，公司不存在应当披露而未披露的相关业务。公司所有重大信息请以上海证券交易所披露的公告为准，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17.公司高管和大股东对未来发展是否有信心，能否尽快推出增持计划</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尊敬的投资者您好，目前公司暂未收到相关人员的增持计划通知。后续公司如有相关增持计划，将按照相关法律法规及时履行信息披露义务。感谢您对公司的关注。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18.公司第三季度是否能持续盈利，今年全年盈利没有问题吧</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尊敬的投资者您好，请您持续关注公司在指定信息披露媒体发布的定期报告，以获取准确的财务数据与最新经营动态。感谢您对公司的关注。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19.公司目前还有多少现金流，是否可以购买优质，或者投资新兴产业</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公司现金流相关财务数据请查阅公司已披露的定期报告。公司始终重视资金安全与资金使用效率，若未来开展对外投资、资产收购等事项，将结合公司资金状况、业务协同、市场环境等多方面审慎论证；如涉及达到披露标准的交易，公司将严格按照监管要求履行审议程序及信息披露义务。截至目前，公司不存在应当披露而未披露的相关投资或收购计划。请您理性投资，注意投资风险，公司所有重大信息请以上海证券交易所披露的公告为准，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20.关于新疆塔城算力项目，中通国脉和北京畅读教育公开发布信息宣布达成合作，由公司第四事业部负责，公司官网公众号也明确发布，公司为何要澄清没有算力相关业务，这不是自己打自己脸吗</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尊敬的投资者您好，关于新疆塔城的算力项目，公司仅与对方开展过洽谈，相关信息请您关注公司指定信息披露媒体发布的公告，感谢您对公司的关心与关注。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21.公司和甘肃民航合作的项目能否具体介绍一下，是否有合资成立无人机公司，对于布局低空经济领域和甘肃民航有哪些具体项目落地</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公司如涉及达到披露标准的交易，公司将严格按照监管要求履行审议程序及信息披露义务。截至目前，公司不存在应当披露而未披露的相关业务。敬请关注公司后续披露的定期报告及相关公告。感谢您对公司的关注。</w:t>
            </w:r>
            <w:r>
              <w:rPr>
                <w:rFonts w:hint="eastAsia" w:asciiTheme="minorEastAsia" w:hAnsiTheme="minorEastAsia" w:eastAsiaTheme="minorEastAsia" w:cstheme="minorEastAsia"/>
                <w:b w:val="0"/>
                <w:sz w:val="20"/>
                <w:szCs w:val="20"/>
              </w:rPr>
              <w:br w:type="textWrapping"/>
            </w:r>
            <w:r>
              <w:rPr>
                <w:rFonts w:hint="eastAsia" w:asciiTheme="minorEastAsia" w:hAnsiTheme="minorEastAsia" w:eastAsiaTheme="minorEastAsia" w:cstheme="minorEastAsia"/>
                <w:b/>
                <w:sz w:val="20"/>
                <w:szCs w:val="20"/>
              </w:rPr>
              <w:t xml:space="preserve">    22.公司预计什么时候筹划重大资产重组，或者资产注入计划，市场很期待公司高质量发展</w:t>
            </w:r>
            <w:r>
              <w:rPr>
                <w:rFonts w:hint="eastAsia" w:asciiTheme="minorEastAsia" w:hAnsiTheme="minorEastAsia" w:eastAsiaTheme="minorEastAsia" w:cstheme="minorEastAsia"/>
                <w:b/>
                <w:sz w:val="20"/>
                <w:szCs w:val="20"/>
              </w:rPr>
              <w:br w:type="textWrapping"/>
            </w:r>
            <w:r>
              <w:rPr>
                <w:rFonts w:hint="eastAsia" w:asciiTheme="minorEastAsia" w:hAnsiTheme="minorEastAsia" w:eastAsiaTheme="minorEastAsia" w:cstheme="minorEastAsia"/>
                <w:b w:val="0"/>
                <w:sz w:val="20"/>
                <w:szCs w:val="20"/>
              </w:rPr>
              <w:t xml:space="preserve">    答</w:t>
            </w:r>
            <w:r>
              <w:rPr>
                <w:rFonts w:hint="eastAsia" w:asciiTheme="minorEastAsia" w:hAnsiTheme="minorEastAsia" w:eastAsiaTheme="minorEastAsia" w:cstheme="minorEastAsia"/>
                <w:b w:val="0"/>
                <w:sz w:val="20"/>
                <w:szCs w:val="20"/>
                <w:lang w:eastAsia="zh-CN"/>
              </w:rPr>
              <w:t>：</w:t>
            </w:r>
            <w:r>
              <w:rPr>
                <w:rFonts w:hint="eastAsia" w:asciiTheme="minorEastAsia" w:hAnsiTheme="minorEastAsia" w:eastAsiaTheme="minorEastAsia" w:cstheme="minorEastAsia"/>
                <w:b w:val="0"/>
                <w:sz w:val="20"/>
                <w:szCs w:val="20"/>
              </w:rPr>
              <w:t>尊敬的投资者您好，目前公司暂不涉及并购重组、资产注入及收购机器人相关企业的计划，当前公司正专注于通过重整计划改善资产负债结构和财务状况，稳固通信技术传统业务，大力发展政企数智化业务，并积极推进新业务的探索，以此提升公司的核心竞争力和盈利能力。若后续公司有重大资产重组或资产注入相关计划，将严格按照相关规定及时履行信息披露义务，请您关注公司在上海证券交易所网站及《中国证券报》《上海证券报》等指定信息披露媒体发布的官方公告，以获取最新信息。感谢您对公司的关注。</w:t>
            </w:r>
          </w:p>
        </w:tc>
      </w:tr>
      <w:tr w14:paraId="2CF8A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99" w:hRule="atLeast"/>
          <w:jc w:val="center"/>
        </w:trPr>
        <w:tc>
          <w:tcPr>
            <w:tcW w:w="2413" w:type="dxa"/>
            <w:vAlign w:val="center"/>
          </w:tcPr>
          <w:p w14:paraId="5D87A8A5">
            <w:pPr>
              <w:pStyle w:val="12"/>
              <w:keepNext w:val="0"/>
              <w:keepLines w:val="0"/>
              <w:pageBreakBefore w:val="0"/>
              <w:widowControl w:val="0"/>
              <w:kinsoku/>
              <w:wordWrap/>
              <w:overflowPunct/>
              <w:topLinePunct w:val="0"/>
              <w:autoSpaceDE w:val="0"/>
              <w:autoSpaceDN w:val="0"/>
              <w:bidi w:val="0"/>
              <w:adjustRightInd/>
              <w:snapToGrid/>
              <w:spacing w:line="360" w:lineRule="auto"/>
              <w:ind w:left="0"/>
              <w:jc w:val="center"/>
              <w:textAlignment w:val="auto"/>
              <w:rPr>
                <w:rFonts w:hint="eastAsia" w:asciiTheme="minorEastAsia" w:hAnsiTheme="minorEastAsia" w:eastAsiaTheme="minorEastAsia" w:cstheme="minorEastAsia"/>
                <w:b/>
                <w:bCs/>
                <w:sz w:val="20"/>
                <w:szCs w:val="20"/>
              </w:rPr>
            </w:pPr>
            <w:r>
              <w:rPr>
                <w:rFonts w:hint="eastAsia" w:asciiTheme="minorEastAsia" w:hAnsiTheme="minorEastAsia" w:eastAsiaTheme="minorEastAsia" w:cstheme="minorEastAsia"/>
                <w:b/>
                <w:bCs/>
                <w:sz w:val="20"/>
                <w:szCs w:val="20"/>
              </w:rPr>
              <w:t>关于本次活动是否涉及应披露重大信息的说明</w:t>
            </w:r>
          </w:p>
        </w:tc>
        <w:tc>
          <w:tcPr>
            <w:tcW w:w="6112" w:type="dxa"/>
            <w:vAlign w:val="center"/>
          </w:tcPr>
          <w:p w14:paraId="008DD47B">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textAlignment w:val="auto"/>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本次活动不涉及未公开披露的重大信息。</w:t>
            </w:r>
          </w:p>
        </w:tc>
      </w:tr>
      <w:tr w14:paraId="6EC28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413" w:type="dxa"/>
            <w:vAlign w:val="center"/>
          </w:tcPr>
          <w:p w14:paraId="0FAF0209">
            <w:pPr>
              <w:pStyle w:val="12"/>
              <w:spacing w:before="1"/>
              <w:ind w:left="107" w:leftChars="0"/>
              <w:jc w:val="center"/>
              <w:rPr>
                <w:rFonts w:hint="eastAsia" w:asciiTheme="minorEastAsia" w:hAnsiTheme="minorEastAsia" w:eastAsiaTheme="minorEastAsia" w:cstheme="minorEastAsia"/>
                <w:b/>
                <w:bCs/>
                <w:sz w:val="20"/>
                <w:szCs w:val="20"/>
                <w:lang w:val="zh-CN" w:eastAsia="zh-CN" w:bidi="zh-CN"/>
              </w:rPr>
            </w:pPr>
            <w:r>
              <w:rPr>
                <w:rFonts w:hint="eastAsia" w:asciiTheme="minorEastAsia" w:hAnsiTheme="minorEastAsia" w:eastAsiaTheme="minorEastAsia" w:cstheme="minorEastAsia"/>
                <w:b/>
                <w:bCs/>
                <w:sz w:val="20"/>
                <w:szCs w:val="20"/>
              </w:rPr>
              <w:t>附件清单（如有）</w:t>
            </w:r>
          </w:p>
        </w:tc>
        <w:tc>
          <w:tcPr>
            <w:tcW w:w="6112" w:type="dxa"/>
            <w:vAlign w:val="center"/>
          </w:tcPr>
          <w:p w14:paraId="787726E1">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textAlignment w:val="auto"/>
              <w:rPr>
                <w:rFonts w:hint="eastAsia" w:asciiTheme="minorEastAsia" w:hAnsiTheme="minorEastAsia" w:eastAsiaTheme="minorEastAsia" w:cstheme="minorEastAsia"/>
                <w:sz w:val="20"/>
                <w:szCs w:val="20"/>
                <w:lang w:val="zh-CN" w:eastAsia="zh-CN" w:bidi="zh-CN"/>
              </w:rPr>
            </w:pPr>
          </w:p>
        </w:tc>
      </w:tr>
      <w:tr w14:paraId="6B22E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413" w:type="dxa"/>
            <w:vAlign w:val="center"/>
          </w:tcPr>
          <w:p w14:paraId="300ADC11">
            <w:pPr>
              <w:pStyle w:val="12"/>
              <w:spacing w:before="1"/>
              <w:ind w:left="107" w:leftChars="0"/>
              <w:jc w:val="center"/>
              <w:rPr>
                <w:rFonts w:hint="eastAsia" w:asciiTheme="minorEastAsia" w:hAnsiTheme="minorEastAsia" w:eastAsiaTheme="minorEastAsia" w:cstheme="minorEastAsia"/>
                <w:b/>
                <w:bCs/>
                <w:sz w:val="20"/>
                <w:szCs w:val="20"/>
                <w:lang w:val="zh-CN" w:eastAsia="zh-CN" w:bidi="zh-CN"/>
              </w:rPr>
            </w:pPr>
            <w:r>
              <w:rPr>
                <w:rFonts w:hint="eastAsia" w:asciiTheme="minorEastAsia" w:hAnsiTheme="minorEastAsia" w:eastAsiaTheme="minorEastAsia" w:cstheme="minorEastAsia"/>
                <w:b/>
                <w:bCs/>
                <w:sz w:val="20"/>
                <w:szCs w:val="20"/>
              </w:rPr>
              <w:t>日期</w:t>
            </w:r>
          </w:p>
        </w:tc>
        <w:tc>
          <w:tcPr>
            <w:tcW w:w="6112" w:type="dxa"/>
            <w:vAlign w:val="center"/>
          </w:tcPr>
          <w:p w14:paraId="289B98EA">
            <w:pPr>
              <w:pStyle w:val="12"/>
              <w:keepNext w:val="0"/>
              <w:keepLines w:val="0"/>
              <w:pageBreakBefore w:val="0"/>
              <w:widowControl w:val="0"/>
              <w:kinsoku/>
              <w:wordWrap/>
              <w:overflowPunct/>
              <w:topLinePunct w:val="0"/>
              <w:autoSpaceDE w:val="0"/>
              <w:autoSpaceDN w:val="0"/>
              <w:bidi w:val="0"/>
              <w:adjustRightInd/>
              <w:snapToGrid/>
              <w:spacing w:beforeAutospacing="0" w:line="360" w:lineRule="auto"/>
              <w:textAlignment w:val="auto"/>
              <w:rPr>
                <w:rFonts w:hint="eastAsia" w:asciiTheme="minorEastAsia" w:hAnsiTheme="minorEastAsia" w:eastAsiaTheme="minorEastAsia" w:cstheme="minorEastAsia"/>
                <w:sz w:val="20"/>
                <w:szCs w:val="20"/>
                <w:lang w:val="zh-CN" w:eastAsia="zh-CN" w:bidi="zh-CN"/>
              </w:rPr>
            </w:pPr>
            <w:r>
              <w:rPr>
                <w:rFonts w:hint="eastAsia" w:asciiTheme="minorEastAsia" w:hAnsiTheme="minorEastAsia" w:eastAsiaTheme="minorEastAsia" w:cstheme="minorEastAsia"/>
                <w:sz w:val="20"/>
                <w:szCs w:val="20"/>
                <w:lang w:eastAsia="zh-CN"/>
              </w:rPr>
              <w:t>2026年9月3日</w:t>
            </w:r>
          </w:p>
        </w:tc>
      </w:tr>
    </w:tbl>
    <w:p w14:paraId="38689631">
      <w:pPr>
        <w:rPr>
          <w:rFonts w:ascii="宋体" w:hAnsi="宋体" w:eastAsia="宋体" w:cs="宋体"/>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MS Gothic">
    <w:panose1 w:val="020B0609070205080204"/>
    <w:charset w:val="80"/>
    <w:family w:val="modern"/>
    <w:pitch w:val="default"/>
    <w:sig w:usb0="E00002FF" w:usb1="6AC7FDFB" w:usb2="08000012" w:usb3="00000000" w:csb0="4002009F" w:csb1="DFD70000"/>
  </w:font>
  <w:font w:name="Wingdings 2">
    <w:altName w:val="Wingdings"/>
    <w:panose1 w:val="05020102010507070707"/>
    <w:charset w:val="02"/>
    <w:family w:val="roman"/>
    <w:pitch w:val="default"/>
    <w:sig w:usb0="00000000" w:usb1="00000000" w:usb2="00000000" w:usb3="00000000" w:csb0="80000000" w:csb1="00000000"/>
  </w:font>
  <w:font w:name="KSOFA61C387F">
    <w:panose1 w:val="020B0604030504040204"/>
    <w:charset w:val="88"/>
    <w:family w:val="auto"/>
    <w:pitch w:val="default"/>
    <w:sig w:usb0="00000001" w:usb1="00000000" w:usb2="00000000" w:usb3="00000000" w:csb0="001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C974BFF"/>
    <w:rsid w:val="0E90599A"/>
    <w:rsid w:val="0ED720CD"/>
    <w:rsid w:val="12070CAE"/>
    <w:rsid w:val="145F688C"/>
    <w:rsid w:val="14D47131"/>
    <w:rsid w:val="15680001"/>
    <w:rsid w:val="15DD2205"/>
    <w:rsid w:val="17072842"/>
    <w:rsid w:val="17A67110"/>
    <w:rsid w:val="1864189B"/>
    <w:rsid w:val="18D73A7D"/>
    <w:rsid w:val="19557370"/>
    <w:rsid w:val="1B6122DF"/>
    <w:rsid w:val="1BD06B6A"/>
    <w:rsid w:val="1F782BDE"/>
    <w:rsid w:val="2011500D"/>
    <w:rsid w:val="204A6A53"/>
    <w:rsid w:val="205C21F7"/>
    <w:rsid w:val="23317869"/>
    <w:rsid w:val="25650CAE"/>
    <w:rsid w:val="26406598"/>
    <w:rsid w:val="28080056"/>
    <w:rsid w:val="28734C1A"/>
    <w:rsid w:val="28C72DDD"/>
    <w:rsid w:val="29EE0E64"/>
    <w:rsid w:val="2BC4020A"/>
    <w:rsid w:val="2EF90F16"/>
    <w:rsid w:val="2F125C63"/>
    <w:rsid w:val="2F7D1AC3"/>
    <w:rsid w:val="302C3D0A"/>
    <w:rsid w:val="3104598F"/>
    <w:rsid w:val="33DE31BB"/>
    <w:rsid w:val="35276BDD"/>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862A16"/>
    <w:rsid w:val="53F137F4"/>
    <w:rsid w:val="543A6906"/>
    <w:rsid w:val="56850CBB"/>
    <w:rsid w:val="59D8738A"/>
    <w:rsid w:val="5A666D76"/>
    <w:rsid w:val="5B2253C2"/>
    <w:rsid w:val="5CF02E0F"/>
    <w:rsid w:val="603269D2"/>
    <w:rsid w:val="61A52BCA"/>
    <w:rsid w:val="67095496"/>
    <w:rsid w:val="6778283E"/>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C505CAB"/>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w:basedOn w:val="1"/>
    <w:qFormat/>
    <w:uiPriority w:val="1"/>
    <w:pPr>
      <w:ind w:left="220"/>
    </w:pPr>
    <w:rPr>
      <w:sz w:val="32"/>
      <w:szCs w:val="32"/>
    </w:rPr>
  </w:style>
  <w:style w:type="paragraph" w:styleId="5">
    <w:name w:val="Balloon Text"/>
    <w:basedOn w:val="1"/>
    <w:link w:val="17"/>
    <w:qFormat/>
    <w:uiPriority w:val="0"/>
    <w:rPr>
      <w:sz w:val="18"/>
      <w:szCs w:val="18"/>
    </w:rPr>
  </w:style>
  <w:style w:type="paragraph" w:styleId="6">
    <w:name w:val="footer"/>
    <w:basedOn w:val="1"/>
    <w:link w:val="14"/>
    <w:qFormat/>
    <w:uiPriority w:val="0"/>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Table Paragraph"/>
    <w:basedOn w:val="1"/>
    <w:qFormat/>
    <w:uiPriority w:val="1"/>
  </w:style>
  <w:style w:type="character" w:customStyle="1" w:styleId="13">
    <w:name w:val="页眉 字符"/>
    <w:basedOn w:val="10"/>
    <w:link w:val="7"/>
    <w:qFormat/>
    <w:uiPriority w:val="0"/>
    <w:rPr>
      <w:rFonts w:ascii="仿宋" w:hAnsi="仿宋" w:eastAsia="仿宋" w:cs="仿宋"/>
      <w:sz w:val="18"/>
      <w:szCs w:val="18"/>
      <w:lang w:val="zh-CN" w:bidi="zh-CN"/>
    </w:rPr>
  </w:style>
  <w:style w:type="character" w:customStyle="1" w:styleId="14">
    <w:name w:val="页脚 字符"/>
    <w:basedOn w:val="10"/>
    <w:link w:val="6"/>
    <w:qFormat/>
    <w:uiPriority w:val="0"/>
    <w:rPr>
      <w:rFonts w:ascii="仿宋" w:hAnsi="仿宋" w:eastAsia="仿宋" w:cs="仿宋"/>
      <w:sz w:val="18"/>
      <w:szCs w:val="18"/>
      <w:lang w:val="zh-CN" w:bidi="zh-CN"/>
    </w:rPr>
  </w:style>
  <w:style w:type="character" w:customStyle="1" w:styleId="15">
    <w:name w:val="批注文字 字符"/>
    <w:basedOn w:val="10"/>
    <w:link w:val="3"/>
    <w:qFormat/>
    <w:uiPriority w:val="0"/>
    <w:rPr>
      <w:rFonts w:ascii="仿宋" w:hAnsi="仿宋" w:eastAsia="仿宋" w:cs="仿宋"/>
      <w:sz w:val="22"/>
      <w:szCs w:val="22"/>
      <w:lang w:val="zh-CN" w:bidi="zh-CN"/>
    </w:rPr>
  </w:style>
  <w:style w:type="character" w:customStyle="1" w:styleId="16">
    <w:name w:val="批注主题 字符"/>
    <w:basedOn w:val="15"/>
    <w:link w:val="8"/>
    <w:qFormat/>
    <w:uiPriority w:val="0"/>
    <w:rPr>
      <w:rFonts w:ascii="仿宋" w:hAnsi="仿宋" w:eastAsia="仿宋" w:cs="仿宋"/>
      <w:b/>
      <w:bCs/>
      <w:sz w:val="22"/>
      <w:szCs w:val="22"/>
      <w:lang w:val="zh-CN" w:bidi="zh-CN"/>
    </w:rPr>
  </w:style>
  <w:style w:type="character" w:customStyle="1" w:styleId="17">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d0b773d8-9f25-46c5-82e1-79cbdeeb939b</errorID>
      <errorWord>/）</errorWord>
      <group>L1_Punc</group>
      <groupName>标点问题</groupName>
      <ability>L2_Punc_CN</ability>
      <abilityName>标点符号检查</abilityName>
      <candidateList>
        <item>）</item>
      </candidateList>
      <explain/>
      <paraID>7C95182C</paraID>
      <start>29</start>
      <end>31</end>
      <status>unmodified</status>
      <modifiedWord/>
      <trackRevisions>false</trackRevisions>
    </reviewItem>
    <reviewItem>
      <errorID>4cfb0949-a4df-4e8a-bb90-038206e22c29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2A37909C</paraID>
      <start>80</start>
      <end>82</end>
      <status>unmodified</status>
      <modifiedWord/>
      <trackRevisions>false</trackRevisions>
    </reviewItem>
    <reviewItem>
      <errorID>c57b4367-f389-47c9-85fb-d837b663d1e0</errorID>
      <errorWord>;</errorWord>
      <group>L1_Format</group>
      <groupName>格式问题</groupName>
      <ability>L2_HalfPunc_CN</ability>
      <abilityName>全半角检查</abilityName>
      <candidateList>
        <item>；</item>
      </candidateList>
      <explain>文本全半角错误。</explain>
      <paraID>2A37909C</paraID>
      <start>595</start>
      <end>596</end>
      <status>unmodified</status>
      <modifiedWord/>
      <trackRevisions>false</trackRevisions>
    </reviewItem>
    <reviewItem>
      <errorID>008c15c9-ae71-4601-9a6b-65df8472f200</errorID>
      <errorWord>去年</errorWord>
      <group>L1_Knowledge</group>
      <groupName>知识性问题</groupName>
      <ability>L2_Time</ability>
      <abilityName>日期时间</abilityName>
      <candidateList/>
      <explain>在公文场景，请避免使用“去年”这种模糊表述。</explain>
      <paraID>2A37909C</paraID>
      <start>1505</start>
      <end>1507</end>
      <status>unmodified</status>
      <modifiedWord/>
      <trackRevisions>false</trackRevisions>
    </reviewItem>
    <reviewItem>
      <errorID>6dd9697d-cb8b-40ea-aa48-15d1919c33e3</errorID>
      <errorWord>扭亏为赢</errorWord>
      <group>L1_Knowledge</group>
      <groupName>知识性问题</groupName>
      <ability>L2_Idiom</ability>
      <abilityName>成语和诗歌</abilityName>
      <candidateList>
        <item>扭亏为盈</item>
      </candidateList>
      <explain/>
      <paraID>2A37909C</paraID>
      <start>2039</start>
      <end>2043</end>
      <status>unmodified</status>
      <modifiedWord/>
      <trackRevisions>false</trackRevisions>
    </reviewItem>
  </reviewItems>
  <config/>
</contractReview>
</file>

<file path=customXml/itemProps1.xml><?xml version="1.0" encoding="utf-8"?>
<ds:datastoreItem xmlns:ds="http://schemas.openxmlformats.org/officeDocument/2006/customXml" ds:itemID="{B2416454-D52C-4974-A468-5D02FFFCA6D4}">
  <ds:schemaRefs/>
</ds:datastoreItem>
</file>

<file path=customXml/itemProps2.xml><?xml version="1.0" encoding="utf-8"?>
<ds:datastoreItem xmlns:ds="http://schemas.openxmlformats.org/officeDocument/2006/customXml" ds:itemID="{1c9be86f-fc65-4ac1-925a-d21bd3e304b7}">
  <ds:schemaRefs/>
</ds:datastoreItem>
</file>

<file path=docProps/app.xml><?xml version="1.0" encoding="utf-8"?>
<Properties xmlns="http://schemas.openxmlformats.org/officeDocument/2006/extended-properties" xmlns:vt="http://schemas.openxmlformats.org/officeDocument/2006/docPropsVTypes">
  <Template>Normal.dotm</Template>
  <Pages>6</Pages>
  <Words>4995</Words>
  <Characters>5174</Characters>
  <Lines>2</Lines>
  <Paragraphs>1</Paragraphs>
  <TotalTime>9</TotalTime>
  <ScaleCrop>false</ScaleCrop>
  <LinksUpToDate>false</LinksUpToDate>
  <CharactersWithSpaces>5416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2022-04-12T06:10:00Z</dcterms:created>
  <dc:creator>jie.huang</dc:creator>
  <cp:lastModifiedBy>香涵《W》</cp:lastModifiedBy>
  <dcterms:modified xsi:type="dcterms:W3CDTF">2026-09-08T08:22:58Z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57D148DF2F764966BF4E1C38A6255FA2</vt:lpwstr>
  </property>
  <property fmtid="{D5CDD505-2E9C-101B-9397-08002B2CF9AE}" pid="4" name="KSOTemplateDocerSaveRecord">
    <vt:lpwstr>eyJoZGlkIjoiNTcwNTNmNDhjOWVlY2QyMzBkYzA1NzgxNjczM2YxNDgiLCJ1c2VySWQiOiIxMDQ0NjY5OTAzIn0=</vt:lpwstr>
  </property>
</Properties>
</file>