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A6B429">
      <w:pPr>
        <w:pStyle w:val="2"/>
        <w:jc w:val="right"/>
        <w:rPr>
          <w:rFonts w:ascii="宋体" w:hAnsi="宋体" w:eastAsia="宋体" w:cs="宋体"/>
          <w:sz w:val="20"/>
          <w:szCs w:val="20"/>
          <w:lang w:val="en-US"/>
        </w:rPr>
      </w:pPr>
      <w:r>
        <w:rPr>
          <w:rFonts w:hint="eastAsia" w:ascii="宋体" w:hAnsi="宋体" w:eastAsia="宋体" w:cs="宋体"/>
          <w:sz w:val="20"/>
          <w:szCs w:val="20"/>
          <w:lang w:val="en-US"/>
        </w:rPr>
        <w:t>证券代码：600927                                            证券简称：永安期货</w:t>
      </w:r>
    </w:p>
    <w:p w14:paraId="679D6236">
      <w:pPr>
        <w:spacing w:line="360" w:lineRule="auto"/>
        <w:jc w:val="center"/>
        <w:rPr>
          <w:rFonts w:ascii="宋体" w:hAnsi="宋体" w:eastAsia="宋体" w:cs="宋体"/>
          <w:b/>
          <w:bCs/>
          <w:sz w:val="44"/>
          <w:szCs w:val="44"/>
        </w:rPr>
      </w:pPr>
    </w:p>
    <w:p w14:paraId="67DDE4EA">
      <w:pPr>
        <w:spacing w:line="360" w:lineRule="auto"/>
        <w:jc w:val="center"/>
        <w:rPr>
          <w:rFonts w:ascii="宋体" w:hAnsi="宋体" w:eastAsia="宋体" w:cs="宋体"/>
          <w:b/>
          <w:bCs/>
          <w:sz w:val="44"/>
          <w:szCs w:val="44"/>
        </w:rPr>
      </w:pPr>
      <w:r>
        <w:rPr>
          <w:rFonts w:hint="eastAsia" w:ascii="宋体" w:hAnsi="宋体" w:eastAsia="宋体" w:cs="宋体"/>
          <w:b/>
          <w:bCs/>
          <w:sz w:val="44"/>
          <w:szCs w:val="44"/>
        </w:rPr>
        <w:t>永安期货股份有限公司</w:t>
      </w:r>
    </w:p>
    <w:p w14:paraId="1918E904">
      <w:pPr>
        <w:spacing w:line="360" w:lineRule="auto"/>
        <w:jc w:val="center"/>
        <w:rPr>
          <w:rFonts w:ascii="宋体" w:hAnsi="宋体" w:eastAsia="宋体" w:cs="宋体"/>
          <w:sz w:val="44"/>
          <w:szCs w:val="44"/>
        </w:rPr>
      </w:pPr>
      <w:r>
        <w:rPr>
          <w:rFonts w:hint="eastAsia" w:ascii="宋体" w:hAnsi="宋体" w:eastAsia="宋体" w:cs="宋体"/>
          <w:b/>
          <w:bCs/>
          <w:sz w:val="44"/>
          <w:szCs w:val="44"/>
        </w:rPr>
        <w:t>投资者关系活动记录表</w:t>
      </w:r>
    </w:p>
    <w:p w14:paraId="0FEBFD17">
      <w:pPr>
        <w:spacing w:before="51" w:after="32"/>
        <w:ind w:right="619"/>
        <w:rPr>
          <w:rFonts w:ascii="宋体" w:hAnsi="宋体" w:eastAsia="宋体" w:cs="宋体"/>
          <w:sz w:val="21"/>
          <w:szCs w:val="21"/>
          <w:lang w:val="en-US"/>
        </w:rPr>
      </w:pPr>
      <w:r>
        <w:rPr>
          <w:rFonts w:hint="eastAsia" w:ascii="宋体" w:hAnsi="宋体" w:eastAsia="宋体" w:cs="宋体"/>
          <w:sz w:val="21"/>
          <w:szCs w:val="21"/>
        </w:rPr>
        <w:t>编号：</w:t>
      </w:r>
      <w:r>
        <w:rPr>
          <w:rFonts w:hint="eastAsia" w:ascii="宋体" w:hAnsi="宋体" w:eastAsia="宋体" w:cs="宋体"/>
          <w:sz w:val="21"/>
          <w:szCs w:val="21"/>
          <w:lang w:val="en-US"/>
        </w:rPr>
        <w:t>2026</w:t>
      </w:r>
      <w:r>
        <w:rPr>
          <w:rFonts w:hint="eastAsia" w:ascii="宋体" w:hAnsi="宋体" w:eastAsia="宋体" w:cs="宋体"/>
          <w:sz w:val="21"/>
          <w:szCs w:val="21"/>
        </w:rPr>
        <w:t>-</w:t>
      </w:r>
      <w:r>
        <w:rPr>
          <w:rFonts w:hint="eastAsia" w:ascii="宋体" w:hAnsi="宋体" w:eastAsia="宋体" w:cs="宋体"/>
          <w:sz w:val="21"/>
          <w:szCs w:val="21"/>
          <w:lang w:val="en-US"/>
        </w:rPr>
        <w:t>002</w:t>
      </w:r>
    </w:p>
    <w:tbl>
      <w:tblPr>
        <w:tblStyle w:val="9"/>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2580"/>
        <w:gridCol w:w="5945"/>
      </w:tblGrid>
      <w:tr w14:paraId="30703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1" w:hRule="atLeast"/>
          <w:jc w:val="center"/>
        </w:trPr>
        <w:tc>
          <w:tcPr>
            <w:tcW w:w="2580" w:type="dxa"/>
            <w:vAlign w:val="center"/>
          </w:tcPr>
          <w:p w14:paraId="35C6D364">
            <w:pPr>
              <w:pStyle w:val="12"/>
              <w:spacing w:before="7"/>
              <w:rPr>
                <w:rFonts w:ascii="宋体" w:hAnsi="宋体" w:eastAsia="宋体" w:cs="宋体"/>
                <w:b/>
                <w:bCs/>
                <w:sz w:val="21"/>
                <w:szCs w:val="21"/>
              </w:rPr>
            </w:pPr>
          </w:p>
          <w:p w14:paraId="55778E93">
            <w:pPr>
              <w:pStyle w:val="12"/>
              <w:spacing w:before="1"/>
              <w:ind w:left="107"/>
              <w:rPr>
                <w:rFonts w:ascii="宋体" w:hAnsi="宋体" w:eastAsia="宋体" w:cs="宋体"/>
                <w:b/>
                <w:bCs/>
                <w:sz w:val="21"/>
                <w:szCs w:val="21"/>
              </w:rPr>
            </w:pPr>
            <w:r>
              <w:rPr>
                <w:rFonts w:hint="eastAsia" w:ascii="宋体" w:hAnsi="宋体" w:eastAsia="宋体" w:cs="宋体"/>
                <w:b/>
                <w:bCs/>
                <w:sz w:val="21"/>
                <w:szCs w:val="21"/>
              </w:rPr>
              <w:t>投资者关系活动类别</w:t>
            </w:r>
          </w:p>
        </w:tc>
        <w:tc>
          <w:tcPr>
            <w:tcW w:w="5945" w:type="dxa"/>
            <w:vAlign w:val="center"/>
          </w:tcPr>
          <w:p w14:paraId="4328A837">
            <w:pPr>
              <w:pStyle w:val="12"/>
              <w:spacing w:before="7"/>
              <w:rPr>
                <w:rFonts w:ascii="宋体" w:hAnsi="宋体" w:eastAsia="宋体" w:cs="宋体"/>
                <w:sz w:val="21"/>
                <w:szCs w:val="21"/>
              </w:rPr>
            </w:pPr>
          </w:p>
          <w:p w14:paraId="5EECF4F6">
            <w:pPr>
              <w:pStyle w:val="12"/>
              <w:tabs>
                <w:tab w:val="left" w:pos="2418"/>
              </w:tabs>
              <w:spacing w:before="1"/>
              <w:ind w:left="107"/>
              <w:rPr>
                <w:rFonts w:ascii="宋体" w:hAnsi="宋体" w:eastAsia="宋体" w:cs="宋体"/>
                <w:sz w:val="21"/>
                <w:szCs w:val="21"/>
              </w:rPr>
            </w:pPr>
            <w:sdt>
              <w:sdtPr>
                <w:rPr>
                  <w:rFonts w:hint="eastAsia" w:ascii="宋体" w:hAnsi="宋体" w:eastAsia="宋体" w:cs="宋体"/>
                  <w:sz w:val="21"/>
                  <w:szCs w:val="21"/>
                </w:rPr>
                <w:id w:val="249780449"/>
                <w14:checkbox>
                  <w14:checked w14:val="0"/>
                  <w14:checkedState w14:val="0052" w14:font="Wingdings 2"/>
                  <w14:uncheckedState w14:val="2610" w14:font="MS Gothic"/>
                </w14:checkbox>
              </w:sdtPr>
              <w:sdtEndPr>
                <w:rPr>
                  <w:rFonts w:hint="eastAsia" w:ascii="宋体" w:hAnsi="宋体" w:eastAsia="宋体" w:cs="宋体"/>
                  <w:sz w:val="21"/>
                  <w:szCs w:val="21"/>
                </w:rPr>
              </w:sdtEndPr>
              <w:sdtContent>
                <w:r>
                  <w:rPr>
                    <w:rFonts w:hint="eastAsia" w:ascii="MS Gothic" w:hAnsi="MS Gothic" w:eastAsia="MS Gothic" w:cs="宋体"/>
                    <w:sz w:val="21"/>
                    <w:szCs w:val="21"/>
                  </w:rPr>
                  <w:t>☐</w:t>
                </w:r>
              </w:sdtContent>
            </w:sdt>
            <w:r>
              <w:rPr>
                <w:rFonts w:hint="eastAsia" w:ascii="宋体" w:hAnsi="宋体" w:eastAsia="宋体" w:cs="宋体"/>
                <w:sz w:val="21"/>
                <w:szCs w:val="21"/>
              </w:rPr>
              <w:t>特</w:t>
            </w:r>
            <w:r>
              <w:rPr>
                <w:rFonts w:hint="eastAsia" w:ascii="宋体" w:hAnsi="宋体" w:eastAsia="宋体" w:cs="宋体"/>
                <w:spacing w:val="-3"/>
                <w:sz w:val="21"/>
                <w:szCs w:val="21"/>
              </w:rPr>
              <w:t>定</w:t>
            </w:r>
            <w:r>
              <w:rPr>
                <w:rFonts w:hint="eastAsia" w:ascii="宋体" w:hAnsi="宋体" w:eastAsia="宋体" w:cs="宋体"/>
                <w:sz w:val="21"/>
                <w:szCs w:val="21"/>
              </w:rPr>
              <w:t>对</w:t>
            </w:r>
            <w:r>
              <w:rPr>
                <w:rFonts w:hint="eastAsia" w:ascii="宋体" w:hAnsi="宋体" w:eastAsia="宋体" w:cs="宋体"/>
                <w:spacing w:val="-3"/>
                <w:sz w:val="21"/>
                <w:szCs w:val="21"/>
              </w:rPr>
              <w:t>象</w:t>
            </w:r>
            <w:r>
              <w:rPr>
                <w:rFonts w:hint="eastAsia" w:ascii="宋体" w:hAnsi="宋体" w:eastAsia="宋体" w:cs="宋体"/>
                <w:sz w:val="21"/>
                <w:szCs w:val="21"/>
              </w:rPr>
              <w:t>调研</w:t>
            </w:r>
            <w:r>
              <w:rPr>
                <w:rFonts w:hint="eastAsia" w:ascii="宋体" w:hAnsi="宋体" w:eastAsia="宋体" w:cs="宋体"/>
                <w:sz w:val="21"/>
                <w:szCs w:val="21"/>
              </w:rPr>
              <w:tab/>
            </w:r>
            <w:sdt>
              <w:sdtPr>
                <w:rPr>
                  <w:rFonts w:hint="eastAsia" w:ascii="宋体" w:hAnsi="宋体" w:eastAsia="宋体" w:cs="宋体"/>
                  <w:sz w:val="21"/>
                  <w:szCs w:val="21"/>
                </w:rPr>
                <w:id w:val="-416875725"/>
                <w14:checkbox>
                  <w14:checked w14:val="0"/>
                  <w14:checkedState w14:val="0052" w14:font="Wingdings 2"/>
                  <w14:uncheckedState w14:val="2610" w14:font="MS Gothic"/>
                </w14:checkbox>
              </w:sdtPr>
              <w:sdtEndPr>
                <w:rPr>
                  <w:rFonts w:hint="eastAsia" w:ascii="宋体" w:hAnsi="宋体" w:eastAsia="宋体" w:cs="宋体"/>
                  <w:sz w:val="21"/>
                  <w:szCs w:val="21"/>
                </w:rPr>
              </w:sdtEndPr>
              <w:sdtContent>
                <w:r>
                  <w:rPr>
                    <w:rFonts w:hint="eastAsia" w:ascii="MS Gothic" w:hAnsi="MS Gothic" w:eastAsia="MS Gothic" w:cs="宋体"/>
                    <w:sz w:val="21"/>
                    <w:szCs w:val="21"/>
                  </w:rPr>
                  <w:t>☐</w:t>
                </w:r>
              </w:sdtContent>
            </w:sdt>
            <w:r>
              <w:rPr>
                <w:rFonts w:hint="eastAsia" w:ascii="宋体" w:hAnsi="宋体" w:eastAsia="宋体" w:cs="宋体"/>
                <w:sz w:val="21"/>
                <w:szCs w:val="21"/>
              </w:rPr>
              <w:t>分</w:t>
            </w:r>
            <w:r>
              <w:rPr>
                <w:rFonts w:hint="eastAsia" w:ascii="宋体" w:hAnsi="宋体" w:eastAsia="宋体" w:cs="宋体"/>
                <w:spacing w:val="-3"/>
                <w:sz w:val="21"/>
                <w:szCs w:val="21"/>
              </w:rPr>
              <w:t>析</w:t>
            </w:r>
            <w:r>
              <w:rPr>
                <w:rFonts w:hint="eastAsia" w:ascii="宋体" w:hAnsi="宋体" w:eastAsia="宋体" w:cs="宋体"/>
                <w:sz w:val="21"/>
                <w:szCs w:val="21"/>
              </w:rPr>
              <w:t>师</w:t>
            </w:r>
            <w:r>
              <w:rPr>
                <w:rFonts w:hint="eastAsia" w:ascii="宋体" w:hAnsi="宋体" w:eastAsia="宋体" w:cs="宋体"/>
                <w:spacing w:val="-3"/>
                <w:sz w:val="21"/>
                <w:szCs w:val="21"/>
              </w:rPr>
              <w:t>会</w:t>
            </w:r>
            <w:r>
              <w:rPr>
                <w:rFonts w:hint="eastAsia" w:ascii="宋体" w:hAnsi="宋体" w:eastAsia="宋体" w:cs="宋体"/>
                <w:sz w:val="21"/>
                <w:szCs w:val="21"/>
              </w:rPr>
              <w:t>议</w:t>
            </w:r>
          </w:p>
          <w:p w14:paraId="59ECCD6D">
            <w:pPr>
              <w:pStyle w:val="12"/>
              <w:spacing w:before="11"/>
              <w:rPr>
                <w:rFonts w:ascii="宋体" w:hAnsi="宋体" w:eastAsia="宋体" w:cs="宋体"/>
                <w:sz w:val="21"/>
                <w:szCs w:val="21"/>
              </w:rPr>
            </w:pPr>
          </w:p>
          <w:p w14:paraId="66BA2E7C">
            <w:pPr>
              <w:pStyle w:val="12"/>
              <w:tabs>
                <w:tab w:val="left" w:pos="2418"/>
              </w:tabs>
              <w:ind w:left="107"/>
              <w:rPr>
                <w:rFonts w:ascii="宋体" w:hAnsi="宋体" w:eastAsia="宋体" w:cs="宋体"/>
                <w:sz w:val="21"/>
                <w:szCs w:val="21"/>
              </w:rPr>
            </w:pPr>
            <w:sdt>
              <w:sdtPr>
                <w:rPr>
                  <w:rFonts w:hint="eastAsia" w:ascii="宋体" w:hAnsi="宋体" w:eastAsia="宋体" w:cs="宋体"/>
                  <w:sz w:val="21"/>
                  <w:szCs w:val="21"/>
                </w:rPr>
                <w:id w:val="1206906014"/>
                <w14:checkbox>
                  <w14:checked w14:val="0"/>
                  <w14:checkedState w14:val="0052" w14:font="Wingdings 2"/>
                  <w14:uncheckedState w14:val="2610" w14:font="MS Gothic"/>
                </w14:checkbox>
              </w:sdtPr>
              <w:sdtEndPr>
                <w:rPr>
                  <w:rFonts w:hint="eastAsia" w:ascii="宋体" w:hAnsi="宋体" w:eastAsia="宋体" w:cs="宋体"/>
                  <w:sz w:val="21"/>
                  <w:szCs w:val="21"/>
                </w:rPr>
              </w:sdtEndPr>
              <w:sdtContent>
                <w:r>
                  <w:rPr>
                    <w:rFonts w:hint="eastAsia" w:ascii="MS Gothic" w:hAnsi="MS Gothic" w:eastAsia="MS Gothic" w:cs="宋体"/>
                    <w:sz w:val="21"/>
                    <w:szCs w:val="21"/>
                  </w:rPr>
                  <w:t>☐</w:t>
                </w:r>
              </w:sdtContent>
            </w:sdt>
            <w:r>
              <w:rPr>
                <w:rFonts w:hint="eastAsia" w:ascii="宋体" w:hAnsi="宋体" w:eastAsia="宋体" w:cs="宋体"/>
                <w:sz w:val="21"/>
                <w:szCs w:val="21"/>
              </w:rPr>
              <w:t>媒</w:t>
            </w:r>
            <w:r>
              <w:rPr>
                <w:rFonts w:hint="eastAsia" w:ascii="宋体" w:hAnsi="宋体" w:eastAsia="宋体" w:cs="宋体"/>
                <w:spacing w:val="-3"/>
                <w:sz w:val="21"/>
                <w:szCs w:val="21"/>
              </w:rPr>
              <w:t>体</w:t>
            </w:r>
            <w:r>
              <w:rPr>
                <w:rFonts w:hint="eastAsia" w:ascii="宋体" w:hAnsi="宋体" w:eastAsia="宋体" w:cs="宋体"/>
                <w:sz w:val="21"/>
                <w:szCs w:val="21"/>
              </w:rPr>
              <w:t>采访</w:t>
            </w:r>
            <w:r>
              <w:rPr>
                <w:rFonts w:hint="eastAsia" w:ascii="宋体" w:hAnsi="宋体" w:eastAsia="宋体" w:cs="宋体"/>
                <w:sz w:val="21"/>
                <w:szCs w:val="21"/>
              </w:rPr>
              <w:tab/>
            </w:r>
            <w:sdt>
              <w:sdtPr>
                <w:rPr>
                  <w:rFonts w:hint="eastAsia" w:ascii="宋体" w:hAnsi="宋体" w:eastAsia="宋体" w:cs="宋体"/>
                  <w:sz w:val="21"/>
                  <w:szCs w:val="21"/>
                </w:rPr>
                <w:id w:val="-66658901"/>
                <w14:checkbox>
                  <w14:checked w14:val="1"/>
                  <w14:checkedState w14:val="0052" w14:font="Wingdings 2"/>
                  <w14:uncheckedState w14:val="2610" w14:font="MS Gothic"/>
                </w14:checkbox>
              </w:sdtPr>
              <w:sdtEndPr>
                <w:rPr>
                  <w:rFonts w:hint="eastAsia" w:ascii="宋体" w:hAnsi="宋体" w:eastAsia="宋体" w:cs="宋体"/>
                  <w:sz w:val="21"/>
                  <w:szCs w:val="21"/>
                </w:rPr>
              </w:sdtEndPr>
              <w:sdtContent>
                <w:r>
                  <w:rPr>
                    <w:rFonts w:ascii="Wingdings 2" w:hAnsi="Wingdings 2" w:eastAsia="MS Gothic" w:cs="宋体"/>
                    <w:sz w:val="21"/>
                    <w:szCs w:val="21"/>
                  </w:rPr>
                  <w:t></w:t>
                </w:r>
              </w:sdtContent>
            </w:sdt>
            <w:r>
              <w:rPr>
                <w:rFonts w:hint="eastAsia" w:ascii="宋体" w:hAnsi="宋体" w:eastAsia="宋体" w:cs="宋体"/>
                <w:sz w:val="21"/>
                <w:szCs w:val="21"/>
              </w:rPr>
              <w:t>业</w:t>
            </w:r>
            <w:r>
              <w:rPr>
                <w:rFonts w:hint="eastAsia" w:ascii="宋体" w:hAnsi="宋体" w:eastAsia="宋体" w:cs="宋体"/>
                <w:spacing w:val="-3"/>
                <w:sz w:val="21"/>
                <w:szCs w:val="21"/>
              </w:rPr>
              <w:t>绩</w:t>
            </w:r>
            <w:r>
              <w:rPr>
                <w:rFonts w:hint="eastAsia" w:ascii="宋体" w:hAnsi="宋体" w:eastAsia="宋体" w:cs="宋体"/>
                <w:sz w:val="21"/>
                <w:szCs w:val="21"/>
              </w:rPr>
              <w:t>说</w:t>
            </w:r>
            <w:r>
              <w:rPr>
                <w:rFonts w:hint="eastAsia" w:ascii="宋体" w:hAnsi="宋体" w:eastAsia="宋体" w:cs="宋体"/>
                <w:spacing w:val="-3"/>
                <w:sz w:val="21"/>
                <w:szCs w:val="21"/>
              </w:rPr>
              <w:t>明</w:t>
            </w:r>
            <w:r>
              <w:rPr>
                <w:rFonts w:hint="eastAsia" w:ascii="宋体" w:hAnsi="宋体" w:eastAsia="宋体" w:cs="宋体"/>
                <w:sz w:val="21"/>
                <w:szCs w:val="21"/>
              </w:rPr>
              <w:t>会</w:t>
            </w:r>
          </w:p>
          <w:p w14:paraId="049924C9">
            <w:pPr>
              <w:pStyle w:val="12"/>
              <w:spacing w:before="8"/>
              <w:rPr>
                <w:rFonts w:ascii="宋体" w:hAnsi="宋体" w:eastAsia="宋体" w:cs="宋体"/>
                <w:sz w:val="21"/>
                <w:szCs w:val="21"/>
              </w:rPr>
            </w:pPr>
          </w:p>
          <w:p w14:paraId="10C7BD3A">
            <w:pPr>
              <w:pStyle w:val="12"/>
              <w:tabs>
                <w:tab w:val="left" w:pos="2418"/>
              </w:tabs>
              <w:ind w:left="107"/>
              <w:rPr>
                <w:rFonts w:ascii="宋体" w:hAnsi="宋体" w:eastAsia="宋体" w:cs="宋体"/>
                <w:sz w:val="21"/>
                <w:szCs w:val="21"/>
              </w:rPr>
            </w:pPr>
            <w:sdt>
              <w:sdtPr>
                <w:rPr>
                  <w:rFonts w:hint="eastAsia" w:ascii="宋体" w:hAnsi="宋体" w:eastAsia="宋体" w:cs="宋体"/>
                  <w:sz w:val="21"/>
                  <w:szCs w:val="21"/>
                </w:rPr>
                <w:id w:val="-1848167434"/>
                <w14:checkbox>
                  <w14:checked w14:val="0"/>
                  <w14:checkedState w14:val="0052" w14:font="Wingdings 2"/>
                  <w14:uncheckedState w14:val="2610" w14:font="MS Gothic"/>
                </w14:checkbox>
              </w:sdtPr>
              <w:sdtEndPr>
                <w:rPr>
                  <w:rFonts w:hint="eastAsia" w:ascii="宋体" w:hAnsi="宋体" w:eastAsia="宋体" w:cs="宋体"/>
                  <w:sz w:val="21"/>
                  <w:szCs w:val="21"/>
                </w:rPr>
              </w:sdtEndPr>
              <w:sdtContent>
                <w:r>
                  <w:rPr>
                    <w:rFonts w:hint="eastAsia" w:ascii="MS Gothic" w:hAnsi="MS Gothic" w:eastAsia="MS Gothic" w:cs="宋体"/>
                    <w:sz w:val="21"/>
                    <w:szCs w:val="21"/>
                  </w:rPr>
                  <w:t>☐</w:t>
                </w:r>
              </w:sdtContent>
            </w:sdt>
            <w:r>
              <w:rPr>
                <w:rFonts w:hint="eastAsia" w:ascii="宋体" w:hAnsi="宋体" w:eastAsia="宋体" w:cs="宋体"/>
                <w:sz w:val="21"/>
                <w:szCs w:val="21"/>
              </w:rPr>
              <w:t>新</w:t>
            </w:r>
            <w:r>
              <w:rPr>
                <w:rFonts w:hint="eastAsia" w:ascii="宋体" w:hAnsi="宋体" w:eastAsia="宋体" w:cs="宋体"/>
                <w:spacing w:val="-3"/>
                <w:sz w:val="21"/>
                <w:szCs w:val="21"/>
              </w:rPr>
              <w:t>闻</w:t>
            </w:r>
            <w:r>
              <w:rPr>
                <w:rFonts w:hint="eastAsia" w:ascii="宋体" w:hAnsi="宋体" w:eastAsia="宋体" w:cs="宋体"/>
                <w:sz w:val="21"/>
                <w:szCs w:val="21"/>
              </w:rPr>
              <w:t>发</w:t>
            </w:r>
            <w:r>
              <w:rPr>
                <w:rFonts w:hint="eastAsia" w:ascii="宋体" w:hAnsi="宋体" w:eastAsia="宋体" w:cs="宋体"/>
                <w:spacing w:val="-3"/>
                <w:sz w:val="21"/>
                <w:szCs w:val="21"/>
              </w:rPr>
              <w:t>布</w:t>
            </w:r>
            <w:r>
              <w:rPr>
                <w:rFonts w:hint="eastAsia" w:ascii="宋体" w:hAnsi="宋体" w:eastAsia="宋体" w:cs="宋体"/>
                <w:sz w:val="21"/>
                <w:szCs w:val="21"/>
              </w:rPr>
              <w:t>会</w:t>
            </w:r>
            <w:r>
              <w:rPr>
                <w:rFonts w:hint="eastAsia" w:ascii="宋体" w:hAnsi="宋体" w:eastAsia="宋体" w:cs="宋体"/>
                <w:sz w:val="21"/>
                <w:szCs w:val="21"/>
              </w:rPr>
              <w:tab/>
            </w:r>
            <w:sdt>
              <w:sdtPr>
                <w:rPr>
                  <w:rFonts w:hint="eastAsia" w:ascii="宋体" w:hAnsi="宋体" w:eastAsia="宋体" w:cs="宋体"/>
                  <w:sz w:val="21"/>
                  <w:szCs w:val="21"/>
                </w:rPr>
                <w:id w:val="412049691"/>
                <w14:checkbox>
                  <w14:checked w14:val="0"/>
                  <w14:checkedState w14:val="0052" w14:font="Wingdings 2"/>
                  <w14:uncheckedState w14:val="2610" w14:font="MS Gothic"/>
                </w14:checkbox>
              </w:sdtPr>
              <w:sdtEndPr>
                <w:rPr>
                  <w:rFonts w:hint="eastAsia" w:ascii="宋体" w:hAnsi="宋体" w:eastAsia="宋体" w:cs="宋体"/>
                  <w:sz w:val="21"/>
                  <w:szCs w:val="21"/>
                </w:rPr>
              </w:sdtEndPr>
              <w:sdtContent>
                <w:r>
                  <w:rPr>
                    <w:rFonts w:hint="eastAsia" w:ascii="MS Gothic" w:hAnsi="MS Gothic" w:eastAsia="MS Gothic" w:cs="宋体"/>
                    <w:sz w:val="21"/>
                    <w:szCs w:val="21"/>
                  </w:rPr>
                  <w:t>☐</w:t>
                </w:r>
              </w:sdtContent>
            </w:sdt>
            <w:r>
              <w:rPr>
                <w:rFonts w:hint="eastAsia" w:ascii="宋体" w:hAnsi="宋体" w:eastAsia="宋体" w:cs="宋体"/>
                <w:sz w:val="21"/>
                <w:szCs w:val="21"/>
              </w:rPr>
              <w:t>路</w:t>
            </w:r>
            <w:r>
              <w:rPr>
                <w:rFonts w:hint="eastAsia" w:ascii="宋体" w:hAnsi="宋体" w:eastAsia="宋体" w:cs="宋体"/>
                <w:spacing w:val="-3"/>
                <w:sz w:val="21"/>
                <w:szCs w:val="21"/>
              </w:rPr>
              <w:t>演</w:t>
            </w:r>
            <w:r>
              <w:rPr>
                <w:rFonts w:hint="eastAsia" w:ascii="宋体" w:hAnsi="宋体" w:eastAsia="宋体" w:cs="宋体"/>
                <w:sz w:val="21"/>
                <w:szCs w:val="21"/>
              </w:rPr>
              <w:t>活动</w:t>
            </w:r>
          </w:p>
          <w:p w14:paraId="437D68C7">
            <w:pPr>
              <w:pStyle w:val="12"/>
              <w:spacing w:before="8"/>
              <w:rPr>
                <w:rFonts w:ascii="宋体" w:hAnsi="宋体" w:eastAsia="宋体" w:cs="宋体"/>
                <w:sz w:val="21"/>
                <w:szCs w:val="21"/>
              </w:rPr>
            </w:pPr>
          </w:p>
          <w:p w14:paraId="20F4332E">
            <w:pPr>
              <w:pStyle w:val="12"/>
              <w:ind w:left="107"/>
              <w:rPr>
                <w:rFonts w:ascii="宋体" w:hAnsi="宋体" w:eastAsia="宋体" w:cs="宋体"/>
                <w:sz w:val="21"/>
                <w:szCs w:val="21"/>
              </w:rPr>
            </w:pPr>
            <w:sdt>
              <w:sdtPr>
                <w:rPr>
                  <w:rFonts w:hint="eastAsia" w:ascii="宋体" w:hAnsi="宋体" w:eastAsia="宋体" w:cs="宋体"/>
                  <w:sz w:val="21"/>
                  <w:szCs w:val="21"/>
                </w:rPr>
                <w:id w:val="-1333366911"/>
                <w14:checkbox>
                  <w14:checked w14:val="0"/>
                  <w14:checkedState w14:val="0052" w14:font="Wingdings 2"/>
                  <w14:uncheckedState w14:val="2610" w14:font="MS Gothic"/>
                </w14:checkbox>
              </w:sdtPr>
              <w:sdtEndPr>
                <w:rPr>
                  <w:rFonts w:hint="eastAsia" w:ascii="宋体" w:hAnsi="宋体" w:eastAsia="宋体" w:cs="宋体"/>
                  <w:sz w:val="21"/>
                  <w:szCs w:val="21"/>
                </w:rPr>
              </w:sdtEndPr>
              <w:sdtContent>
                <w:r>
                  <w:rPr>
                    <w:rFonts w:hint="eastAsia" w:ascii="MS Gothic" w:hAnsi="MS Gothic" w:eastAsia="MS Gothic" w:cs="宋体"/>
                    <w:sz w:val="21"/>
                    <w:szCs w:val="21"/>
                  </w:rPr>
                  <w:t>☐</w:t>
                </w:r>
              </w:sdtContent>
            </w:sdt>
            <w:r>
              <w:rPr>
                <w:rFonts w:hint="eastAsia" w:ascii="宋体" w:hAnsi="宋体" w:eastAsia="宋体" w:cs="宋体"/>
                <w:sz w:val="21"/>
                <w:szCs w:val="21"/>
              </w:rPr>
              <w:t>现场参观</w:t>
            </w:r>
          </w:p>
          <w:p w14:paraId="0BB32EED">
            <w:pPr>
              <w:pStyle w:val="12"/>
              <w:spacing w:before="11"/>
              <w:rPr>
                <w:rFonts w:ascii="宋体" w:hAnsi="宋体" w:eastAsia="宋体" w:cs="宋体"/>
                <w:sz w:val="21"/>
                <w:szCs w:val="21"/>
              </w:rPr>
            </w:pPr>
          </w:p>
          <w:p w14:paraId="0104BAC8">
            <w:pPr>
              <w:pStyle w:val="12"/>
              <w:ind w:left="107"/>
              <w:rPr>
                <w:rFonts w:ascii="宋体" w:hAnsi="宋体" w:eastAsia="宋体" w:cs="宋体"/>
                <w:sz w:val="21"/>
                <w:szCs w:val="21"/>
              </w:rPr>
            </w:pPr>
            <w:sdt>
              <w:sdtPr>
                <w:rPr>
                  <w:rFonts w:hint="eastAsia" w:ascii="宋体" w:hAnsi="宋体" w:eastAsia="宋体" w:cs="宋体"/>
                  <w:sz w:val="21"/>
                  <w:szCs w:val="21"/>
                </w:rPr>
                <w:id w:val="400885218"/>
                <w14:checkbox>
                  <w14:checked w14:val="0"/>
                  <w14:checkedState w14:val="0052" w14:font="Wingdings 2"/>
                  <w14:uncheckedState w14:val="2610" w14:font="MS Gothic"/>
                </w14:checkbox>
              </w:sdtPr>
              <w:sdtEndPr>
                <w:rPr>
                  <w:rFonts w:hint="eastAsia" w:ascii="宋体" w:hAnsi="宋体" w:eastAsia="宋体" w:cs="宋体"/>
                  <w:sz w:val="21"/>
                  <w:szCs w:val="21"/>
                </w:rPr>
              </w:sdtEndPr>
              <w:sdtContent>
                <w:r>
                  <w:rPr>
                    <w:rFonts w:hint="eastAsia" w:ascii="MS Gothic" w:hAnsi="MS Gothic" w:eastAsia="MS Gothic" w:cs="宋体"/>
                    <w:sz w:val="21"/>
                    <w:szCs w:val="21"/>
                  </w:rPr>
                  <w:t>☐</w:t>
                </w:r>
              </w:sdtContent>
            </w:sdt>
            <w:r>
              <w:rPr>
                <w:rFonts w:hint="eastAsia" w:ascii="宋体" w:hAnsi="宋体" w:eastAsia="宋体" w:cs="宋体"/>
                <w:sz w:val="21"/>
                <w:szCs w:val="21"/>
              </w:rPr>
              <w:t>其他（</w:t>
            </w:r>
            <w:r>
              <w:rPr>
                <w:rFonts w:hint="eastAsia" w:ascii="宋体" w:hAnsi="宋体" w:eastAsia="宋体" w:cs="宋体"/>
                <w:sz w:val="21"/>
                <w:szCs w:val="21"/>
                <w:u w:val="single"/>
              </w:rPr>
              <w:t>请文字说明其他活动内容）</w:t>
            </w:r>
          </w:p>
        </w:tc>
      </w:tr>
      <w:tr w14:paraId="0E46C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1120" w:hRule="atLeast"/>
          <w:jc w:val="center"/>
        </w:trPr>
        <w:tc>
          <w:tcPr>
            <w:tcW w:w="2580" w:type="dxa"/>
            <w:vAlign w:val="center"/>
          </w:tcPr>
          <w:p w14:paraId="3C6412B4">
            <w:pPr>
              <w:pStyle w:val="12"/>
              <w:spacing w:line="560" w:lineRule="exact"/>
              <w:ind w:left="107" w:right="96"/>
              <w:rPr>
                <w:rFonts w:ascii="宋体" w:hAnsi="宋体" w:eastAsia="宋体" w:cs="宋体"/>
                <w:b/>
                <w:bCs/>
                <w:sz w:val="21"/>
                <w:szCs w:val="21"/>
              </w:rPr>
            </w:pPr>
            <w:r>
              <w:rPr>
                <w:rFonts w:hint="eastAsia" w:ascii="宋体" w:hAnsi="宋体" w:eastAsia="宋体" w:cs="宋体"/>
                <w:b/>
                <w:bCs/>
                <w:sz w:val="21"/>
                <w:szCs w:val="21"/>
              </w:rPr>
              <w:t>参与单位名称及人员姓名</w:t>
            </w:r>
          </w:p>
        </w:tc>
        <w:tc>
          <w:tcPr>
            <w:tcW w:w="5945" w:type="dxa"/>
            <w:vAlign w:val="center"/>
          </w:tcPr>
          <w:p w14:paraId="2BD07DB3">
            <w:pPr>
              <w:pStyle w:val="12"/>
              <w:spacing w:before="100" w:beforeAutospacing="1" w:line="360" w:lineRule="auto"/>
              <w:rPr>
                <w:rFonts w:ascii="宋体" w:hAnsi="宋体" w:eastAsia="宋体" w:cs="宋体"/>
                <w:sz w:val="21"/>
                <w:szCs w:val="21"/>
                <w:lang w:val="en-US"/>
              </w:rPr>
            </w:pPr>
            <w:r>
              <w:rPr>
                <w:rFonts w:hint="eastAsia" w:ascii="宋体" w:hAnsi="宋体" w:eastAsia="宋体" w:cs="宋体"/>
                <w:sz w:val="21"/>
                <w:szCs w:val="21"/>
                <w:lang w:val="en-US"/>
              </w:rPr>
              <w:t>线上参与永安期货（600927）2026年半年度业绩说明会的全体投资者</w:t>
            </w:r>
          </w:p>
        </w:tc>
      </w:tr>
      <w:tr w14:paraId="2B46A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53A2D59E">
            <w:pPr>
              <w:pStyle w:val="12"/>
              <w:ind w:left="107"/>
              <w:rPr>
                <w:rFonts w:ascii="宋体" w:hAnsi="宋体" w:eastAsia="宋体" w:cs="宋体"/>
                <w:b/>
                <w:bCs/>
                <w:sz w:val="21"/>
                <w:szCs w:val="21"/>
              </w:rPr>
            </w:pPr>
            <w:r>
              <w:rPr>
                <w:rFonts w:hint="eastAsia" w:ascii="宋体" w:hAnsi="宋体" w:eastAsia="宋体" w:cs="宋体"/>
                <w:b/>
                <w:bCs/>
                <w:sz w:val="21"/>
                <w:szCs w:val="21"/>
              </w:rPr>
              <w:t>时间</w:t>
            </w:r>
          </w:p>
        </w:tc>
        <w:tc>
          <w:tcPr>
            <w:tcW w:w="5945" w:type="dxa"/>
            <w:vAlign w:val="center"/>
          </w:tcPr>
          <w:p w14:paraId="5A6AEAD8">
            <w:pPr>
              <w:spacing w:before="100" w:beforeAutospacing="1" w:line="360" w:lineRule="auto"/>
              <w:rPr>
                <w:rFonts w:ascii="宋体" w:hAnsi="宋体" w:eastAsia="宋体" w:cs="宋体"/>
                <w:sz w:val="21"/>
                <w:szCs w:val="21"/>
              </w:rPr>
            </w:pPr>
            <w:r>
              <w:rPr>
                <w:rFonts w:hint="eastAsia" w:ascii="宋体" w:hAnsi="宋体" w:eastAsia="宋体" w:cs="宋体"/>
                <w:sz w:val="21"/>
                <w:szCs w:val="21"/>
              </w:rPr>
              <w:t>2026年09月08日 10:00-11:00</w:t>
            </w:r>
          </w:p>
        </w:tc>
      </w:tr>
      <w:tr w14:paraId="4E24D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2580" w:type="dxa"/>
            <w:vAlign w:val="center"/>
          </w:tcPr>
          <w:p w14:paraId="3FC271A3">
            <w:pPr>
              <w:pStyle w:val="12"/>
              <w:ind w:left="107"/>
              <w:rPr>
                <w:rFonts w:ascii="宋体" w:hAnsi="宋体" w:eastAsia="宋体" w:cs="宋体"/>
                <w:b/>
                <w:bCs/>
                <w:sz w:val="21"/>
                <w:szCs w:val="21"/>
              </w:rPr>
            </w:pPr>
            <w:r>
              <w:rPr>
                <w:rFonts w:hint="eastAsia" w:ascii="宋体" w:hAnsi="宋体" w:eastAsia="宋体" w:cs="宋体"/>
                <w:b/>
                <w:bCs/>
                <w:sz w:val="21"/>
                <w:szCs w:val="21"/>
              </w:rPr>
              <w:t>地点</w:t>
            </w:r>
          </w:p>
        </w:tc>
        <w:tc>
          <w:tcPr>
            <w:tcW w:w="5945" w:type="dxa"/>
            <w:vAlign w:val="center"/>
          </w:tcPr>
          <w:p w14:paraId="59A94987">
            <w:pPr>
              <w:pStyle w:val="12"/>
              <w:spacing w:before="100" w:beforeAutospacing="1" w:line="360" w:lineRule="auto"/>
              <w:rPr>
                <w:rFonts w:ascii="宋体" w:hAnsi="宋体" w:eastAsia="宋体" w:cs="宋体"/>
                <w:sz w:val="21"/>
                <w:szCs w:val="21"/>
              </w:rPr>
            </w:pPr>
            <w:r>
              <w:rPr>
                <w:rFonts w:hint="eastAsia" w:ascii="宋体" w:hAnsi="宋体" w:eastAsia="宋体" w:cs="宋体"/>
                <w:sz w:val="21"/>
                <w:szCs w:val="21"/>
              </w:rPr>
              <w:t>价值在线（https://www.ir-online.cn/）网络互动</w:t>
            </w:r>
          </w:p>
        </w:tc>
      </w:tr>
      <w:tr w14:paraId="6BCC8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6A8A29ED">
            <w:pPr>
              <w:pStyle w:val="12"/>
              <w:spacing w:before="1"/>
              <w:ind w:left="107"/>
              <w:rPr>
                <w:rFonts w:ascii="宋体" w:hAnsi="宋体" w:eastAsia="宋体" w:cs="宋体"/>
                <w:b/>
                <w:bCs/>
                <w:sz w:val="21"/>
                <w:szCs w:val="21"/>
              </w:rPr>
            </w:pPr>
            <w:r>
              <w:rPr>
                <w:rFonts w:hint="eastAsia" w:ascii="宋体" w:hAnsi="宋体" w:eastAsia="宋体" w:cs="宋体"/>
                <w:b/>
                <w:bCs/>
                <w:sz w:val="21"/>
                <w:szCs w:val="21"/>
              </w:rPr>
              <w:t>上市公司接待人员姓名</w:t>
            </w:r>
          </w:p>
        </w:tc>
        <w:tc>
          <w:tcPr>
            <w:tcW w:w="5945" w:type="dxa"/>
            <w:vAlign w:val="center"/>
          </w:tcPr>
          <w:p w14:paraId="6513CE48">
            <w:pPr>
              <w:pStyle w:val="12"/>
              <w:spacing w:before="100" w:beforeAutospacing="1" w:line="360" w:lineRule="auto"/>
              <w:rPr>
                <w:rFonts w:ascii="宋体" w:hAnsi="宋体" w:eastAsia="宋体" w:cs="宋体"/>
                <w:sz w:val="21"/>
                <w:szCs w:val="21"/>
              </w:rPr>
            </w:pPr>
            <w:r>
              <w:rPr>
                <w:rFonts w:hint="eastAsia" w:ascii="宋体" w:hAnsi="宋体" w:eastAsia="宋体" w:cs="宋体"/>
                <w:sz w:val="21"/>
                <w:szCs w:val="21"/>
              </w:rPr>
              <w:t>董事（代行董事长职责）、总经理 马志伟</w:t>
            </w:r>
            <w:r>
              <w:rPr>
                <w:rFonts w:hint="eastAsia" w:ascii="宋体" w:hAnsi="宋体" w:eastAsia="宋体" w:cs="宋体"/>
                <w:sz w:val="21"/>
                <w:szCs w:val="21"/>
              </w:rPr>
              <w:br w:type="textWrapping"/>
            </w:r>
            <w:r>
              <w:rPr>
                <w:rFonts w:hint="eastAsia" w:ascii="宋体" w:hAnsi="宋体" w:eastAsia="宋体" w:cs="宋体"/>
                <w:sz w:val="21"/>
                <w:szCs w:val="21"/>
              </w:rPr>
              <w:t>副总经理、董事会秘书、财务总监 黄峥嵘</w:t>
            </w:r>
            <w:r>
              <w:rPr>
                <w:rFonts w:hint="eastAsia" w:ascii="宋体" w:hAnsi="宋体" w:eastAsia="宋体" w:cs="宋体"/>
                <w:sz w:val="21"/>
                <w:szCs w:val="21"/>
              </w:rPr>
              <w:br w:type="textWrapping"/>
            </w:r>
            <w:r>
              <w:rPr>
                <w:rFonts w:hint="eastAsia" w:ascii="宋体" w:hAnsi="宋体" w:eastAsia="宋体" w:cs="宋体"/>
                <w:sz w:val="21"/>
                <w:szCs w:val="21"/>
              </w:rPr>
              <w:t>独立董事 李小文</w:t>
            </w:r>
          </w:p>
        </w:tc>
      </w:tr>
      <w:tr w14:paraId="56CBA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0" w:hRule="atLeast"/>
          <w:jc w:val="center"/>
        </w:trPr>
        <w:tc>
          <w:tcPr>
            <w:tcW w:w="2580" w:type="dxa"/>
            <w:vAlign w:val="center"/>
          </w:tcPr>
          <w:p w14:paraId="42922617">
            <w:pPr>
              <w:pStyle w:val="12"/>
              <w:rPr>
                <w:rFonts w:ascii="宋体" w:hAnsi="宋体" w:eastAsia="宋体" w:cs="宋体"/>
                <w:b/>
                <w:bCs/>
                <w:sz w:val="21"/>
                <w:szCs w:val="21"/>
              </w:rPr>
            </w:pPr>
          </w:p>
          <w:p w14:paraId="503FD087">
            <w:pPr>
              <w:pStyle w:val="12"/>
              <w:rPr>
                <w:rFonts w:ascii="宋体" w:hAnsi="宋体" w:eastAsia="宋体" w:cs="宋体"/>
                <w:b/>
                <w:bCs/>
                <w:sz w:val="21"/>
                <w:szCs w:val="21"/>
              </w:rPr>
            </w:pPr>
          </w:p>
          <w:p w14:paraId="76BEEA23">
            <w:pPr>
              <w:pStyle w:val="12"/>
              <w:spacing w:before="5"/>
              <w:rPr>
                <w:rFonts w:ascii="宋体" w:hAnsi="宋体" w:eastAsia="宋体" w:cs="宋体"/>
                <w:b/>
                <w:bCs/>
                <w:sz w:val="21"/>
                <w:szCs w:val="21"/>
              </w:rPr>
            </w:pPr>
          </w:p>
          <w:p w14:paraId="1BB2AC2B">
            <w:pPr>
              <w:pStyle w:val="12"/>
              <w:spacing w:before="1" w:line="499" w:lineRule="auto"/>
              <w:ind w:left="107" w:right="96"/>
              <w:rPr>
                <w:rFonts w:ascii="宋体" w:hAnsi="宋体" w:eastAsia="宋体" w:cs="宋体"/>
                <w:b/>
                <w:bCs/>
                <w:sz w:val="21"/>
                <w:szCs w:val="21"/>
              </w:rPr>
            </w:pPr>
            <w:r>
              <w:rPr>
                <w:rFonts w:hint="eastAsia" w:ascii="宋体" w:hAnsi="宋体" w:eastAsia="宋体" w:cs="宋体"/>
                <w:b/>
                <w:bCs/>
                <w:sz w:val="21"/>
                <w:szCs w:val="21"/>
              </w:rPr>
              <w:t>投资者关系活动主要内容介绍</w:t>
            </w:r>
          </w:p>
        </w:tc>
        <w:tc>
          <w:tcPr>
            <w:tcW w:w="5945" w:type="dxa"/>
            <w:vAlign w:val="center"/>
          </w:tcPr>
          <w:p w14:paraId="7B4A4B39">
            <w:pPr>
              <w:pStyle w:val="12"/>
              <w:spacing w:before="100" w:beforeAutospacing="1" w:line="360" w:lineRule="auto"/>
              <w:rPr>
                <w:rFonts w:ascii="宋体" w:hAnsi="宋体" w:eastAsia="宋体" w:cs="宋体"/>
                <w:sz w:val="21"/>
                <w:szCs w:val="21"/>
              </w:rPr>
            </w:pPr>
            <w:r>
              <w:rPr>
                <w:rFonts w:hint="eastAsia" w:ascii="宋体" w:hAnsi="宋体" w:eastAsia="宋体" w:cs="宋体"/>
                <w:b/>
                <w:sz w:val="21"/>
                <w:szCs w:val="21"/>
              </w:rPr>
              <w:t xml:space="preserve">    1.请问公司，自上市之后，公司股价长期处于下行区间，显著低于发行价。从公司角度分析，造成股价持续走弱的主要因素有哪些？公司如何看待二级市场估值持续承压，后续有无相关举措维护投资者利益？</w:t>
            </w:r>
            <w:r>
              <w:rPr>
                <w:rFonts w:hint="eastAsia" w:ascii="宋体" w:hAnsi="宋体" w:eastAsia="宋体" w:cs="宋体"/>
                <w:b/>
                <w:sz w:val="21"/>
                <w:szCs w:val="21"/>
              </w:rPr>
              <w:br w:type="textWrapping"/>
            </w:r>
            <w:r>
              <w:rPr>
                <w:rFonts w:hint="eastAsia" w:ascii="宋体" w:hAnsi="宋体" w:eastAsia="宋体" w:cs="宋体"/>
                <w:sz w:val="21"/>
                <w:szCs w:val="21"/>
              </w:rPr>
              <w:t xml:space="preserve">    答:尊敬的投资者，您好。二级市场股价受政策影响、资本市场波动、投资者偏好和预期等多方因素影响。公司重视投关管理与价值回报，通过提升公司经营质效、治理水平和投资价值，推动公司长期可持续发展。在股东回报方面，公司持续完善常态化分红机制，积极借助股份回购、现金分红等方式，与投资者积极分享经营发展成果。2026年上半年，公司完成2025年年度</w:t>
            </w:r>
            <w:bookmarkStart w:id="0" w:name="_GoBack"/>
            <w:bookmarkEnd w:id="0"/>
            <w:r>
              <w:rPr>
                <w:rFonts w:hint="eastAsia" w:ascii="宋体" w:hAnsi="宋体" w:eastAsia="宋体" w:cs="宋体"/>
                <w:sz w:val="21"/>
                <w:szCs w:val="21"/>
              </w:rPr>
              <w:t>累计分红超2亿元，近一轮次回购金额近7,500万元，全部回购股票用于减少注册资本，向市场传递了公司未来发展的信心。公司始终坚持以稳健经营和提升内在价值为核心，积极应对市场挑战，努力为投资者创造价值，致力于推动公司投资价值合理反映公司质量。谢谢！</w:t>
            </w:r>
            <w:r>
              <w:rPr>
                <w:rFonts w:hint="eastAsia" w:ascii="宋体" w:hAnsi="宋体" w:eastAsia="宋体" w:cs="宋体"/>
                <w:sz w:val="21"/>
                <w:szCs w:val="21"/>
              </w:rPr>
              <w:br w:type="textWrapping"/>
            </w:r>
            <w:r>
              <w:rPr>
                <w:rFonts w:hint="eastAsia" w:ascii="宋体" w:hAnsi="宋体" w:eastAsia="宋体" w:cs="宋体"/>
                <w:b/>
                <w:sz w:val="21"/>
                <w:szCs w:val="21"/>
              </w:rPr>
              <w:t xml:space="preserve">    2.能不能组织个线下参观见面会，给股民朋友一点福利</w:t>
            </w:r>
            <w:r>
              <w:rPr>
                <w:rFonts w:hint="eastAsia" w:ascii="宋体" w:hAnsi="宋体" w:eastAsia="宋体" w:cs="宋体"/>
                <w:b/>
                <w:sz w:val="21"/>
                <w:szCs w:val="21"/>
              </w:rPr>
              <w:br w:type="textWrapping"/>
            </w:r>
            <w:r>
              <w:rPr>
                <w:rFonts w:hint="eastAsia" w:ascii="宋体" w:hAnsi="宋体" w:eastAsia="宋体" w:cs="宋体"/>
                <w:sz w:val="21"/>
                <w:szCs w:val="21"/>
              </w:rPr>
              <w:t xml:space="preserve">    答:尊敬的投资者，您好。公司重视与投资者的互动交流，通过业绩说明会、公司调研、策略会等多渠道方式，加强与投资者的沟通，积极传递公司价值。后续事项请关注公司公告，或拨打公司投资者热线、发送邮件至投资者关系邮箱。感谢您对公司的关注，谢谢！</w:t>
            </w:r>
            <w:r>
              <w:rPr>
                <w:rFonts w:hint="eastAsia" w:ascii="宋体" w:hAnsi="宋体" w:eastAsia="宋体" w:cs="宋体"/>
                <w:sz w:val="21"/>
                <w:szCs w:val="21"/>
              </w:rPr>
              <w:br w:type="textWrapping"/>
            </w:r>
            <w:r>
              <w:rPr>
                <w:rFonts w:hint="eastAsia" w:ascii="宋体" w:hAnsi="宋体" w:eastAsia="宋体" w:cs="宋体"/>
                <w:b/>
                <w:sz w:val="21"/>
                <w:szCs w:val="21"/>
              </w:rPr>
              <w:t xml:space="preserve">    3.请简要介绍公司2026年半年度的经营情况。</w:t>
            </w:r>
            <w:r>
              <w:rPr>
                <w:rFonts w:hint="eastAsia" w:ascii="宋体" w:hAnsi="宋体" w:eastAsia="宋体" w:cs="宋体"/>
                <w:b/>
                <w:sz w:val="21"/>
                <w:szCs w:val="21"/>
              </w:rPr>
              <w:br w:type="textWrapping"/>
            </w:r>
            <w:r>
              <w:rPr>
                <w:rFonts w:hint="eastAsia" w:ascii="宋体" w:hAnsi="宋体" w:eastAsia="宋体" w:cs="宋体"/>
                <w:sz w:val="21"/>
                <w:szCs w:val="21"/>
              </w:rPr>
              <w:t xml:space="preserve">    答:尊敬的投资者，您好。公司2026年上半年累计实现营业收入7.62亿元，归母净利润3.03亿元，同比分别增长32.15%和64.45%。公司紧紧围绕年度经营战略目标，坚持稳中求进工作总基调，主动把握行业发展契机。上半年，公司期货经纪业务夯实业务基本盘；基金销售业务依托衍生品差异化配置优势，营收实现翻倍；风险管理业务实现净利润1.05亿元，现货购销总额239.9亿元，行业排名第一；境外业务形成覆盖海内外的综合跨境金融服务体系。公司通过多业务板块协同发展、相互赋能，为公司长期稳健高质量发展打下坚实基础。谢谢！</w:t>
            </w:r>
            <w:r>
              <w:rPr>
                <w:rFonts w:hint="eastAsia" w:ascii="宋体" w:hAnsi="宋体" w:eastAsia="宋体" w:cs="宋体"/>
                <w:sz w:val="21"/>
                <w:szCs w:val="21"/>
              </w:rPr>
              <w:br w:type="textWrapping"/>
            </w:r>
            <w:r>
              <w:rPr>
                <w:rFonts w:hint="eastAsia" w:ascii="宋体" w:hAnsi="宋体" w:eastAsia="宋体" w:cs="宋体"/>
                <w:b/>
                <w:sz w:val="21"/>
                <w:szCs w:val="21"/>
              </w:rPr>
              <w:t xml:space="preserve">    4.请问公司近期股份回购进展如何？后续是否还有回购计划？</w:t>
            </w:r>
            <w:r>
              <w:rPr>
                <w:rFonts w:hint="eastAsia" w:ascii="宋体" w:hAnsi="宋体" w:eastAsia="宋体" w:cs="宋体"/>
                <w:b/>
                <w:sz w:val="21"/>
                <w:szCs w:val="21"/>
              </w:rPr>
              <w:br w:type="textWrapping"/>
            </w:r>
            <w:r>
              <w:rPr>
                <w:rFonts w:hint="eastAsia" w:ascii="宋体" w:hAnsi="宋体" w:eastAsia="宋体" w:cs="宋体"/>
                <w:sz w:val="21"/>
                <w:szCs w:val="21"/>
              </w:rPr>
              <w:t xml:space="preserve">    答:尊敬的投资者，您好。公司董事会及管理层高度重视股份回购事宜。截至2026年6月末，公司已完成近一轮股份回购事项，回购金额近7,500万元，全部回购股票用于减少注册资本。公司始终坚持以高质量经营回报股东，聚焦主业、夯实内在价值，在兼顾经营发展与股东回报的基础上，持续完善分配机制，努力实现企业价值与投资者利益的协同增长。后续如有相关事项，公司将按照监管规则在履行相应决策程序后及时披露。谢谢！</w:t>
            </w:r>
            <w:r>
              <w:rPr>
                <w:rFonts w:hint="eastAsia" w:ascii="宋体" w:hAnsi="宋体" w:eastAsia="宋体" w:cs="宋体"/>
                <w:sz w:val="21"/>
                <w:szCs w:val="21"/>
              </w:rPr>
              <w:br w:type="textWrapping"/>
            </w:r>
            <w:r>
              <w:rPr>
                <w:rFonts w:hint="eastAsia" w:ascii="宋体" w:hAnsi="宋体" w:eastAsia="宋体" w:cs="宋体"/>
                <w:b/>
                <w:sz w:val="21"/>
                <w:szCs w:val="21"/>
              </w:rPr>
              <w:t xml:space="preserve">    5.请问公司2026年上半年境外业务的经营情况如何？</w:t>
            </w:r>
            <w:r>
              <w:rPr>
                <w:rFonts w:hint="eastAsia" w:ascii="宋体" w:hAnsi="宋体" w:eastAsia="宋体" w:cs="宋体"/>
                <w:b/>
                <w:sz w:val="21"/>
                <w:szCs w:val="21"/>
              </w:rPr>
              <w:br w:type="textWrapping"/>
            </w:r>
            <w:r>
              <w:rPr>
                <w:rFonts w:hint="eastAsia" w:ascii="宋体" w:hAnsi="宋体" w:eastAsia="宋体" w:cs="宋体"/>
                <w:sz w:val="21"/>
                <w:szCs w:val="21"/>
              </w:rPr>
              <w:t xml:space="preserve">    答:尊敬的投资者，您好。公司通过新永安金控及其子公司开展境外金融服务业务，搭建了境外经纪、财富管理、风险管理协同联动的业务架构。上半年，公司境外金融业务稳健发展，业务规模持续扩张，半年度实现营业利润1.92亿元，同比增长161.45%，已连续七年保持利润正增长，展现出稳固的盈利基底和成长后劲。上半年，子公司永安国际金融获批成为亚贝思交易所交易及清算会员，成为首家同时拥有该交易所产品交易与清算业务资质的中资背景期货机构；英国子公司全力推进FCA授权牌照申请，全球服务网络日趋完善。下半年，公司将进一步深化境外资产配置能力，深化国际布局，为中国企业的海外发展提供全链条金融支持，切实提升金融服务实体的质效。谢谢！</w:t>
            </w:r>
            <w:r>
              <w:rPr>
                <w:rFonts w:hint="eastAsia" w:ascii="宋体" w:hAnsi="宋体" w:eastAsia="宋体" w:cs="宋体"/>
                <w:sz w:val="21"/>
                <w:szCs w:val="21"/>
              </w:rPr>
              <w:br w:type="textWrapping"/>
            </w:r>
            <w:r>
              <w:rPr>
                <w:rFonts w:hint="eastAsia" w:ascii="宋体" w:hAnsi="宋体" w:eastAsia="宋体" w:cs="宋体"/>
                <w:b/>
                <w:sz w:val="21"/>
                <w:szCs w:val="21"/>
              </w:rPr>
              <w:t xml:space="preserve">    6.注意到公司完成广期所碳酸锂期货国际化的首批境外交易者交易，请问此次交易对公司跨境业务拓展有什么战略意义？</w:t>
            </w:r>
            <w:r>
              <w:rPr>
                <w:rFonts w:hint="eastAsia" w:ascii="宋体" w:hAnsi="宋体" w:eastAsia="宋体" w:cs="宋体"/>
                <w:b/>
                <w:sz w:val="21"/>
                <w:szCs w:val="21"/>
              </w:rPr>
              <w:br w:type="textWrapping"/>
            </w:r>
            <w:r>
              <w:rPr>
                <w:rFonts w:hint="eastAsia" w:ascii="宋体" w:hAnsi="宋体" w:eastAsia="宋体" w:cs="宋体"/>
                <w:sz w:val="21"/>
                <w:szCs w:val="21"/>
              </w:rPr>
              <w:t xml:space="preserve">    答:尊敬的投资者，您好。公司通过新永安国际金控率先落地碳酸锂期货国际化全市场首批交易，以专业、高效的跨境衍生品服务，赋能中国新能源衍生品市场高水平对外开放，在跨境衍生品服务领域积累了体系化的服务能力与实践成果。公司将锚定“跨境综合金融服务专家”定位，持续夯实跨境服务能力，深化境内外业务协同，升级衍生品综合金融服务体系，服务助力中国期货市场高水平对外开放，赋能实体经济高质量发展。谢谢。</w:t>
            </w:r>
            <w:r>
              <w:rPr>
                <w:rFonts w:hint="eastAsia" w:ascii="宋体" w:hAnsi="宋体" w:eastAsia="宋体" w:cs="宋体"/>
                <w:sz w:val="21"/>
                <w:szCs w:val="21"/>
              </w:rPr>
              <w:br w:type="textWrapping"/>
            </w:r>
            <w:r>
              <w:rPr>
                <w:rFonts w:hint="eastAsia" w:ascii="宋体" w:hAnsi="宋体" w:eastAsia="宋体" w:cs="宋体"/>
                <w:b/>
                <w:sz w:val="21"/>
                <w:szCs w:val="21"/>
              </w:rPr>
              <w:t xml:space="preserve">    7.大宗商品市场价格波动对风险管理业务带来不小挑战，请问公司上半年风险管理业务如何？</w:t>
            </w:r>
            <w:r>
              <w:rPr>
                <w:rFonts w:hint="eastAsia" w:ascii="宋体" w:hAnsi="宋体" w:eastAsia="宋体" w:cs="宋体"/>
                <w:b/>
                <w:sz w:val="21"/>
                <w:szCs w:val="21"/>
              </w:rPr>
              <w:br w:type="textWrapping"/>
            </w:r>
            <w:r>
              <w:rPr>
                <w:rFonts w:hint="eastAsia" w:ascii="宋体" w:hAnsi="宋体" w:eastAsia="宋体" w:cs="宋体"/>
                <w:sz w:val="21"/>
                <w:szCs w:val="21"/>
              </w:rPr>
              <w:t xml:space="preserve">    答:尊敬的投资者，您好。2026年上半年，全球大宗商品行情分化、价格波动加剧。公司锚定“产业链风险管家”战略定位，在品种专业化、衍生工具运用及技术赋能方面协同发力。上半年公司风险管理业务实现净利润1.05亿元，现货购销总额239.9亿元，行业排名第一。大宗商品业务方面，农业、金属、化工、能源、软商品板块协同，经营质效持续提升。场外衍生品业务抓住板块轮动机遇，上半年业务累计名义金额1,592亿元。做市业务方面，优化系统架构与定价模型，上半年做市业务成交规模8,511亿元，同比增长41.4%。此外，在整体业务风控保障方面，公司重点发力“数智风控”能力建设，全面提升风险管理的触达能力与响应效率。下半年，公司将持续以产业需求为导向，助力大宗商品资源配置枢纽建设，赋能产业链转型升级。谢谢！</w:t>
            </w:r>
            <w:r>
              <w:rPr>
                <w:rFonts w:hint="eastAsia" w:ascii="宋体" w:hAnsi="宋体" w:eastAsia="宋体" w:cs="宋体"/>
                <w:sz w:val="21"/>
                <w:szCs w:val="21"/>
              </w:rPr>
              <w:br w:type="textWrapping"/>
            </w:r>
            <w:r>
              <w:rPr>
                <w:rFonts w:hint="eastAsia" w:ascii="宋体" w:hAnsi="宋体" w:eastAsia="宋体" w:cs="宋体"/>
                <w:b/>
                <w:sz w:val="21"/>
                <w:szCs w:val="21"/>
              </w:rPr>
              <w:t xml:space="preserve">    8.期货经纪业务是公司的基本盘，请问公司如何实现期货经纪业务提质增效？</w:t>
            </w:r>
            <w:r>
              <w:rPr>
                <w:rFonts w:hint="eastAsia" w:ascii="宋体" w:hAnsi="宋体" w:eastAsia="宋体" w:cs="宋体"/>
                <w:b/>
                <w:sz w:val="21"/>
                <w:szCs w:val="21"/>
              </w:rPr>
              <w:br w:type="textWrapping"/>
            </w:r>
            <w:r>
              <w:rPr>
                <w:rFonts w:hint="eastAsia" w:ascii="宋体" w:hAnsi="宋体" w:eastAsia="宋体" w:cs="宋体"/>
                <w:sz w:val="21"/>
                <w:szCs w:val="21"/>
              </w:rPr>
              <w:t xml:space="preserve">    答:尊敬的投资者，您好。公司通过持续加码精细化运营，提升高效投研服务质效，推进数字化转型升级等举措，有力促进经纪业务扩容增量，夯实公司期货经纪业务竞争力与市占率。在提质增效方面，一是固本强基，深耕IB渠道布局，完善配套管理制度，升级机构综合服务能力，持续拓宽业务增量。二是深耕产融，上半年公司合作客户拓展至百余家，业务体量实现翻倍增长；同时深化与市场参与主体联动，落地产融基地、龙头企业产业专项项目超30家，强化实体产业服务效能。三是全域拓客，激活数字经营活力。公司线上获客渠道矩阵稳健运行，有效提升客户转化成效。四是精研技术，夯实硬件支撑底座。公司已完成四大交易所机房布局，搭建了行业领先的低延迟交易硬件系统，构建了标准化运维保障机制，依托技术优化改善客户交易体验。谢谢。</w:t>
            </w:r>
            <w:r>
              <w:rPr>
                <w:rFonts w:hint="eastAsia" w:ascii="宋体" w:hAnsi="宋体" w:eastAsia="宋体" w:cs="宋体"/>
                <w:sz w:val="21"/>
                <w:szCs w:val="21"/>
              </w:rPr>
              <w:br w:type="textWrapping"/>
            </w:r>
            <w:r>
              <w:rPr>
                <w:rFonts w:hint="eastAsia" w:ascii="宋体" w:hAnsi="宋体" w:eastAsia="宋体" w:cs="宋体"/>
                <w:b/>
                <w:sz w:val="21"/>
                <w:szCs w:val="21"/>
              </w:rPr>
              <w:t xml:space="preserve">    9.目前期货公司都在布局投资者教育工作，以此培育市场、发展客户。请问公司在投资者教育方面有哪些落地举措和成效？</w:t>
            </w:r>
            <w:r>
              <w:rPr>
                <w:rFonts w:hint="eastAsia" w:ascii="宋体" w:hAnsi="宋体" w:eastAsia="宋体" w:cs="宋体"/>
                <w:b/>
                <w:sz w:val="21"/>
                <w:szCs w:val="21"/>
              </w:rPr>
              <w:br w:type="textWrapping"/>
            </w:r>
            <w:r>
              <w:rPr>
                <w:rFonts w:hint="eastAsia" w:ascii="宋体" w:hAnsi="宋体" w:eastAsia="宋体" w:cs="宋体"/>
                <w:sz w:val="21"/>
                <w:szCs w:val="21"/>
              </w:rPr>
              <w:t xml:space="preserve">    答:尊敬的投资者，您好。公司已建立完善的投资者教育服务体系。上半年，公司依托监管部门、行业协会、高校及各分支机构联动模式，结合“3·15”“5·15”等重要宣传节点，统筹开展系列主题投教活动；通过进校园、进社区、进企业、进商圈宣讲等多种形式，常态化普及金融知识、宣讲防非反诈要点，有效拓宽宣传覆盖面，提升人民群众金融风险识别和自我保护能力，投教系列作品《安仔说期货》获评2025年期货交易者教育优秀案例。公司始终坚持以投资者需求为中心，紧握普惠教育与市场培育两大核心抓手，为投资者提供全方位、专业化服务。谢谢。</w:t>
            </w:r>
            <w:r>
              <w:rPr>
                <w:rFonts w:hint="eastAsia" w:ascii="宋体" w:hAnsi="宋体" w:eastAsia="宋体" w:cs="宋体"/>
                <w:sz w:val="21"/>
                <w:szCs w:val="21"/>
              </w:rPr>
              <w:br w:type="textWrapping"/>
            </w:r>
            <w:r>
              <w:rPr>
                <w:rFonts w:hint="eastAsia" w:ascii="宋体" w:hAnsi="宋体" w:eastAsia="宋体" w:cs="宋体"/>
                <w:b/>
                <w:sz w:val="21"/>
                <w:szCs w:val="21"/>
              </w:rPr>
              <w:t xml:space="preserve">    10.请问公司上半年在ESG方面有哪些提升？</w:t>
            </w:r>
            <w:r>
              <w:rPr>
                <w:rFonts w:hint="eastAsia" w:ascii="宋体" w:hAnsi="宋体" w:eastAsia="宋体" w:cs="宋体"/>
                <w:b/>
                <w:sz w:val="21"/>
                <w:szCs w:val="21"/>
              </w:rPr>
              <w:br w:type="textWrapping"/>
            </w:r>
            <w:r>
              <w:rPr>
                <w:rFonts w:hint="eastAsia" w:ascii="宋体" w:hAnsi="宋体" w:eastAsia="宋体" w:cs="宋体"/>
                <w:sz w:val="21"/>
                <w:szCs w:val="21"/>
              </w:rPr>
              <w:t xml:space="preserve">    答:尊敬的投资者，您好。上半年，公司紧扣“一流衍生品投行”战略目标，围绕主业发展、治理效能、投关管理及可持续发展等主题，提升公司经营质效、治理水平和投资价值。一是聚焦主业，提升经营发展质效，服务实体经济高质量发展；二是升级治理效能，构建覆盖业务全流程、管理全层级的风险合规制度体系，实现从组织架构“有形”向治理效能“有实”跃迁；三是重视投关管理与价值回报，以精准触达、深度互动、价值共创为核心构建开放透明的投关管理体系，完善常态化分红机制，借助股份回购、现金分红等方式积极分享经营发展成果；四是持续优化ESG三层治理架构，制定专项制度。公司连续2年发布可持续发展报告，Wind ESG评级首次跃升至A级，位列上市期货公司第一名。谢谢。</w:t>
            </w:r>
            <w:r>
              <w:rPr>
                <w:rFonts w:hint="eastAsia" w:ascii="宋体" w:hAnsi="宋体" w:eastAsia="宋体" w:cs="宋体"/>
                <w:sz w:val="21"/>
                <w:szCs w:val="21"/>
              </w:rPr>
              <w:br w:type="textWrapping"/>
            </w:r>
            <w:r>
              <w:rPr>
                <w:rFonts w:hint="eastAsia" w:ascii="宋体" w:hAnsi="宋体" w:eastAsia="宋体" w:cs="宋体"/>
                <w:b/>
                <w:sz w:val="21"/>
                <w:szCs w:val="21"/>
              </w:rPr>
              <w:t xml:space="preserve">    11.请问公司下半年经营如何展望？</w:t>
            </w:r>
            <w:r>
              <w:rPr>
                <w:rFonts w:hint="eastAsia" w:ascii="宋体" w:hAnsi="宋体" w:eastAsia="宋体" w:cs="宋体"/>
                <w:b/>
                <w:sz w:val="21"/>
                <w:szCs w:val="21"/>
              </w:rPr>
              <w:br w:type="textWrapping"/>
            </w:r>
            <w:r>
              <w:rPr>
                <w:rFonts w:hint="eastAsia" w:ascii="宋体" w:hAnsi="宋体" w:eastAsia="宋体" w:cs="宋体"/>
                <w:sz w:val="21"/>
                <w:szCs w:val="21"/>
              </w:rPr>
              <w:t xml:space="preserve">    答:尊敬的投资者，您好。2026年下半年，公司将以三大核心战略定位为导向，持续深化“以客户为中心”重大改革，推进经纪业务、基金销售、资产管理、风险管理及国际化业务协同发展。期货经纪业务聚焦产业与机构客户，完善数字化运营体系，推动业务稳健提质；基金销售业务立足衍生品资产配置特色，拓宽产品供给、深化数字化应用、壮大投顾梯队，推动规模与质量同步提升；资管业务持续完善“主观+量化+FOF”协同矩阵，深化投研一体化，加速AI与大数据融合，稳步扩大管理规模；风险管理业务锚定“产业链风险管家”定位，落地更多产业链一体化综合服务方案，助力资源配置枢纽建设；境外业务强化财富管理与资产配置，加快构建欧亚跨境服务网络，为企业海外布局提供全链条金融支持。在服务实体经济、助力资本市场高质量发展中，持续为客户、股东及社会创造长期可持续价值。谢谢。</w:t>
            </w:r>
            <w:r>
              <w:rPr>
                <w:rFonts w:hint="eastAsia" w:ascii="宋体" w:hAnsi="宋体" w:eastAsia="宋体" w:cs="宋体"/>
                <w:sz w:val="21"/>
                <w:szCs w:val="21"/>
              </w:rPr>
              <w:br w:type="textWrapping"/>
            </w:r>
            <w:r>
              <w:rPr>
                <w:rFonts w:hint="eastAsia" w:ascii="宋体" w:hAnsi="宋体" w:eastAsia="宋体" w:cs="宋体"/>
                <w:b/>
                <w:sz w:val="21"/>
                <w:szCs w:val="21"/>
              </w:rPr>
              <w:t xml:space="preserve">    12.上半年公司财富销售业务经营情况如何？有什么亮点？</w:t>
            </w:r>
            <w:r>
              <w:rPr>
                <w:rFonts w:hint="eastAsia" w:ascii="宋体" w:hAnsi="宋体" w:eastAsia="宋体" w:cs="宋体"/>
                <w:b/>
                <w:sz w:val="21"/>
                <w:szCs w:val="21"/>
              </w:rPr>
              <w:br w:type="textWrapping"/>
            </w:r>
            <w:r>
              <w:rPr>
                <w:rFonts w:hint="eastAsia" w:ascii="宋体" w:hAnsi="宋体" w:eastAsia="宋体" w:cs="宋体"/>
                <w:sz w:val="21"/>
                <w:szCs w:val="21"/>
              </w:rPr>
              <w:t xml:space="preserve">    答:尊敬的投资者，您好。上半年，各类资产波动与配置机遇并存，多元化大类资产配置需求持续升温。公司充分发挥衍生品差异化配置优势，基金销售业务实现营业收入5,954.09万元，同比实现翻倍。经营方面，一是严选优质资产，丰富产品供给。上半年新增合作私募基金管理人39家，同比增长15%；上线多策略新品合计104只，同比增幅60%，进一步完善多元化产品货架。二是深耕专业服务，培育配置理念，持续向客户普及科学资产配置思路。截至六月末，持仓客户数量较上年末增长25%，客户持仓资产规模较上年末提升14%，业务增长动能持续释放。下半年，公司将紧抓财富风险管理需求与行业数字化转型机遇，立足衍生品资产配置核心特色，推动基金销售业务规模与服务质量同步提升。谢谢。</w:t>
            </w:r>
            <w:r>
              <w:rPr>
                <w:rFonts w:hint="eastAsia" w:ascii="宋体" w:hAnsi="宋体" w:eastAsia="宋体" w:cs="宋体"/>
                <w:sz w:val="21"/>
                <w:szCs w:val="21"/>
              </w:rPr>
              <w:br w:type="textWrapping"/>
            </w:r>
            <w:r>
              <w:rPr>
                <w:rFonts w:hint="eastAsia" w:ascii="宋体" w:hAnsi="宋体" w:eastAsia="宋体" w:cs="宋体"/>
                <w:b/>
                <w:sz w:val="21"/>
                <w:szCs w:val="21"/>
              </w:rPr>
              <w:t xml:space="preserve">    13.目前，公司的股东户数是多少？</w:t>
            </w:r>
            <w:r>
              <w:rPr>
                <w:rFonts w:hint="eastAsia" w:ascii="宋体" w:hAnsi="宋体" w:eastAsia="宋体" w:cs="宋体"/>
                <w:b/>
                <w:sz w:val="21"/>
                <w:szCs w:val="21"/>
              </w:rPr>
              <w:br w:type="textWrapping"/>
            </w:r>
            <w:r>
              <w:rPr>
                <w:rFonts w:hint="eastAsia" w:ascii="宋体" w:hAnsi="宋体" w:eastAsia="宋体" w:cs="宋体"/>
                <w:sz w:val="21"/>
                <w:szCs w:val="21"/>
              </w:rPr>
              <w:t xml:space="preserve">    答:尊敬的投资者，您好。截至2026年6月30日，公司的股东户数为3.03万户。具体情况请查阅公司2026年半年度报告，谢谢。</w:t>
            </w:r>
          </w:p>
        </w:tc>
      </w:tr>
      <w:tr w14:paraId="2982D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999" w:hRule="atLeast"/>
          <w:jc w:val="center"/>
        </w:trPr>
        <w:tc>
          <w:tcPr>
            <w:tcW w:w="2580" w:type="dxa"/>
            <w:vAlign w:val="center"/>
          </w:tcPr>
          <w:p w14:paraId="7C97FFF0">
            <w:pPr>
              <w:pStyle w:val="12"/>
              <w:spacing w:before="1"/>
              <w:ind w:left="107"/>
              <w:rPr>
                <w:rFonts w:cs="宋体" w:asciiTheme="minorEastAsia" w:hAnsiTheme="minorEastAsia" w:eastAsiaTheme="minorEastAsia"/>
                <w:b/>
                <w:bCs/>
                <w:sz w:val="21"/>
                <w:szCs w:val="21"/>
              </w:rPr>
            </w:pPr>
            <w:r>
              <w:rPr>
                <w:rFonts w:hint="eastAsia" w:cs="宋体" w:asciiTheme="minorEastAsia" w:hAnsiTheme="minorEastAsia" w:eastAsiaTheme="minorEastAsia"/>
                <w:b/>
                <w:bCs/>
                <w:sz w:val="21"/>
                <w:szCs w:val="21"/>
              </w:rPr>
              <w:t>关于本次活动是否涉及应</w:t>
            </w:r>
          </w:p>
          <w:p w14:paraId="37F5ED85">
            <w:pPr>
              <w:pStyle w:val="12"/>
              <w:spacing w:before="1"/>
              <w:ind w:left="107"/>
              <w:rPr>
                <w:rFonts w:ascii="宋体" w:hAnsi="宋体" w:eastAsia="宋体" w:cs="宋体"/>
                <w:b/>
                <w:bCs/>
                <w:sz w:val="21"/>
                <w:szCs w:val="21"/>
              </w:rPr>
            </w:pPr>
            <w:r>
              <w:rPr>
                <w:rFonts w:hint="eastAsia" w:cs="宋体" w:asciiTheme="minorEastAsia" w:hAnsiTheme="minorEastAsia" w:eastAsiaTheme="minorEastAsia"/>
                <w:b/>
                <w:bCs/>
                <w:sz w:val="21"/>
                <w:szCs w:val="21"/>
              </w:rPr>
              <w:t>披露重大信息的说明</w:t>
            </w:r>
          </w:p>
        </w:tc>
        <w:tc>
          <w:tcPr>
            <w:tcW w:w="5945" w:type="dxa"/>
            <w:vAlign w:val="center"/>
          </w:tcPr>
          <w:p w14:paraId="2220FDF2">
            <w:pPr>
              <w:pStyle w:val="12"/>
              <w:spacing w:before="100" w:beforeAutospacing="1" w:line="360" w:lineRule="auto"/>
              <w:rPr>
                <w:rFonts w:ascii="宋体" w:hAnsi="宋体" w:eastAsia="宋体" w:cs="宋体"/>
                <w:sz w:val="21"/>
                <w:szCs w:val="21"/>
              </w:rPr>
            </w:pPr>
            <w:r>
              <w:rPr>
                <w:rFonts w:hint="eastAsia" w:cs="宋体" w:asciiTheme="minorEastAsia" w:hAnsiTheme="minorEastAsia" w:eastAsiaTheme="minorEastAsia"/>
                <w:sz w:val="21"/>
                <w:szCs w:val="21"/>
              </w:rPr>
              <w:t>本次活动不涉及未公开披露的重大信息。</w:t>
            </w:r>
          </w:p>
        </w:tc>
      </w:tr>
      <w:tr w14:paraId="1C927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1032C4B6">
            <w:pPr>
              <w:pStyle w:val="12"/>
              <w:spacing w:before="1"/>
              <w:ind w:left="107"/>
              <w:rPr>
                <w:rFonts w:ascii="宋体" w:hAnsi="宋体" w:eastAsia="宋体" w:cs="宋体"/>
                <w:b/>
                <w:bCs/>
                <w:sz w:val="21"/>
                <w:szCs w:val="21"/>
              </w:rPr>
            </w:pPr>
            <w:r>
              <w:rPr>
                <w:rFonts w:hint="eastAsia" w:ascii="宋体" w:hAnsi="宋体" w:eastAsia="宋体" w:cs="宋体"/>
                <w:b/>
                <w:bCs/>
                <w:sz w:val="21"/>
                <w:szCs w:val="21"/>
              </w:rPr>
              <w:t>附件清单（如有）</w:t>
            </w:r>
          </w:p>
        </w:tc>
        <w:tc>
          <w:tcPr>
            <w:tcW w:w="5945" w:type="dxa"/>
            <w:vAlign w:val="center"/>
          </w:tcPr>
          <w:p w14:paraId="6F401ED1">
            <w:pPr>
              <w:pStyle w:val="12"/>
              <w:spacing w:before="100" w:beforeAutospacing="1" w:line="360" w:lineRule="auto"/>
              <w:rPr>
                <w:rFonts w:ascii="宋体" w:hAnsi="宋体" w:eastAsia="宋体" w:cs="宋体"/>
                <w:sz w:val="21"/>
                <w:szCs w:val="21"/>
              </w:rPr>
            </w:pPr>
          </w:p>
        </w:tc>
      </w:tr>
      <w:tr w14:paraId="04C15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664A7F26">
            <w:pPr>
              <w:pStyle w:val="12"/>
              <w:spacing w:before="1"/>
              <w:ind w:left="107"/>
              <w:rPr>
                <w:rFonts w:ascii="宋体" w:hAnsi="宋体" w:eastAsia="宋体" w:cs="宋体"/>
                <w:b/>
                <w:bCs/>
                <w:sz w:val="21"/>
                <w:szCs w:val="21"/>
              </w:rPr>
            </w:pPr>
            <w:r>
              <w:rPr>
                <w:rFonts w:hint="eastAsia" w:ascii="宋体" w:hAnsi="宋体" w:eastAsia="宋体" w:cs="宋体"/>
                <w:b/>
                <w:bCs/>
                <w:sz w:val="21"/>
                <w:szCs w:val="21"/>
              </w:rPr>
              <w:t>日期</w:t>
            </w:r>
          </w:p>
        </w:tc>
        <w:tc>
          <w:tcPr>
            <w:tcW w:w="5945" w:type="dxa"/>
            <w:vAlign w:val="center"/>
          </w:tcPr>
          <w:p w14:paraId="222B5DB2">
            <w:pPr>
              <w:pStyle w:val="12"/>
              <w:spacing w:before="100" w:beforeAutospacing="1"/>
              <w:rPr>
                <w:rFonts w:ascii="宋体" w:hAnsi="宋体" w:eastAsia="宋体" w:cs="宋体"/>
                <w:sz w:val="21"/>
                <w:szCs w:val="21"/>
              </w:rPr>
            </w:pPr>
            <w:r>
              <w:rPr>
                <w:rFonts w:ascii="宋体" w:hAnsi="宋体" w:eastAsia="宋体" w:cs="宋体"/>
                <w:sz w:val="21"/>
                <w:szCs w:val="21"/>
              </w:rPr>
              <w:t>2026年09月08日</w:t>
            </w:r>
          </w:p>
        </w:tc>
      </w:tr>
    </w:tbl>
    <w:p w14:paraId="35C6388D">
      <w:pPr>
        <w:rPr>
          <w:rFonts w:ascii="宋体" w:hAnsi="宋体" w:eastAsia="宋体" w:cs="宋体"/>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w:panose1 w:val="02010601000101010101"/>
    <w:charset w:val="88"/>
    <w:family w:val="roman"/>
    <w:pitch w:val="default"/>
    <w:sig w:usb0="00000000" w:usb1="00000000" w:usb2="00000016" w:usb3="00000000" w:csb0="00100001" w:csb1="00000000"/>
  </w:font>
  <w:font w:name="Microsoft JhengHei">
    <w:panose1 w:val="020B0604030504040204"/>
    <w:charset w:val="88"/>
    <w:family w:val="auto"/>
    <w:pitch w:val="default"/>
    <w:sig w:usb0="000002A7" w:usb1="28CF4400" w:usb2="00000016" w:usb3="00000000" w:csb0="00100009" w:csb1="00000000"/>
  </w:font>
  <w:font w:name="MS Gothic">
    <w:panose1 w:val="020B0609070205080204"/>
    <w:charset w:val="80"/>
    <w:family w:val="modern"/>
    <w:pitch w:val="default"/>
    <w:sig w:usb0="E00002FF" w:usb1="6AC7FDFB" w:usb2="08000012" w:usb3="00000000" w:csb0="4002009F" w:csb1="DFD7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KSOF2D2E1615">
    <w:panose1 w:val="020B0604030504040204"/>
    <w:charset w:val="88"/>
    <w:family w:val="auto"/>
    <w:pitch w:val="default"/>
    <w:sig w:usb0="00000001" w:usb1="00000000"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4B4C"/>
    <w:rsid w:val="00205911"/>
    <w:rsid w:val="002146AD"/>
    <w:rsid w:val="00275CB6"/>
    <w:rsid w:val="002800B5"/>
    <w:rsid w:val="00295B29"/>
    <w:rsid w:val="002D051B"/>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1AB7"/>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47803"/>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6EC66E0"/>
    <w:rsid w:val="08641132"/>
    <w:rsid w:val="09186774"/>
    <w:rsid w:val="0945438F"/>
    <w:rsid w:val="0A71587A"/>
    <w:rsid w:val="0B792C38"/>
    <w:rsid w:val="0C28640C"/>
    <w:rsid w:val="0E90599A"/>
    <w:rsid w:val="0ED720CD"/>
    <w:rsid w:val="12070CAE"/>
    <w:rsid w:val="131E682F"/>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2F8E12B1"/>
    <w:rsid w:val="302C3D0A"/>
    <w:rsid w:val="3104598F"/>
    <w:rsid w:val="33DE31BB"/>
    <w:rsid w:val="3802665B"/>
    <w:rsid w:val="389C49C0"/>
    <w:rsid w:val="39BC78F4"/>
    <w:rsid w:val="3B35486F"/>
    <w:rsid w:val="3EF1250A"/>
    <w:rsid w:val="40567DB0"/>
    <w:rsid w:val="40FF5CD2"/>
    <w:rsid w:val="41EF2B60"/>
    <w:rsid w:val="42DB40B0"/>
    <w:rsid w:val="43B71B0A"/>
    <w:rsid w:val="44FA0589"/>
    <w:rsid w:val="45A663E3"/>
    <w:rsid w:val="469F09AF"/>
    <w:rsid w:val="47901F7F"/>
    <w:rsid w:val="4B756271"/>
    <w:rsid w:val="4C8E1CA8"/>
    <w:rsid w:val="4D6D36A4"/>
    <w:rsid w:val="510903EF"/>
    <w:rsid w:val="532D571F"/>
    <w:rsid w:val="53F137F4"/>
    <w:rsid w:val="543A6906"/>
    <w:rsid w:val="56850CBB"/>
    <w:rsid w:val="59D8738A"/>
    <w:rsid w:val="5A666D76"/>
    <w:rsid w:val="5B2253C2"/>
    <w:rsid w:val="5CF02E0F"/>
    <w:rsid w:val="603269D2"/>
    <w:rsid w:val="61A52BCA"/>
    <w:rsid w:val="656A79AC"/>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style>
  <w:style w:type="paragraph" w:styleId="4">
    <w:name w:val="Body Text"/>
    <w:basedOn w:val="1"/>
    <w:qFormat/>
    <w:uiPriority w:val="1"/>
    <w:pPr>
      <w:ind w:left="220"/>
    </w:pPr>
    <w:rPr>
      <w:sz w:val="32"/>
      <w:szCs w:val="32"/>
    </w:rPr>
  </w:style>
  <w:style w:type="paragraph" w:styleId="5">
    <w:name w:val="Balloon Text"/>
    <w:basedOn w:val="1"/>
    <w:link w:val="17"/>
    <w:qFormat/>
    <w:uiPriority w:val="0"/>
    <w:rPr>
      <w:sz w:val="18"/>
      <w:szCs w:val="18"/>
    </w:rPr>
  </w:style>
  <w:style w:type="paragraph" w:styleId="6">
    <w:name w:val="footer"/>
    <w:basedOn w:val="1"/>
    <w:link w:val="14"/>
    <w:qFormat/>
    <w:uiPriority w:val="0"/>
    <w:pPr>
      <w:tabs>
        <w:tab w:val="center" w:pos="4153"/>
        <w:tab w:val="right" w:pos="8306"/>
      </w:tabs>
      <w:snapToGrid w:val="0"/>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qFormat/>
    <w:uiPriority w:val="0"/>
    <w:rPr>
      <w:b/>
      <w:bCs/>
    </w:rPr>
  </w:style>
  <w:style w:type="character" w:styleId="11">
    <w:name w:val="annotation reference"/>
    <w:basedOn w:val="10"/>
    <w:qFormat/>
    <w:uiPriority w:val="0"/>
    <w:rPr>
      <w:sz w:val="21"/>
      <w:szCs w:val="21"/>
    </w:rPr>
  </w:style>
  <w:style w:type="paragraph" w:customStyle="1" w:styleId="12">
    <w:name w:val="Table Paragraph"/>
    <w:basedOn w:val="1"/>
    <w:qFormat/>
    <w:uiPriority w:val="1"/>
  </w:style>
  <w:style w:type="character" w:customStyle="1" w:styleId="13">
    <w:name w:val="页眉 字符"/>
    <w:basedOn w:val="10"/>
    <w:link w:val="7"/>
    <w:qFormat/>
    <w:uiPriority w:val="0"/>
    <w:rPr>
      <w:rFonts w:ascii="仿宋" w:hAnsi="仿宋" w:eastAsia="仿宋" w:cs="仿宋"/>
      <w:sz w:val="18"/>
      <w:szCs w:val="18"/>
      <w:lang w:val="zh-CN" w:bidi="zh-CN"/>
    </w:rPr>
  </w:style>
  <w:style w:type="character" w:customStyle="1" w:styleId="14">
    <w:name w:val="页脚 字符"/>
    <w:basedOn w:val="10"/>
    <w:link w:val="6"/>
    <w:qFormat/>
    <w:uiPriority w:val="0"/>
    <w:rPr>
      <w:rFonts w:ascii="仿宋" w:hAnsi="仿宋" w:eastAsia="仿宋" w:cs="仿宋"/>
      <w:sz w:val="18"/>
      <w:szCs w:val="18"/>
      <w:lang w:val="zh-CN" w:bidi="zh-CN"/>
    </w:rPr>
  </w:style>
  <w:style w:type="character" w:customStyle="1" w:styleId="15">
    <w:name w:val="批注文字 字符"/>
    <w:basedOn w:val="10"/>
    <w:link w:val="3"/>
    <w:qFormat/>
    <w:uiPriority w:val="0"/>
    <w:rPr>
      <w:rFonts w:ascii="仿宋" w:hAnsi="仿宋" w:eastAsia="仿宋" w:cs="仿宋"/>
      <w:sz w:val="22"/>
      <w:szCs w:val="22"/>
      <w:lang w:val="zh-CN" w:bidi="zh-CN"/>
    </w:rPr>
  </w:style>
  <w:style w:type="character" w:customStyle="1" w:styleId="16">
    <w:name w:val="批注主题 字符"/>
    <w:basedOn w:val="15"/>
    <w:link w:val="8"/>
    <w:qFormat/>
    <w:uiPriority w:val="0"/>
    <w:rPr>
      <w:rFonts w:ascii="仿宋" w:hAnsi="仿宋" w:eastAsia="仿宋" w:cs="仿宋"/>
      <w:b/>
      <w:bCs/>
      <w:sz w:val="22"/>
      <w:szCs w:val="22"/>
      <w:lang w:val="zh-CN" w:bidi="zh-CN"/>
    </w:rPr>
  </w:style>
  <w:style w:type="character" w:customStyle="1" w:styleId="17">
    <w:name w:val="批注框文本 字符"/>
    <w:basedOn w:val="10"/>
    <w:link w:val="5"/>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6BF20-04CF-4BD8-B5A7-F43334F54F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3968</Words>
  <Characters>4185</Characters>
  <Lines>31</Lines>
  <Paragraphs>8</Paragraphs>
  <TotalTime>3</TotalTime>
  <ScaleCrop>false</ScaleCrop>
  <LinksUpToDate>false</LinksUpToDate>
  <CharactersWithSpaces>4353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2022-04-12T06:10:00Z</dcterms:created>
  <dc:creator>jie.huang</dc:creator>
  <cp:lastModifiedBy>米业轩</cp:lastModifiedBy>
  <dcterms:modified xsi:type="dcterms:W3CDTF">2026-09-08T08:11:42Z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4A7C746E132A4D25A5718D4A4EC8CCA1_13</vt:lpwstr>
  </property>
  <property fmtid="{D5CDD505-2E9C-101B-9397-08002B2CF9AE}" pid="4" name="KSOTemplateDocerSaveRecord">
    <vt:lpwstr>eyJoZGlkIjoiOTE3N2Y0MTA0MGUzMzExYjkxMDUyYTEzMjQ5OGNhOTQiLCJ1c2VySWQiOiIyNjk0NjI4NzUifQ==</vt:lpwstr>
  </property>
</Properties>
</file>