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E02C9">
      <w:pPr>
        <w:spacing w:before="156" w:beforeLines="50" w:after="156" w:afterLines="50" w:line="400" w:lineRule="exact"/>
        <w:rPr>
          <w:rFonts w:hint="eastAsia" w:ascii="仿宋" w:hAnsi="仿宋" w:eastAsia="仿宋" w:cs="仿宋"/>
          <w:bCs/>
          <w:iCs/>
          <w:color w:val="000000"/>
          <w:sz w:val="24"/>
          <w:lang w:eastAsia="zh-CN"/>
        </w:rPr>
      </w:pPr>
      <w:r>
        <w:rPr>
          <w:rFonts w:hint="eastAsia" w:ascii="仿宋" w:hAnsi="仿宋" w:eastAsia="仿宋" w:cs="仿宋"/>
          <w:bCs/>
          <w:iCs/>
          <w:color w:val="000000"/>
          <w:sz w:val="24"/>
        </w:rPr>
        <w:t xml:space="preserve">证券代码： </w:t>
      </w:r>
      <w:r>
        <w:rPr>
          <w:rFonts w:hint="eastAsia" w:ascii="仿宋" w:hAnsi="仿宋" w:eastAsia="仿宋" w:cs="仿宋"/>
          <w:color w:val="000000"/>
          <w:sz w:val="24"/>
        </w:rPr>
        <w:t xml:space="preserve">600073               </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              </w:t>
      </w:r>
      <w:r>
        <w:rPr>
          <w:rFonts w:hint="eastAsia" w:ascii="仿宋" w:hAnsi="仿宋" w:eastAsia="仿宋" w:cs="仿宋"/>
          <w:bCs/>
          <w:iCs/>
          <w:color w:val="000000"/>
          <w:sz w:val="24"/>
        </w:rPr>
        <w:t>证券简称：</w:t>
      </w:r>
      <w:r>
        <w:rPr>
          <w:rFonts w:hint="eastAsia" w:ascii="仿宋" w:hAnsi="仿宋" w:eastAsia="仿宋" w:cs="仿宋"/>
          <w:color w:val="000000"/>
          <w:sz w:val="24"/>
          <w:lang w:val="en-US" w:eastAsia="zh-CN"/>
        </w:rPr>
        <w:t>光明肉业</w:t>
      </w:r>
    </w:p>
    <w:p w14:paraId="6B2D46AE">
      <w:pPr>
        <w:spacing w:before="156" w:beforeLines="50" w:after="156" w:afterLines="50" w:line="400" w:lineRule="exact"/>
        <w:jc w:val="center"/>
        <w:rPr>
          <w:rFonts w:hint="default" w:ascii="宋体" w:hAnsi="宋体"/>
          <w:b/>
          <w:bCs/>
          <w:iCs/>
          <w:color w:val="000000"/>
          <w:sz w:val="32"/>
          <w:szCs w:val="32"/>
        </w:rPr>
      </w:pPr>
    </w:p>
    <w:p w14:paraId="7C0E5BE9">
      <w:pPr>
        <w:spacing w:before="156" w:beforeLines="50" w:after="156" w:afterLines="50" w:line="400" w:lineRule="exact"/>
        <w:jc w:val="center"/>
        <w:rPr>
          <w:rFonts w:hint="default" w:ascii="宋体" w:hAnsi="宋体"/>
          <w:b/>
          <w:bCs/>
          <w:iCs/>
          <w:color w:val="000000"/>
          <w:sz w:val="32"/>
          <w:szCs w:val="32"/>
        </w:rPr>
      </w:pPr>
      <w:r>
        <w:rPr>
          <w:rFonts w:hint="default" w:ascii="宋体" w:hAnsi="宋体"/>
          <w:b/>
          <w:bCs/>
          <w:iCs/>
          <w:color w:val="000000"/>
          <w:sz w:val="32"/>
          <w:szCs w:val="32"/>
        </w:rPr>
        <w:t>上海</w:t>
      </w:r>
      <w:r>
        <w:rPr>
          <w:rFonts w:hint="eastAsia" w:ascii="宋体" w:hAnsi="宋体"/>
          <w:b/>
          <w:bCs/>
          <w:iCs/>
          <w:color w:val="000000"/>
          <w:sz w:val="32"/>
          <w:szCs w:val="32"/>
          <w:lang w:val="en-US" w:eastAsia="zh-CN"/>
        </w:rPr>
        <w:t>光明肉业集团</w:t>
      </w:r>
      <w:r>
        <w:rPr>
          <w:rFonts w:hint="default" w:ascii="宋体" w:hAnsi="宋体"/>
          <w:b/>
          <w:bCs/>
          <w:iCs/>
          <w:color w:val="000000"/>
          <w:sz w:val="32"/>
          <w:szCs w:val="32"/>
        </w:rPr>
        <w:t>股份有限公司</w:t>
      </w:r>
    </w:p>
    <w:p w14:paraId="746EFF97">
      <w:pPr>
        <w:spacing w:before="156" w:beforeLines="50" w:after="156" w:afterLines="50" w:line="400" w:lineRule="exact"/>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14:paraId="0CEE5F7E">
      <w:pPr>
        <w:spacing w:line="400" w:lineRule="exact"/>
        <w:jc w:val="right"/>
        <w:rPr>
          <w:rFonts w:hint="default" w:eastAsia="宋体"/>
          <w:bCs/>
          <w:iCs/>
          <w:color w:val="000000"/>
          <w:sz w:val="24"/>
          <w:lang w:val="en-US" w:eastAsia="zh-CN"/>
        </w:rPr>
      </w:pPr>
      <w:r>
        <w:rPr>
          <w:rFonts w:hint="eastAsia" w:ascii="宋体" w:hAnsi="宋体"/>
          <w:bCs/>
          <w:iCs/>
          <w:color w:val="000000"/>
          <w:sz w:val="24"/>
        </w:rPr>
        <w:t xml:space="preserve">                                                     </w:t>
      </w:r>
      <w:r>
        <w:rPr>
          <w:rFonts w:hint="eastAsia" w:ascii="宋体" w:hAnsi="宋体"/>
          <w:bCs/>
          <w:iCs/>
          <w:color w:val="000000"/>
          <w:sz w:val="24"/>
          <w:lang w:val="en-US" w:eastAsia="zh-CN"/>
        </w:rPr>
        <w:t>编号：2026-002</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0"/>
        <w:gridCol w:w="6185"/>
      </w:tblGrid>
      <w:tr w14:paraId="34BA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0" w:type="dxa"/>
            <w:tcBorders>
              <w:top w:val="single" w:color="auto" w:sz="4" w:space="0"/>
              <w:left w:val="single" w:color="auto" w:sz="4" w:space="0"/>
              <w:bottom w:val="single" w:color="auto" w:sz="4" w:space="0"/>
              <w:right w:val="single" w:color="auto" w:sz="4" w:space="0"/>
            </w:tcBorders>
            <w:noWrap w:val="0"/>
            <w:vAlign w:val="top"/>
          </w:tcPr>
          <w:p w14:paraId="56A285F5">
            <w:pPr>
              <w:spacing w:line="420" w:lineRule="exact"/>
              <w:rPr>
                <w:rFonts w:hint="eastAsia" w:ascii="仿宋" w:hAnsi="仿宋" w:eastAsia="仿宋" w:cs="仿宋"/>
                <w:bCs/>
                <w:iCs/>
                <w:color w:val="000000"/>
                <w:kern w:val="0"/>
                <w:sz w:val="28"/>
                <w:szCs w:val="28"/>
              </w:rPr>
            </w:pPr>
            <w:r>
              <w:rPr>
                <w:rFonts w:hint="eastAsia" w:ascii="仿宋" w:hAnsi="仿宋" w:eastAsia="仿宋" w:cs="仿宋"/>
                <w:bCs/>
                <w:iCs/>
                <w:color w:val="000000"/>
                <w:kern w:val="0"/>
                <w:sz w:val="28"/>
                <w:szCs w:val="28"/>
              </w:rPr>
              <w:t>投资者关系活动类别</w:t>
            </w:r>
          </w:p>
          <w:p w14:paraId="2CC1DD81">
            <w:pPr>
              <w:spacing w:line="420" w:lineRule="exact"/>
              <w:rPr>
                <w:rFonts w:hint="eastAsia" w:ascii="仿宋" w:hAnsi="仿宋" w:eastAsia="仿宋" w:cs="仿宋"/>
                <w:bCs/>
                <w:iCs/>
                <w:color w:val="000000"/>
                <w:sz w:val="28"/>
                <w:szCs w:val="28"/>
              </w:rPr>
            </w:pPr>
          </w:p>
        </w:tc>
        <w:tc>
          <w:tcPr>
            <w:tcW w:w="6185" w:type="dxa"/>
            <w:tcBorders>
              <w:top w:val="single" w:color="auto" w:sz="4" w:space="0"/>
              <w:left w:val="single" w:color="auto" w:sz="4" w:space="0"/>
              <w:bottom w:val="single" w:color="auto" w:sz="4" w:space="0"/>
              <w:right w:val="single" w:color="auto" w:sz="4" w:space="0"/>
            </w:tcBorders>
            <w:noWrap w:val="0"/>
            <w:vAlign w:val="top"/>
          </w:tcPr>
          <w:p w14:paraId="16D2F92D">
            <w:pPr>
              <w:spacing w:line="420" w:lineRule="exact"/>
              <w:jc w:val="left"/>
              <w:rPr>
                <w:rFonts w:hint="eastAsia" w:ascii="仿宋" w:hAnsi="仿宋" w:eastAsia="仿宋" w:cs="仿宋"/>
                <w:bCs/>
                <w:iCs/>
                <w:color w:val="000000"/>
                <w:sz w:val="28"/>
                <w:szCs w:val="28"/>
              </w:rPr>
            </w:pPr>
            <w:r>
              <w:rPr>
                <w:rFonts w:hint="eastAsia" w:ascii="仿宋" w:hAnsi="仿宋" w:eastAsia="仿宋" w:cs="仿宋"/>
                <w:bCs/>
                <w:iCs/>
                <w:color w:val="000000"/>
                <w:kern w:val="0"/>
                <w:sz w:val="28"/>
                <w:szCs w:val="28"/>
                <w:lang w:eastAsia="zh-CN"/>
              </w:rPr>
              <w:t>□</w:t>
            </w:r>
            <w:r>
              <w:rPr>
                <w:rFonts w:hint="eastAsia" w:ascii="仿宋" w:hAnsi="仿宋" w:eastAsia="仿宋" w:cs="仿宋"/>
                <w:bCs/>
                <w:iCs/>
                <w:color w:val="000000"/>
                <w:kern w:val="0"/>
                <w:sz w:val="28"/>
                <w:szCs w:val="28"/>
                <w:lang w:val="en-US" w:eastAsia="zh-CN"/>
              </w:rPr>
              <w:t xml:space="preserve"> </w:t>
            </w:r>
            <w:r>
              <w:rPr>
                <w:rFonts w:hint="eastAsia" w:ascii="仿宋" w:hAnsi="仿宋" w:eastAsia="仿宋" w:cs="仿宋"/>
                <w:kern w:val="0"/>
                <w:sz w:val="28"/>
                <w:szCs w:val="28"/>
              </w:rPr>
              <w:t xml:space="preserve">特定对象调研        </w:t>
            </w:r>
            <w:r>
              <w:rPr>
                <w:rFonts w:hint="eastAsia" w:ascii="仿宋" w:hAnsi="仿宋" w:eastAsia="仿宋" w:cs="仿宋"/>
                <w:bCs/>
                <w:iCs/>
                <w:color w:val="000000"/>
                <w:kern w:val="0"/>
                <w:sz w:val="28"/>
                <w:szCs w:val="28"/>
                <w:lang w:eastAsia="zh-CN"/>
              </w:rPr>
              <w:t>□</w:t>
            </w:r>
            <w:r>
              <w:rPr>
                <w:rFonts w:hint="eastAsia" w:ascii="仿宋" w:hAnsi="仿宋" w:eastAsia="仿宋" w:cs="仿宋"/>
                <w:bCs/>
                <w:iCs/>
                <w:color w:val="000000"/>
                <w:kern w:val="0"/>
                <w:sz w:val="28"/>
                <w:szCs w:val="28"/>
              </w:rPr>
              <w:t xml:space="preserve"> </w:t>
            </w:r>
            <w:r>
              <w:rPr>
                <w:rFonts w:hint="eastAsia" w:ascii="仿宋" w:hAnsi="仿宋" w:eastAsia="仿宋" w:cs="仿宋"/>
                <w:kern w:val="0"/>
                <w:sz w:val="28"/>
                <w:szCs w:val="28"/>
              </w:rPr>
              <w:t>分析师会议</w:t>
            </w:r>
          </w:p>
          <w:p w14:paraId="29D4912B">
            <w:pPr>
              <w:spacing w:line="420" w:lineRule="exact"/>
              <w:jc w:val="left"/>
              <w:rPr>
                <w:rFonts w:hint="eastAsia" w:ascii="仿宋" w:hAnsi="仿宋" w:eastAsia="仿宋" w:cs="仿宋"/>
                <w:bCs/>
                <w:iCs/>
                <w:color w:val="000000"/>
                <w:kern w:val="0"/>
                <w:sz w:val="28"/>
                <w:szCs w:val="28"/>
              </w:rPr>
            </w:pPr>
            <w:r>
              <w:rPr>
                <w:rFonts w:hint="eastAsia" w:ascii="仿宋" w:hAnsi="仿宋" w:eastAsia="仿宋" w:cs="仿宋"/>
                <w:bCs/>
                <w:iCs/>
                <w:color w:val="000000"/>
                <w:kern w:val="0"/>
                <w:sz w:val="28"/>
                <w:szCs w:val="28"/>
              </w:rPr>
              <w:t xml:space="preserve">□ </w:t>
            </w:r>
            <w:r>
              <w:rPr>
                <w:rFonts w:hint="eastAsia" w:ascii="仿宋" w:hAnsi="仿宋" w:eastAsia="仿宋" w:cs="仿宋"/>
                <w:kern w:val="0"/>
                <w:sz w:val="28"/>
                <w:szCs w:val="28"/>
              </w:rPr>
              <w:t xml:space="preserve">媒体采访            </w:t>
            </w:r>
            <w:r>
              <w:rPr>
                <w:rFonts w:hint="eastAsia" w:ascii="仿宋" w:hAnsi="仿宋" w:eastAsia="仿宋" w:cs="仿宋"/>
                <w:bCs/>
                <w:iCs/>
                <w:color w:val="000000"/>
                <w:kern w:val="0"/>
                <w:sz w:val="28"/>
                <w:szCs w:val="28"/>
                <w:lang w:eastAsia="zh-CN"/>
              </w:rPr>
              <w:t>☑</w:t>
            </w:r>
            <w:r>
              <w:rPr>
                <w:rFonts w:hint="eastAsia" w:ascii="仿宋" w:hAnsi="仿宋" w:eastAsia="仿宋" w:cs="仿宋"/>
                <w:bCs/>
                <w:iCs/>
                <w:color w:val="000000"/>
                <w:kern w:val="0"/>
                <w:sz w:val="28"/>
                <w:szCs w:val="28"/>
              </w:rPr>
              <w:t xml:space="preserve"> </w:t>
            </w:r>
            <w:r>
              <w:rPr>
                <w:rFonts w:hint="eastAsia" w:ascii="仿宋" w:hAnsi="仿宋" w:eastAsia="仿宋" w:cs="仿宋"/>
                <w:kern w:val="0"/>
                <w:sz w:val="28"/>
                <w:szCs w:val="28"/>
              </w:rPr>
              <w:t>业绩说明会</w:t>
            </w:r>
          </w:p>
          <w:p w14:paraId="385AE4EC">
            <w:pPr>
              <w:spacing w:line="420" w:lineRule="exact"/>
              <w:jc w:val="left"/>
              <w:rPr>
                <w:rFonts w:hint="eastAsia" w:ascii="仿宋" w:hAnsi="仿宋" w:eastAsia="仿宋" w:cs="仿宋"/>
                <w:bCs/>
                <w:iCs/>
                <w:color w:val="000000"/>
                <w:kern w:val="0"/>
                <w:sz w:val="28"/>
                <w:szCs w:val="28"/>
              </w:rPr>
            </w:pPr>
            <w:r>
              <w:rPr>
                <w:rFonts w:hint="eastAsia" w:ascii="仿宋" w:hAnsi="仿宋" w:eastAsia="仿宋" w:cs="仿宋"/>
                <w:bCs/>
                <w:iCs/>
                <w:color w:val="000000"/>
                <w:kern w:val="0"/>
                <w:sz w:val="28"/>
                <w:szCs w:val="28"/>
              </w:rPr>
              <w:t xml:space="preserve">□ </w:t>
            </w:r>
            <w:r>
              <w:rPr>
                <w:rFonts w:hint="eastAsia" w:ascii="仿宋" w:hAnsi="仿宋" w:eastAsia="仿宋" w:cs="仿宋"/>
                <w:kern w:val="0"/>
                <w:sz w:val="28"/>
                <w:szCs w:val="28"/>
              </w:rPr>
              <w:t xml:space="preserve">新闻发布会          </w:t>
            </w:r>
            <w:r>
              <w:rPr>
                <w:rFonts w:hint="eastAsia" w:ascii="仿宋" w:hAnsi="仿宋" w:eastAsia="仿宋" w:cs="仿宋"/>
                <w:bCs/>
                <w:iCs/>
                <w:color w:val="000000"/>
                <w:kern w:val="0"/>
                <w:sz w:val="28"/>
                <w:szCs w:val="28"/>
              </w:rPr>
              <w:t xml:space="preserve">□ </w:t>
            </w:r>
            <w:r>
              <w:rPr>
                <w:rFonts w:hint="eastAsia" w:ascii="仿宋" w:hAnsi="仿宋" w:eastAsia="仿宋" w:cs="仿宋"/>
                <w:kern w:val="0"/>
                <w:sz w:val="28"/>
                <w:szCs w:val="28"/>
              </w:rPr>
              <w:t>路演活动</w:t>
            </w:r>
          </w:p>
          <w:p w14:paraId="16E44261">
            <w:pPr>
              <w:tabs>
                <w:tab w:val="left" w:pos="3045"/>
                <w:tab w:val="center" w:pos="3199"/>
              </w:tabs>
              <w:spacing w:line="420" w:lineRule="exact"/>
              <w:jc w:val="left"/>
              <w:rPr>
                <w:rFonts w:hint="eastAsia" w:ascii="仿宋" w:hAnsi="仿宋" w:eastAsia="仿宋" w:cs="仿宋"/>
                <w:bCs/>
                <w:iCs/>
                <w:color w:val="000000"/>
                <w:kern w:val="0"/>
                <w:sz w:val="28"/>
                <w:szCs w:val="28"/>
                <w:lang w:eastAsia="zh-CN"/>
              </w:rPr>
            </w:pPr>
            <w:r>
              <w:rPr>
                <w:rFonts w:hint="eastAsia" w:ascii="仿宋" w:hAnsi="仿宋" w:eastAsia="仿宋" w:cs="仿宋"/>
                <w:bCs/>
                <w:iCs/>
                <w:color w:val="000000"/>
                <w:kern w:val="0"/>
                <w:sz w:val="28"/>
                <w:szCs w:val="28"/>
              </w:rPr>
              <w:t xml:space="preserve">□ </w:t>
            </w:r>
            <w:r>
              <w:rPr>
                <w:rFonts w:hint="eastAsia" w:ascii="仿宋" w:hAnsi="仿宋" w:eastAsia="仿宋" w:cs="仿宋"/>
                <w:kern w:val="0"/>
                <w:sz w:val="28"/>
                <w:szCs w:val="28"/>
              </w:rPr>
              <w:t>现场参观</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 xml:space="preserve"> </w:t>
            </w:r>
            <w:r>
              <w:rPr>
                <w:rFonts w:hint="eastAsia" w:ascii="仿宋" w:hAnsi="仿宋" w:eastAsia="仿宋" w:cs="仿宋"/>
                <w:bCs/>
                <w:iCs/>
                <w:color w:val="000000"/>
                <w:kern w:val="0"/>
                <w:sz w:val="28"/>
                <w:szCs w:val="28"/>
                <w:lang w:eastAsia="zh-CN"/>
              </w:rPr>
              <w:t>□</w:t>
            </w:r>
            <w:r>
              <w:rPr>
                <w:rFonts w:hint="eastAsia" w:ascii="仿宋" w:hAnsi="仿宋" w:eastAsia="仿宋" w:cs="仿宋"/>
                <w:bCs/>
                <w:iCs/>
                <w:color w:val="000000"/>
                <w:kern w:val="0"/>
                <w:sz w:val="28"/>
                <w:szCs w:val="28"/>
              </w:rPr>
              <w:t xml:space="preserve"> </w:t>
            </w:r>
            <w:r>
              <w:rPr>
                <w:rFonts w:hint="eastAsia" w:ascii="仿宋" w:hAnsi="仿宋" w:eastAsia="仿宋" w:cs="仿宋"/>
                <w:kern w:val="0"/>
                <w:sz w:val="28"/>
                <w:szCs w:val="28"/>
                <w:lang w:val="en-US" w:eastAsia="zh-CN"/>
              </w:rPr>
              <w:t>电话会议</w:t>
            </w:r>
          </w:p>
          <w:p w14:paraId="5509451E">
            <w:pPr>
              <w:tabs>
                <w:tab w:val="center" w:pos="3199"/>
              </w:tabs>
              <w:spacing w:line="420" w:lineRule="exact"/>
              <w:jc w:val="left"/>
              <w:rPr>
                <w:rFonts w:hint="eastAsia" w:ascii="仿宋" w:hAnsi="仿宋" w:eastAsia="仿宋" w:cs="仿宋"/>
                <w:bCs/>
                <w:iCs/>
                <w:color w:val="000000"/>
                <w:sz w:val="28"/>
                <w:szCs w:val="28"/>
              </w:rPr>
            </w:pPr>
            <w:r>
              <w:rPr>
                <w:rFonts w:hint="eastAsia" w:ascii="仿宋" w:hAnsi="仿宋" w:eastAsia="仿宋" w:cs="仿宋"/>
                <w:bCs/>
                <w:iCs/>
                <w:color w:val="000000"/>
                <w:kern w:val="0"/>
                <w:sz w:val="28"/>
                <w:szCs w:val="28"/>
              </w:rPr>
              <w:t xml:space="preserve">□ </w:t>
            </w:r>
            <w:r>
              <w:rPr>
                <w:rFonts w:hint="eastAsia" w:ascii="仿宋" w:hAnsi="仿宋" w:eastAsia="仿宋" w:cs="仿宋"/>
                <w:kern w:val="0"/>
                <w:sz w:val="28"/>
                <w:szCs w:val="28"/>
              </w:rPr>
              <w:t>其他</w:t>
            </w:r>
          </w:p>
        </w:tc>
      </w:tr>
      <w:tr w14:paraId="39D2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0" w:type="dxa"/>
            <w:tcBorders>
              <w:top w:val="single" w:color="auto" w:sz="4" w:space="0"/>
              <w:left w:val="single" w:color="auto" w:sz="4" w:space="0"/>
              <w:bottom w:val="single" w:color="auto" w:sz="4" w:space="0"/>
              <w:right w:val="single" w:color="auto" w:sz="4" w:space="0"/>
            </w:tcBorders>
            <w:noWrap w:val="0"/>
            <w:vAlign w:val="top"/>
          </w:tcPr>
          <w:p w14:paraId="4D62B711">
            <w:pPr>
              <w:spacing w:line="420" w:lineRule="exact"/>
              <w:rPr>
                <w:rFonts w:hint="eastAsia" w:ascii="仿宋" w:hAnsi="仿宋" w:eastAsia="仿宋" w:cs="仿宋"/>
                <w:bCs/>
                <w:iCs/>
                <w:color w:val="000000"/>
                <w:kern w:val="0"/>
                <w:sz w:val="28"/>
                <w:szCs w:val="28"/>
              </w:rPr>
            </w:pPr>
            <w:r>
              <w:rPr>
                <w:rFonts w:hint="eastAsia" w:ascii="仿宋" w:hAnsi="仿宋" w:eastAsia="仿宋" w:cs="仿宋"/>
                <w:bCs/>
                <w:iCs/>
                <w:color w:val="000000"/>
                <w:kern w:val="0"/>
                <w:sz w:val="28"/>
                <w:szCs w:val="28"/>
              </w:rPr>
              <w:t>参与单位名称及人员姓名</w:t>
            </w:r>
          </w:p>
        </w:tc>
        <w:tc>
          <w:tcPr>
            <w:tcW w:w="6185" w:type="dxa"/>
            <w:tcBorders>
              <w:top w:val="single" w:color="auto" w:sz="4" w:space="0"/>
              <w:left w:val="single" w:color="auto" w:sz="4" w:space="0"/>
              <w:bottom w:val="single" w:color="auto" w:sz="4" w:space="0"/>
              <w:right w:val="single" w:color="auto" w:sz="4" w:space="0"/>
            </w:tcBorders>
            <w:noWrap w:val="0"/>
            <w:vAlign w:val="top"/>
          </w:tcPr>
          <w:p w14:paraId="2E548112">
            <w:pPr>
              <w:spacing w:line="420" w:lineRule="exact"/>
              <w:rPr>
                <w:rFonts w:hint="default" w:ascii="仿宋" w:hAnsi="仿宋" w:eastAsia="仿宋" w:cs="仿宋"/>
                <w:bCs/>
                <w:iCs/>
                <w:color w:val="000000"/>
                <w:sz w:val="28"/>
                <w:szCs w:val="28"/>
                <w:lang w:val="en-US" w:eastAsia="zh-CN"/>
              </w:rPr>
            </w:pPr>
            <w:r>
              <w:rPr>
                <w:rFonts w:hint="default" w:ascii="仿宋" w:hAnsi="仿宋" w:eastAsia="仿宋" w:cs="仿宋"/>
                <w:bCs/>
                <w:iCs/>
                <w:color w:val="000000"/>
                <w:sz w:val="28"/>
                <w:szCs w:val="28"/>
                <w:lang w:val="en-US" w:eastAsia="zh-CN"/>
              </w:rPr>
              <w:t>通过线上方式参与公司202</w:t>
            </w:r>
            <w:r>
              <w:rPr>
                <w:rFonts w:hint="eastAsia" w:ascii="仿宋" w:hAnsi="仿宋" w:eastAsia="仿宋" w:cs="仿宋"/>
                <w:bCs/>
                <w:iCs/>
                <w:color w:val="000000"/>
                <w:sz w:val="28"/>
                <w:szCs w:val="28"/>
                <w:lang w:val="en-US" w:eastAsia="zh-CN"/>
              </w:rPr>
              <w:t>6年半年度</w:t>
            </w:r>
            <w:r>
              <w:rPr>
                <w:rFonts w:hint="default" w:ascii="仿宋" w:hAnsi="仿宋" w:eastAsia="仿宋" w:cs="仿宋"/>
                <w:bCs/>
                <w:iCs/>
                <w:color w:val="000000"/>
                <w:sz w:val="28"/>
                <w:szCs w:val="28"/>
                <w:lang w:val="en-US" w:eastAsia="zh-CN"/>
              </w:rPr>
              <w:t>业绩说明会的投资者</w:t>
            </w:r>
          </w:p>
        </w:tc>
      </w:tr>
      <w:tr w14:paraId="7748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0" w:type="dxa"/>
            <w:tcBorders>
              <w:top w:val="single" w:color="auto" w:sz="4" w:space="0"/>
              <w:left w:val="single" w:color="auto" w:sz="4" w:space="0"/>
              <w:bottom w:val="single" w:color="auto" w:sz="4" w:space="0"/>
              <w:right w:val="single" w:color="auto" w:sz="4" w:space="0"/>
            </w:tcBorders>
            <w:noWrap w:val="0"/>
            <w:vAlign w:val="top"/>
          </w:tcPr>
          <w:p w14:paraId="65E07742">
            <w:pPr>
              <w:spacing w:line="420" w:lineRule="exact"/>
              <w:rPr>
                <w:rFonts w:hint="eastAsia" w:ascii="仿宋" w:hAnsi="仿宋" w:eastAsia="仿宋" w:cs="仿宋"/>
                <w:bCs/>
                <w:iCs/>
                <w:color w:val="000000"/>
                <w:kern w:val="0"/>
                <w:sz w:val="28"/>
                <w:szCs w:val="28"/>
              </w:rPr>
            </w:pPr>
            <w:r>
              <w:rPr>
                <w:rFonts w:hint="eastAsia" w:ascii="仿宋" w:hAnsi="仿宋" w:eastAsia="仿宋" w:cs="仿宋"/>
                <w:bCs/>
                <w:iCs/>
                <w:color w:val="000000"/>
                <w:kern w:val="0"/>
                <w:sz w:val="28"/>
                <w:szCs w:val="28"/>
              </w:rPr>
              <w:t>时间</w:t>
            </w:r>
          </w:p>
        </w:tc>
        <w:tc>
          <w:tcPr>
            <w:tcW w:w="6185" w:type="dxa"/>
            <w:tcBorders>
              <w:top w:val="single" w:color="auto" w:sz="4" w:space="0"/>
              <w:left w:val="single" w:color="auto" w:sz="4" w:space="0"/>
              <w:bottom w:val="single" w:color="auto" w:sz="4" w:space="0"/>
              <w:right w:val="single" w:color="auto" w:sz="4" w:space="0"/>
            </w:tcBorders>
            <w:noWrap w:val="0"/>
            <w:vAlign w:val="top"/>
          </w:tcPr>
          <w:p w14:paraId="623A874C">
            <w:pPr>
              <w:spacing w:line="420" w:lineRule="exact"/>
              <w:rPr>
                <w:rFonts w:hint="default" w:ascii="仿宋" w:hAnsi="仿宋" w:eastAsia="仿宋" w:cs="仿宋"/>
                <w:bCs/>
                <w:iCs/>
                <w:color w:val="000000"/>
                <w:sz w:val="28"/>
                <w:szCs w:val="28"/>
                <w:lang w:val="en-US" w:eastAsia="zh-CN"/>
              </w:rPr>
            </w:pPr>
            <w:r>
              <w:rPr>
                <w:rFonts w:hint="default" w:ascii="仿宋" w:hAnsi="仿宋" w:eastAsia="仿宋" w:cs="仿宋"/>
                <w:bCs/>
                <w:iCs/>
                <w:color w:val="000000"/>
                <w:sz w:val="28"/>
                <w:szCs w:val="28"/>
                <w:lang w:val="en-US" w:eastAsia="zh-CN"/>
              </w:rPr>
              <w:t>202</w:t>
            </w:r>
            <w:r>
              <w:rPr>
                <w:rFonts w:hint="eastAsia" w:ascii="仿宋" w:hAnsi="仿宋" w:eastAsia="仿宋" w:cs="仿宋"/>
                <w:bCs/>
                <w:iCs/>
                <w:color w:val="000000"/>
                <w:sz w:val="28"/>
                <w:szCs w:val="28"/>
                <w:lang w:val="en-US" w:eastAsia="zh-CN"/>
              </w:rPr>
              <w:t>6年半年度</w:t>
            </w:r>
            <w:r>
              <w:rPr>
                <w:rFonts w:hint="default" w:ascii="仿宋" w:hAnsi="仿宋" w:eastAsia="仿宋" w:cs="仿宋"/>
                <w:bCs/>
                <w:iCs/>
                <w:color w:val="000000"/>
                <w:sz w:val="28"/>
                <w:szCs w:val="28"/>
                <w:lang w:val="en-US" w:eastAsia="zh-CN"/>
              </w:rPr>
              <w:t>业绩说明会</w:t>
            </w:r>
            <w:r>
              <w:rPr>
                <w:rFonts w:hint="eastAsia" w:ascii="仿宋" w:hAnsi="仿宋" w:eastAsia="仿宋" w:cs="仿宋"/>
                <w:bCs/>
                <w:iCs/>
                <w:color w:val="000000"/>
                <w:sz w:val="28"/>
                <w:szCs w:val="28"/>
                <w:lang w:val="en-US" w:eastAsia="zh-CN"/>
              </w:rPr>
              <w:t>：2026年9月4日（周五）下午</w:t>
            </w:r>
            <w:r>
              <w:rPr>
                <w:rFonts w:hint="eastAsia" w:ascii="仿宋" w:hAnsi="仿宋" w:eastAsia="仿宋" w:cs="仿宋"/>
                <w:bCs/>
                <w:iCs/>
                <w:color w:val="000000"/>
                <w:sz w:val="28"/>
                <w:szCs w:val="28"/>
              </w:rPr>
              <w:t>1</w:t>
            </w:r>
            <w:r>
              <w:rPr>
                <w:rFonts w:hint="eastAsia" w:ascii="仿宋" w:hAnsi="仿宋" w:eastAsia="仿宋" w:cs="仿宋"/>
                <w:bCs/>
                <w:iCs/>
                <w:color w:val="000000"/>
                <w:sz w:val="28"/>
                <w:szCs w:val="28"/>
                <w:lang w:val="en-US" w:eastAsia="zh-CN"/>
              </w:rPr>
              <w:t>3</w:t>
            </w:r>
            <w:r>
              <w:rPr>
                <w:rFonts w:hint="eastAsia" w:ascii="仿宋" w:hAnsi="仿宋" w:eastAsia="仿宋" w:cs="仿宋"/>
                <w:bCs/>
                <w:iCs/>
                <w:color w:val="000000"/>
                <w:sz w:val="28"/>
                <w:szCs w:val="28"/>
              </w:rPr>
              <w:t>:</w:t>
            </w:r>
            <w:r>
              <w:rPr>
                <w:rFonts w:hint="eastAsia" w:ascii="仿宋" w:hAnsi="仿宋" w:eastAsia="仿宋" w:cs="仿宋"/>
                <w:bCs/>
                <w:iCs/>
                <w:color w:val="000000"/>
                <w:sz w:val="28"/>
                <w:szCs w:val="28"/>
                <w:lang w:val="en-US" w:eastAsia="zh-CN"/>
              </w:rPr>
              <w:t>0</w:t>
            </w:r>
            <w:r>
              <w:rPr>
                <w:rFonts w:hint="eastAsia" w:ascii="仿宋" w:hAnsi="仿宋" w:eastAsia="仿宋" w:cs="仿宋"/>
                <w:bCs/>
                <w:iCs/>
                <w:color w:val="000000"/>
                <w:sz w:val="28"/>
                <w:szCs w:val="28"/>
              </w:rPr>
              <w:t>0~1</w:t>
            </w:r>
            <w:r>
              <w:rPr>
                <w:rFonts w:hint="eastAsia" w:ascii="仿宋" w:hAnsi="仿宋" w:eastAsia="仿宋" w:cs="仿宋"/>
                <w:bCs/>
                <w:iCs/>
                <w:color w:val="000000"/>
                <w:sz w:val="28"/>
                <w:szCs w:val="28"/>
                <w:lang w:val="en-US" w:eastAsia="zh-CN"/>
              </w:rPr>
              <w:t>4</w:t>
            </w:r>
            <w:r>
              <w:rPr>
                <w:rFonts w:hint="eastAsia" w:ascii="仿宋" w:hAnsi="仿宋" w:eastAsia="仿宋" w:cs="仿宋"/>
                <w:bCs/>
                <w:iCs/>
                <w:color w:val="000000"/>
                <w:sz w:val="28"/>
                <w:szCs w:val="28"/>
              </w:rPr>
              <w:t>:</w:t>
            </w:r>
            <w:r>
              <w:rPr>
                <w:rFonts w:hint="eastAsia" w:ascii="仿宋" w:hAnsi="仿宋" w:eastAsia="仿宋" w:cs="仿宋"/>
                <w:bCs/>
                <w:iCs/>
                <w:color w:val="000000"/>
                <w:sz w:val="28"/>
                <w:szCs w:val="28"/>
                <w:lang w:val="en-US" w:eastAsia="zh-CN"/>
              </w:rPr>
              <w:t>0</w:t>
            </w:r>
            <w:r>
              <w:rPr>
                <w:rFonts w:hint="eastAsia" w:ascii="仿宋" w:hAnsi="仿宋" w:eastAsia="仿宋" w:cs="仿宋"/>
                <w:bCs/>
                <w:iCs/>
                <w:color w:val="000000"/>
                <w:sz w:val="28"/>
                <w:szCs w:val="28"/>
              </w:rPr>
              <w:t>0</w:t>
            </w:r>
          </w:p>
        </w:tc>
      </w:tr>
      <w:tr w14:paraId="2ED4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0" w:type="dxa"/>
            <w:tcBorders>
              <w:top w:val="single" w:color="auto" w:sz="4" w:space="0"/>
              <w:left w:val="single" w:color="auto" w:sz="4" w:space="0"/>
              <w:bottom w:val="single" w:color="auto" w:sz="4" w:space="0"/>
              <w:right w:val="single" w:color="auto" w:sz="4" w:space="0"/>
            </w:tcBorders>
            <w:noWrap w:val="0"/>
            <w:vAlign w:val="top"/>
          </w:tcPr>
          <w:p w14:paraId="1302DE54">
            <w:pPr>
              <w:spacing w:line="420" w:lineRule="exact"/>
              <w:rPr>
                <w:rFonts w:hint="eastAsia" w:ascii="仿宋" w:hAnsi="仿宋" w:eastAsia="仿宋" w:cs="仿宋"/>
                <w:bCs/>
                <w:iCs/>
                <w:color w:val="000000"/>
                <w:kern w:val="0"/>
                <w:sz w:val="28"/>
                <w:szCs w:val="28"/>
              </w:rPr>
            </w:pPr>
            <w:r>
              <w:rPr>
                <w:rFonts w:hint="eastAsia" w:ascii="仿宋" w:hAnsi="仿宋" w:eastAsia="仿宋" w:cs="仿宋"/>
                <w:bCs/>
                <w:iCs/>
                <w:color w:val="000000"/>
                <w:kern w:val="0"/>
                <w:sz w:val="28"/>
                <w:szCs w:val="28"/>
              </w:rPr>
              <w:t>地点</w:t>
            </w:r>
          </w:p>
        </w:tc>
        <w:tc>
          <w:tcPr>
            <w:tcW w:w="6185" w:type="dxa"/>
            <w:tcBorders>
              <w:top w:val="single" w:color="auto" w:sz="4" w:space="0"/>
              <w:left w:val="single" w:color="auto" w:sz="4" w:space="0"/>
              <w:bottom w:val="single" w:color="auto" w:sz="4" w:space="0"/>
              <w:right w:val="single" w:color="auto" w:sz="4" w:space="0"/>
            </w:tcBorders>
            <w:noWrap w:val="0"/>
            <w:vAlign w:val="top"/>
          </w:tcPr>
          <w:p w14:paraId="58230198">
            <w:pPr>
              <w:spacing w:line="420" w:lineRule="exact"/>
              <w:rPr>
                <w:rFonts w:hint="default" w:ascii="仿宋" w:hAnsi="仿宋" w:eastAsia="仿宋" w:cs="仿宋"/>
                <w:bCs/>
                <w:iCs/>
                <w:color w:val="000000"/>
                <w:sz w:val="28"/>
                <w:szCs w:val="28"/>
                <w:lang w:val="en-US" w:eastAsia="zh-CN"/>
              </w:rPr>
            </w:pPr>
            <w:r>
              <w:rPr>
                <w:rFonts w:hint="eastAsia" w:ascii="仿宋" w:hAnsi="仿宋" w:eastAsia="仿宋" w:cs="仿宋"/>
                <w:sz w:val="28"/>
                <w:szCs w:val="28"/>
                <w:lang w:val="en-US" w:eastAsia="zh-CN"/>
              </w:rPr>
              <w:t>公司通过上海证券交易所上证路演中心（网址：https://roadshow.sseinfo.com/）采用网络远程的方式召开业绩说明会</w:t>
            </w:r>
          </w:p>
        </w:tc>
      </w:tr>
      <w:tr w14:paraId="4119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0" w:type="dxa"/>
            <w:tcBorders>
              <w:top w:val="single" w:color="auto" w:sz="4" w:space="0"/>
              <w:left w:val="single" w:color="auto" w:sz="4" w:space="0"/>
              <w:bottom w:val="single" w:color="auto" w:sz="4" w:space="0"/>
              <w:right w:val="single" w:color="auto" w:sz="4" w:space="0"/>
            </w:tcBorders>
            <w:noWrap w:val="0"/>
            <w:vAlign w:val="top"/>
          </w:tcPr>
          <w:p w14:paraId="7FE063F9">
            <w:pPr>
              <w:spacing w:line="420" w:lineRule="exact"/>
              <w:rPr>
                <w:rFonts w:hint="eastAsia" w:ascii="仿宋" w:hAnsi="仿宋" w:eastAsia="仿宋" w:cs="仿宋"/>
                <w:bCs/>
                <w:iCs/>
                <w:color w:val="000000"/>
                <w:kern w:val="0"/>
                <w:sz w:val="28"/>
                <w:szCs w:val="28"/>
              </w:rPr>
            </w:pPr>
            <w:r>
              <w:rPr>
                <w:rFonts w:hint="eastAsia" w:ascii="仿宋" w:hAnsi="仿宋" w:eastAsia="仿宋" w:cs="仿宋"/>
                <w:bCs/>
                <w:iCs/>
                <w:color w:val="000000"/>
                <w:kern w:val="0"/>
                <w:sz w:val="28"/>
                <w:szCs w:val="28"/>
              </w:rPr>
              <w:t>上市公司接待人员姓名</w:t>
            </w:r>
          </w:p>
        </w:tc>
        <w:tc>
          <w:tcPr>
            <w:tcW w:w="6185" w:type="dxa"/>
            <w:tcBorders>
              <w:top w:val="single" w:color="auto" w:sz="4" w:space="0"/>
              <w:left w:val="single" w:color="auto" w:sz="4" w:space="0"/>
              <w:bottom w:val="single" w:color="auto" w:sz="4" w:space="0"/>
              <w:right w:val="single" w:color="auto" w:sz="4" w:space="0"/>
            </w:tcBorders>
            <w:noWrap w:val="0"/>
            <w:vAlign w:val="center"/>
          </w:tcPr>
          <w:p w14:paraId="389FA4B2">
            <w:pPr>
              <w:spacing w:line="420" w:lineRule="exact"/>
              <w:rPr>
                <w:rFonts w:hint="default" w:ascii="仿宋" w:hAnsi="仿宋" w:eastAsia="仿宋" w:cs="仿宋"/>
                <w:bCs/>
                <w:sz w:val="28"/>
                <w:szCs w:val="28"/>
                <w:lang w:val="en-US" w:eastAsia="zh-CN"/>
              </w:rPr>
            </w:pPr>
            <w:r>
              <w:rPr>
                <w:rFonts w:hint="eastAsia" w:ascii="仿宋" w:hAnsi="仿宋" w:eastAsia="仿宋" w:cs="仿宋"/>
                <w:bCs/>
                <w:sz w:val="28"/>
                <w:szCs w:val="28"/>
                <w:lang w:val="en-US" w:eastAsia="zh-CN"/>
              </w:rPr>
              <w:t>董事长 李俊龙；总裁 王伟；独立董事 黄继章；副总裁、董事会秘书 何茹；财务总监 郑炜峰。</w:t>
            </w:r>
          </w:p>
        </w:tc>
      </w:tr>
      <w:tr w14:paraId="2D22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0" w:type="dxa"/>
            <w:tcBorders>
              <w:top w:val="single" w:color="auto" w:sz="4" w:space="0"/>
              <w:left w:val="single" w:color="auto" w:sz="4" w:space="0"/>
              <w:bottom w:val="single" w:color="auto" w:sz="4" w:space="0"/>
              <w:right w:val="single" w:color="auto" w:sz="4" w:space="0"/>
            </w:tcBorders>
            <w:noWrap w:val="0"/>
            <w:vAlign w:val="center"/>
          </w:tcPr>
          <w:p w14:paraId="2DF19971">
            <w:pPr>
              <w:spacing w:line="420" w:lineRule="exact"/>
              <w:rPr>
                <w:rFonts w:hint="eastAsia" w:ascii="仿宋" w:hAnsi="仿宋" w:eastAsia="仿宋" w:cs="仿宋"/>
                <w:bCs/>
                <w:iCs/>
                <w:color w:val="000000"/>
                <w:kern w:val="0"/>
                <w:sz w:val="28"/>
                <w:szCs w:val="28"/>
              </w:rPr>
            </w:pPr>
            <w:r>
              <w:rPr>
                <w:rFonts w:hint="eastAsia" w:ascii="仿宋" w:hAnsi="仿宋" w:eastAsia="仿宋" w:cs="仿宋"/>
                <w:bCs/>
                <w:iCs/>
                <w:color w:val="000000"/>
                <w:kern w:val="0"/>
                <w:sz w:val="28"/>
                <w:szCs w:val="28"/>
              </w:rPr>
              <w:t>投资者关系活动主要内容介绍</w:t>
            </w:r>
          </w:p>
          <w:p w14:paraId="4ABEA779">
            <w:pPr>
              <w:spacing w:line="420" w:lineRule="exact"/>
              <w:rPr>
                <w:rFonts w:hint="eastAsia" w:ascii="仿宋" w:hAnsi="仿宋" w:eastAsia="仿宋" w:cs="仿宋"/>
                <w:bCs/>
                <w:iCs/>
                <w:color w:val="000000"/>
                <w:sz w:val="28"/>
                <w:szCs w:val="28"/>
              </w:rPr>
            </w:pPr>
          </w:p>
        </w:tc>
        <w:tc>
          <w:tcPr>
            <w:tcW w:w="6185" w:type="dxa"/>
            <w:tcBorders>
              <w:top w:val="single" w:color="auto" w:sz="4" w:space="0"/>
              <w:left w:val="single" w:color="auto" w:sz="4" w:space="0"/>
              <w:bottom w:val="single" w:color="auto" w:sz="4" w:space="0"/>
              <w:right w:val="single" w:color="auto" w:sz="4" w:space="0"/>
            </w:tcBorders>
            <w:noWrap w:val="0"/>
            <w:vAlign w:val="top"/>
          </w:tcPr>
          <w:p w14:paraId="6B486323">
            <w:pPr>
              <w:spacing w:line="460" w:lineRule="exact"/>
              <w:rPr>
                <w:rFonts w:hint="eastAsia" w:ascii="仿宋" w:hAnsi="仿宋" w:eastAsia="仿宋" w:cs="仿宋"/>
                <w:sz w:val="28"/>
                <w:szCs w:val="28"/>
              </w:rPr>
            </w:pPr>
            <w:r>
              <w:rPr>
                <w:rFonts w:hint="eastAsia" w:ascii="仿宋" w:hAnsi="仿宋" w:eastAsia="仿宋" w:cs="仿宋"/>
                <w:sz w:val="28"/>
                <w:szCs w:val="28"/>
                <w:lang w:val="en-US" w:eastAsia="zh-CN"/>
              </w:rPr>
              <w:t>以下是</w:t>
            </w:r>
            <w:r>
              <w:rPr>
                <w:rFonts w:hint="eastAsia" w:ascii="仿宋" w:hAnsi="仿宋" w:eastAsia="仿宋" w:cs="仿宋"/>
                <w:sz w:val="28"/>
                <w:szCs w:val="28"/>
              </w:rPr>
              <w:t>投资者在</w:t>
            </w:r>
            <w:r>
              <w:rPr>
                <w:rFonts w:hint="eastAsia" w:ascii="仿宋" w:hAnsi="仿宋" w:eastAsia="仿宋" w:cs="仿宋"/>
                <w:sz w:val="28"/>
                <w:szCs w:val="28"/>
                <w:lang w:val="en-US" w:eastAsia="zh-CN"/>
              </w:rPr>
              <w:t>会议</w:t>
            </w:r>
            <w:r>
              <w:rPr>
                <w:rFonts w:hint="eastAsia" w:ascii="仿宋" w:hAnsi="仿宋" w:eastAsia="仿宋" w:cs="仿宋"/>
                <w:sz w:val="28"/>
                <w:szCs w:val="28"/>
              </w:rPr>
              <w:t>中提出的</w:t>
            </w:r>
            <w:r>
              <w:rPr>
                <w:rFonts w:hint="eastAsia" w:ascii="仿宋" w:hAnsi="仿宋" w:eastAsia="仿宋" w:cs="仿宋"/>
                <w:sz w:val="28"/>
                <w:szCs w:val="28"/>
                <w:lang w:val="en-US" w:eastAsia="zh-CN"/>
              </w:rPr>
              <w:t>主要</w:t>
            </w:r>
            <w:r>
              <w:rPr>
                <w:rFonts w:hint="eastAsia" w:ascii="仿宋" w:hAnsi="仿宋" w:eastAsia="仿宋" w:cs="仿宋"/>
                <w:sz w:val="28"/>
                <w:szCs w:val="28"/>
              </w:rPr>
              <w:t>问题</w:t>
            </w:r>
            <w:r>
              <w:rPr>
                <w:rFonts w:hint="eastAsia" w:ascii="仿宋" w:hAnsi="仿宋" w:eastAsia="仿宋" w:cs="仿宋"/>
                <w:sz w:val="28"/>
                <w:szCs w:val="28"/>
                <w:lang w:val="en-US" w:eastAsia="zh-CN"/>
              </w:rPr>
              <w:t>及公司</w:t>
            </w:r>
            <w:r>
              <w:rPr>
                <w:rFonts w:hint="eastAsia" w:ascii="仿宋" w:hAnsi="仿宋" w:eastAsia="仿宋" w:cs="仿宋"/>
                <w:sz w:val="28"/>
                <w:szCs w:val="28"/>
              </w:rPr>
              <w:t>回复：</w:t>
            </w:r>
          </w:p>
          <w:p w14:paraId="665237CC">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2026年上半年，公司营业收入同比增长6.24%至128.23亿元，但归母净利润却同比大幅下滑39.40%至1.07亿元，呈现出明显的“增收不增利”态势。请问管理层如何看待这一现象？下半年在深化“产业升级、创新升级、服务升级”主线方面，有哪些具体的战略举措来扭转主业盈利能力下滑的趋势，从而向中小股东证明公司的长期价值？</w:t>
            </w:r>
          </w:p>
          <w:p w14:paraId="55E5A254">
            <w:pPr>
              <w:pStyle w:val="7"/>
              <w:numPr>
                <w:ilvl w:val="0"/>
                <w:numId w:val="0"/>
              </w:numPr>
              <w:spacing w:line="460" w:lineRule="exact"/>
              <w:ind w:leftChars="0"/>
              <w:jc w:val="both"/>
              <w:rPr>
                <w:rFonts w:hint="eastAsia"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回复：公司营收实现增长主要来源于市场拓展与业务规模稳步提升，但受上游成本波动、部分业务板块盈利承压等多重因素影响，归母净利润出现较大幅度下滑，对此公司高度重视，围绕 “产业升级、创新升级、服务升级” 核心主线，下半年将扎实推进各项经营举措，持续推进降本增效、优化产能布局、淘汰低效环节、提升供应链运营效率、严控各项成本费用，持续打磨新品类与新业态、把握消费需求变化培育新的利润增长点，同时深化渠道建设、优化客户结构、提升产品溢价与周转效率，公司将聚焦主业盈利能力改善，推动各项举措落地，夯实长期发展基础，力争以更好的经营回报回馈广大中小股东，感谢各位投资者对公司的关心与支持。</w:t>
            </w:r>
          </w:p>
          <w:p w14:paraId="3203E861">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财报显示，公司海外地区营收同比增长15.85%至66.6亿元，而国内地区营收微降2.50%。在当前国内消费市场结构性调整的背景下，公司未来在国内外市场的资源倾斜和战略布局上有何长远考量？是否会将海外优质资产的利润贡献作为对冲国内周期波动的核心抓手？</w:t>
            </w:r>
          </w:p>
          <w:p w14:paraId="0D145FF1">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Cs/>
                <w:kern w:val="2"/>
                <w:sz w:val="28"/>
                <w:szCs w:val="28"/>
                <w:lang w:val="en-US" w:eastAsia="zh-CN" w:bidi="ar-SA"/>
              </w:rPr>
              <w:t>回复：面对国内消费市场结构性调整，公司坚持国内海外双市场协同发展的长远布局，不会简单对某一市场做单边资源倾斜。国内市场是公司基本盘，我们会持续深耕渠道建设、打磨产品矩阵，积极应对消费变化，稳固本土业务根基；银蕨农场等海外优质资产是公司全球化布局的重要板块。公司将推动海内外业务协同联动，进一步增强整体抗风险能力，努力提升经营水平回馈广大股东。</w:t>
            </w:r>
          </w:p>
          <w:p w14:paraId="77DD2373">
            <w:pPr>
              <w:pStyle w:val="7"/>
              <w:numPr>
                <w:ilvl w:val="0"/>
                <w:numId w:val="0"/>
              </w:numPr>
              <w:spacing w:line="460" w:lineRule="exact"/>
              <w:ind w:left="0" w:leftChars="0" w:firstLine="0" w:firstLineChars="0"/>
              <w:jc w:val="both"/>
              <w:rPr>
                <w:rFonts w:hint="default"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3</w:t>
            </w:r>
            <w:r>
              <w:rPr>
                <w:rFonts w:hint="default" w:ascii="仿宋" w:hAnsi="仿宋" w:eastAsia="仿宋" w:cs="仿宋"/>
                <w:b/>
                <w:bCs w:val="0"/>
                <w:kern w:val="2"/>
                <w:sz w:val="28"/>
                <w:szCs w:val="28"/>
                <w:lang w:val="en-US" w:eastAsia="zh-CN" w:bidi="ar-SA"/>
              </w:rPr>
              <w:t>、针对公司大力培育的“大单品”战略，目前各品牌在渠道下沉和线上全渠道运营取得了哪些阶段性成果？下半年如何进一步提升高毛利深加工产品的销售占比，以改善公司整体的利润结构？</w:t>
            </w:r>
          </w:p>
          <w:p w14:paraId="3BA91836">
            <w:pPr>
              <w:pStyle w:val="7"/>
              <w:spacing w:line="460" w:lineRule="exact"/>
              <w:ind w:left="0" w:leftChars="0" w:firstLine="0" w:firstLineChars="0"/>
              <w:jc w:val="both"/>
              <w:rPr>
                <w:rFonts w:hint="default"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回复：公司持续推进大单品培育，渠道下沉上各品牌扩大线下覆盖，线上搭建自播加达播运营体系，同时开展老字号与新锐平台内容共创、跨界联动，进一步转化为实际消费，已取得阶段性成效。下半年将紧抓中秋、国庆、双十一、旅游节、元旦等消费旺季窗口，各品牌提前谋划、精准部署，聚焦经销商能力提升、激活终端动销、推动重点新品放量，依托线上线下渠道协同强化大单品渗透，优化产品组合，加大高附加值产品推广，提升深加工产品销售占比，冲刺年度各项目标。</w:t>
            </w:r>
          </w:p>
          <w:p w14:paraId="4BD19B41">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4、投资者高度关注公司的市值表现与股东回报。公司2026年上半年的利润分配预案为不分红，且近期股价表现承压。请问公司在日常投资者关系管理中，如何向市场有效传递“降本增效”及“新业态破圈”的积极信号，以消除市场对净利润下滑的恐慌情绪？</w:t>
            </w:r>
          </w:p>
          <w:p w14:paraId="0961645F">
            <w:pPr>
              <w:pStyle w:val="7"/>
              <w:numPr>
                <w:ilvl w:val="0"/>
                <w:numId w:val="0"/>
              </w:numPr>
              <w:spacing w:line="460" w:lineRule="exact"/>
              <w:ind w:leftChars="0"/>
              <w:jc w:val="both"/>
              <w:rPr>
                <w:rFonts w:hint="eastAsia"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回复：公司高度重视市值表现与股东回报，理解市场对公司半年度不分红、股价阶段性承压的关切。二级市场股价受行业周期、宏观环境、市场情绪等多重因素影响。投资者关系工作层面，公司将通过定期报告、业绩说明会、投资者调研、上证 E 互动等多元化渠道，合规、客观传递降本增效的实施成效；针对大白兔奶茶首店等新业态布局，在投资者沟通中做好业务解读，帮助市场充分理解公司业务结构与创新尝试，缓解市场对于阶段性利润下滑的恐慌情绪。</w:t>
            </w:r>
          </w:p>
          <w:p w14:paraId="19EBE5B7">
            <w:pPr>
              <w:pStyle w:val="7"/>
              <w:numPr>
                <w:ilvl w:val="0"/>
                <w:numId w:val="0"/>
              </w:numPr>
              <w:spacing w:line="460" w:lineRule="exact"/>
              <w:ind w:leftChars="0" w:firstLine="560" w:firstLineChars="200"/>
              <w:jc w:val="both"/>
              <w:rPr>
                <w:rFonts w:hint="eastAsia" w:ascii="仿宋" w:hAnsi="仿宋" w:eastAsia="仿宋" w:cs="仿宋"/>
                <w:b/>
                <w:bCs w:val="0"/>
                <w:kern w:val="2"/>
                <w:sz w:val="28"/>
                <w:szCs w:val="28"/>
                <w:lang w:val="en-US" w:eastAsia="zh-CN" w:bidi="ar-SA"/>
              </w:rPr>
            </w:pPr>
            <w:r>
              <w:rPr>
                <w:rFonts w:hint="eastAsia" w:ascii="仿宋" w:hAnsi="仿宋" w:eastAsia="仿宋" w:cs="仿宋"/>
                <w:bCs/>
                <w:kern w:val="2"/>
                <w:sz w:val="28"/>
                <w:szCs w:val="28"/>
                <w:lang w:val="en-US" w:eastAsia="zh-CN" w:bidi="ar-SA"/>
              </w:rPr>
              <w:t>本次半年度拟定不分红，系结合公司经营现状、资金安排及长远发展综合研判。公司将继续聚焦主业，做实经营质量，统筹兼顾企业可持续发展与股东合理回报。</w:t>
            </w:r>
          </w:p>
          <w:p w14:paraId="5629F88A">
            <w:pPr>
              <w:pStyle w:val="7"/>
              <w:numPr>
                <w:ilvl w:val="0"/>
                <w:numId w:val="0"/>
              </w:numPr>
              <w:spacing w:line="460" w:lineRule="exact"/>
              <w:ind w:left="0" w:leftChars="0" w:firstLine="0" w:firstLine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5、财报及经营数据显示，生猪养殖板块因行业供大于求及价格下行，面临较大压力，而屠宰及深加工板块则通过新产品实现了稳步增长。请问管理层下半年在“养殖板块扭亏治亏”方面有哪些实质性的降本增效动作？</w:t>
            </w:r>
          </w:p>
          <w:p w14:paraId="195870AF">
            <w:pPr>
              <w:pStyle w:val="7"/>
              <w:spacing w:line="460" w:lineRule="exact"/>
              <w:ind w:left="0" w:leftChars="0" w:firstLine="0" w:firstLine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Cs/>
                <w:kern w:val="2"/>
                <w:sz w:val="28"/>
                <w:szCs w:val="28"/>
                <w:lang w:val="en-US" w:eastAsia="zh-CN" w:bidi="ar-SA"/>
              </w:rPr>
              <w:t>回复：受行业供大于求、猪价下行影响，养殖板块经营承压，屠宰及深加工板块依托爱森鲜肉包子铺、联豪食品气调产品等新品实现稳步增长。下半年针对养殖板块扭亏治亏，公司将落实多项降本增效举措，有序推进低效产能梳理优化，持续抓好饲养管理，改善核心生产指标，严控各项生产费用，多措并举压缩成本，努力收窄养殖板块亏损。</w:t>
            </w:r>
          </w:p>
          <w:p w14:paraId="6598EADB">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6、本期公司期间费用率虽下降了1.24个百分点，但研发费用同比大增13.40%，销售费用也同比增长2.18%。请问在利润大幅承压的情况下，研发投入主要聚焦在哪些高附加值产品或健康消费场景？这些研发支出在未来转化为实际利润增量的预期时间表是怎样的？</w:t>
            </w:r>
          </w:p>
          <w:p w14:paraId="7AC9C568">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Cs/>
                <w:kern w:val="2"/>
                <w:sz w:val="28"/>
                <w:szCs w:val="28"/>
                <w:lang w:val="en-US" w:eastAsia="zh-CN" w:bidi="ar-SA"/>
              </w:rPr>
              <w:t>回复：在当前利润承压的背景下，公司坚持保持合理的研发投入力度，研发资源主要聚焦高附加值肉制品、预制调理食品以及适老等健康消费场景，围绕产品配方升级、新品迭代、工艺优化开展技术攻关。研发项目存在客观的周期不确定性，从技术落地、产品上市到形成规模利润贡献，会受到市场接受度、渠道推广、消费环境等多重外部因素影响。公司会做好研发项目全流程管控，注重投入产出效率，加快优质研发成果的商业化落地，力争为公司创造新的盈利增长点。</w:t>
            </w:r>
          </w:p>
          <w:p w14:paraId="365B5E9B">
            <w:pPr>
              <w:pStyle w:val="7"/>
              <w:numPr>
                <w:ilvl w:val="0"/>
                <w:numId w:val="0"/>
              </w:numPr>
              <w:spacing w:line="460" w:lineRule="exact"/>
              <w:ind w:left="0" w:leftChars="0" w:firstLine="0" w:firstLine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7、光明农牧长年巨额亏损真实原因是什么？请问光明农牧的处置方案什么时候能够公布？公司或者集团是否为上市公司尽可能挽回损失，给所有中小股民一个合理解释？</w:t>
            </w:r>
          </w:p>
          <w:p w14:paraId="0B4304E6">
            <w:pPr>
              <w:pStyle w:val="7"/>
              <w:numPr>
                <w:ilvl w:val="0"/>
                <w:numId w:val="0"/>
              </w:numPr>
              <w:spacing w:line="460" w:lineRule="exact"/>
              <w:jc w:val="both"/>
              <w:rPr>
                <w:rFonts w:hint="eastAsia"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回复：尊敬的投资者，您好。我们充分理解广大中小股东对于光明农牧经营现状的关切。光明农牧当前面临经营压力，既有历史上非洲猪瘟冲击、行业周期下行带来的影响，也叠加区域运营、内部管理等多重因素。目前公司对光明农牧开展全面梳理评估，研究制定风险化解与处置方案，相关方案一旦形成成熟可执行的安排，公司将严格按照监管规则及时履行信息披露义务。对于历史经营亏损，公司也会严格落实国资及上市公司内控管理要求，依规核查，维护上市公司利益。也感谢各位中小股东的监督，公司会持续做好信息披露工作。</w:t>
            </w:r>
          </w:p>
          <w:p w14:paraId="1BA04724">
            <w:pPr>
              <w:pStyle w:val="7"/>
              <w:numPr>
                <w:ilvl w:val="0"/>
                <w:numId w:val="0"/>
              </w:numPr>
              <w:spacing w:line="460" w:lineRule="exact"/>
              <w:ind w:left="0" w:leftChars="0" w:firstLine="0" w:firstLineChars="0"/>
              <w:jc w:val="both"/>
              <w:rPr>
                <w:rFonts w:hint="default"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8</w:t>
            </w:r>
            <w:r>
              <w:rPr>
                <w:rFonts w:hint="default" w:ascii="仿宋" w:hAnsi="仿宋" w:eastAsia="仿宋" w:cs="仿宋"/>
                <w:b/>
                <w:bCs w:val="0"/>
                <w:kern w:val="2"/>
                <w:sz w:val="28"/>
                <w:szCs w:val="28"/>
                <w:lang w:val="en-US" w:eastAsia="zh-CN" w:bidi="ar-SA"/>
              </w:rPr>
              <w:t>、</w:t>
            </w:r>
            <w:r>
              <w:rPr>
                <w:rFonts w:hint="eastAsia" w:ascii="仿宋" w:hAnsi="仿宋" w:eastAsia="仿宋" w:cs="仿宋"/>
                <w:b/>
                <w:bCs w:val="0"/>
                <w:kern w:val="2"/>
                <w:sz w:val="28"/>
                <w:szCs w:val="28"/>
                <w:lang w:val="en-US" w:eastAsia="zh-CN" w:bidi="ar-SA"/>
              </w:rPr>
              <w:t>独立董事</w:t>
            </w:r>
            <w:r>
              <w:rPr>
                <w:rFonts w:hint="default" w:ascii="仿宋" w:hAnsi="仿宋" w:eastAsia="仿宋" w:cs="仿宋"/>
                <w:b/>
                <w:bCs w:val="0"/>
                <w:kern w:val="2"/>
                <w:sz w:val="28"/>
                <w:szCs w:val="28"/>
                <w:lang w:val="en-US" w:eastAsia="zh-CN" w:bidi="ar-SA"/>
              </w:rPr>
              <w:t>如何看待在生猪养殖行业处于周期底部、主业利润大幅下滑的背景下，</w:t>
            </w:r>
            <w:r>
              <w:rPr>
                <w:rFonts w:hint="eastAsia" w:ascii="仿宋" w:hAnsi="仿宋" w:eastAsia="仿宋" w:cs="仿宋"/>
                <w:b/>
                <w:bCs w:val="0"/>
                <w:kern w:val="2"/>
                <w:sz w:val="28"/>
                <w:szCs w:val="28"/>
                <w:lang w:val="en-US" w:eastAsia="zh-CN" w:bidi="ar-SA"/>
              </w:rPr>
              <w:t>公司依然坚持推进全产业链高质量发展及环保改造,如何</w:t>
            </w:r>
            <w:r>
              <w:rPr>
                <w:rFonts w:hint="default" w:ascii="仿宋" w:hAnsi="仿宋" w:eastAsia="仿宋" w:cs="仿宋"/>
                <w:b/>
                <w:bCs w:val="0"/>
                <w:kern w:val="2"/>
                <w:sz w:val="28"/>
                <w:szCs w:val="28"/>
                <w:lang w:val="en-US" w:eastAsia="zh-CN" w:bidi="ar-SA"/>
              </w:rPr>
              <w:t>确保</w:t>
            </w:r>
            <w:r>
              <w:rPr>
                <w:rFonts w:hint="eastAsia" w:ascii="仿宋" w:hAnsi="仿宋" w:eastAsia="仿宋" w:cs="仿宋"/>
                <w:b/>
                <w:bCs w:val="0"/>
                <w:kern w:val="2"/>
                <w:sz w:val="28"/>
                <w:szCs w:val="28"/>
                <w:lang w:val="en-US" w:eastAsia="zh-CN" w:bidi="ar-SA"/>
              </w:rPr>
              <w:t>投入</w:t>
            </w:r>
            <w:r>
              <w:rPr>
                <w:rFonts w:hint="default" w:ascii="仿宋" w:hAnsi="仿宋" w:eastAsia="仿宋" w:cs="仿宋"/>
                <w:b/>
                <w:bCs w:val="0"/>
                <w:kern w:val="2"/>
                <w:sz w:val="28"/>
                <w:szCs w:val="28"/>
                <w:lang w:val="en-US" w:eastAsia="zh-CN" w:bidi="ar-SA"/>
              </w:rPr>
              <w:t>不会在未来</w:t>
            </w:r>
            <w:r>
              <w:rPr>
                <w:rFonts w:hint="eastAsia" w:ascii="仿宋" w:hAnsi="仿宋" w:eastAsia="仿宋" w:cs="仿宋"/>
                <w:b/>
                <w:bCs w:val="0"/>
                <w:kern w:val="2"/>
                <w:sz w:val="28"/>
                <w:szCs w:val="28"/>
                <w:lang w:val="en-US" w:eastAsia="zh-CN" w:bidi="ar-SA"/>
              </w:rPr>
              <w:t>形成</w:t>
            </w:r>
            <w:r>
              <w:rPr>
                <w:rFonts w:hint="default" w:ascii="仿宋" w:hAnsi="仿宋" w:eastAsia="仿宋" w:cs="仿宋"/>
                <w:b/>
                <w:bCs w:val="0"/>
                <w:kern w:val="2"/>
                <w:sz w:val="28"/>
                <w:szCs w:val="28"/>
                <w:lang w:val="en-US" w:eastAsia="zh-CN" w:bidi="ar-SA"/>
              </w:rPr>
              <w:t>拖累公司</w:t>
            </w:r>
            <w:r>
              <w:rPr>
                <w:rFonts w:hint="eastAsia" w:ascii="仿宋" w:hAnsi="仿宋" w:eastAsia="仿宋" w:cs="仿宋"/>
                <w:b/>
                <w:bCs w:val="0"/>
                <w:kern w:val="2"/>
                <w:sz w:val="28"/>
                <w:szCs w:val="28"/>
                <w:lang w:val="en-US" w:eastAsia="zh-CN" w:bidi="ar-SA"/>
              </w:rPr>
              <w:t>的</w:t>
            </w:r>
            <w:r>
              <w:rPr>
                <w:rFonts w:hint="default" w:ascii="仿宋" w:hAnsi="仿宋" w:eastAsia="仿宋" w:cs="仿宋"/>
                <w:b/>
                <w:bCs w:val="0"/>
                <w:kern w:val="2"/>
                <w:sz w:val="28"/>
                <w:szCs w:val="28"/>
                <w:lang w:val="en-US" w:eastAsia="zh-CN" w:bidi="ar-SA"/>
              </w:rPr>
              <w:t>风险？对于光明农牧的持续巨额亏损，独董们和审计公司们是否尽到了监督、问责职能，如何做的？</w:t>
            </w:r>
          </w:p>
          <w:p w14:paraId="0702FE7F">
            <w:pPr>
              <w:pStyle w:val="7"/>
              <w:numPr>
                <w:ilvl w:val="0"/>
                <w:numId w:val="0"/>
              </w:numPr>
              <w:spacing w:line="460" w:lineRule="exact"/>
              <w:ind w:leftChars="0"/>
              <w:jc w:val="both"/>
              <w:rPr>
                <w:rFonts w:hint="default" w:ascii="仿宋" w:hAnsi="仿宋" w:eastAsia="仿宋" w:cs="仿宋"/>
                <w:bCs/>
                <w:kern w:val="2"/>
                <w:sz w:val="28"/>
                <w:szCs w:val="28"/>
                <w:lang w:val="en-US" w:eastAsia="zh-CN" w:bidi="ar-SA"/>
              </w:rPr>
            </w:pPr>
            <w:r>
              <w:rPr>
                <w:rFonts w:hint="default" w:ascii="仿宋" w:hAnsi="仿宋" w:eastAsia="仿宋" w:cs="仿宋"/>
                <w:bCs/>
                <w:kern w:val="2"/>
                <w:sz w:val="28"/>
                <w:szCs w:val="28"/>
                <w:lang w:val="en-US" w:eastAsia="zh-CN" w:bidi="ar-SA"/>
              </w:rPr>
              <w:t>回复：作为独立董事，我们关注到当前生猪行业处于周期底部、公司主业利润承压的客观现实</w:t>
            </w:r>
            <w:r>
              <w:rPr>
                <w:rFonts w:hint="eastAsia" w:ascii="仿宋" w:hAnsi="仿宋" w:eastAsia="仿宋" w:cs="仿宋"/>
                <w:bCs/>
                <w:kern w:val="2"/>
                <w:sz w:val="28"/>
                <w:szCs w:val="28"/>
                <w:lang w:val="en-US" w:eastAsia="zh-CN" w:bidi="ar-SA"/>
              </w:rPr>
              <w:t>，并且</w:t>
            </w:r>
            <w:r>
              <w:rPr>
                <w:rFonts w:hint="default" w:ascii="仿宋" w:hAnsi="仿宋" w:eastAsia="仿宋" w:cs="仿宋"/>
                <w:bCs/>
                <w:kern w:val="2"/>
                <w:sz w:val="28"/>
                <w:szCs w:val="28"/>
                <w:lang w:val="en-US" w:eastAsia="zh-CN" w:bidi="ar-SA"/>
              </w:rPr>
              <w:t>高度关注光明农牧板块当前经营及风险现状。</w:t>
            </w:r>
            <w:r>
              <w:rPr>
                <w:rFonts w:hint="eastAsia" w:ascii="仿宋" w:hAnsi="仿宋" w:eastAsia="仿宋" w:cs="仿宋"/>
                <w:bCs/>
                <w:kern w:val="2"/>
                <w:sz w:val="28"/>
                <w:szCs w:val="28"/>
                <w:lang w:val="en-US" w:eastAsia="zh-CN" w:bidi="ar-SA"/>
              </w:rPr>
              <w:t>独立董事</w:t>
            </w:r>
            <w:r>
              <w:rPr>
                <w:rFonts w:hint="default" w:ascii="仿宋" w:hAnsi="仿宋" w:eastAsia="仿宋" w:cs="仿宋"/>
                <w:bCs/>
                <w:kern w:val="2"/>
                <w:sz w:val="28"/>
                <w:szCs w:val="28"/>
                <w:lang w:val="en-US" w:eastAsia="zh-CN" w:bidi="ar-SA"/>
              </w:rPr>
              <w:t>通过董事会、审计委员会等机制持续关注农牧板块经营情况，与管理层和审计机构保持沟通，审阅财务及内控资料，就风险管控等事项发表独立意见，履行监督职责。我们将按照独立董事及审计委员会的履职规则，继续勤勉尽职，在董事会及审计委员会审议相关事项时审慎研判，严格监督风险处置相关工作。</w:t>
            </w:r>
          </w:p>
          <w:p w14:paraId="247DA6B6">
            <w:pPr>
              <w:pStyle w:val="7"/>
              <w:numPr>
                <w:ilvl w:val="0"/>
                <w:numId w:val="0"/>
              </w:numPr>
              <w:spacing w:line="460" w:lineRule="exact"/>
              <w:ind w:leftChars="0" w:firstLine="560" w:firstLineChars="200"/>
              <w:jc w:val="both"/>
              <w:rPr>
                <w:rFonts w:hint="default" w:ascii="仿宋" w:hAnsi="仿宋" w:eastAsia="仿宋" w:cs="仿宋"/>
                <w:b/>
                <w:bCs w:val="0"/>
                <w:kern w:val="2"/>
                <w:sz w:val="28"/>
                <w:szCs w:val="28"/>
                <w:lang w:val="en-US" w:eastAsia="zh-CN" w:bidi="ar-SA"/>
              </w:rPr>
            </w:pPr>
            <w:r>
              <w:rPr>
                <w:rFonts w:hint="default" w:ascii="仿宋" w:hAnsi="仿宋" w:eastAsia="仿宋" w:cs="仿宋"/>
                <w:bCs/>
                <w:kern w:val="2"/>
                <w:sz w:val="28"/>
                <w:szCs w:val="28"/>
                <w:lang w:val="en-US" w:eastAsia="zh-CN" w:bidi="ar-SA"/>
              </w:rPr>
              <w:t>严守环保合规是企业稳健经营的根本底线，</w:t>
            </w:r>
            <w:r>
              <w:rPr>
                <w:rFonts w:hint="eastAsia" w:ascii="仿宋" w:hAnsi="仿宋" w:eastAsia="仿宋" w:cs="仿宋"/>
                <w:bCs/>
                <w:kern w:val="2"/>
                <w:sz w:val="28"/>
                <w:szCs w:val="28"/>
                <w:lang w:val="en-US" w:eastAsia="zh-CN" w:bidi="ar-SA"/>
              </w:rPr>
              <w:t>我们将</w:t>
            </w:r>
            <w:r>
              <w:rPr>
                <w:rFonts w:hint="default" w:ascii="仿宋" w:hAnsi="仿宋" w:eastAsia="仿宋" w:cs="仿宋"/>
                <w:bCs/>
                <w:kern w:val="2"/>
                <w:sz w:val="28"/>
                <w:szCs w:val="28"/>
                <w:lang w:val="en-US" w:eastAsia="zh-CN" w:bidi="ar-SA"/>
              </w:rPr>
              <w:t>持续关注公司资本开支相关情况，留意大额投入可能对公司净资产收益率产生的影响，督促管理层做好投入产出管理，落实改善举措，维护上市公司及全体股东的合法权益。</w:t>
            </w:r>
          </w:p>
          <w:p w14:paraId="79EFA77E">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9、财报显示，公司存货规模依然高达26.66亿元，在当前猪肉价格下行的预期下，是否存在较大的存货跌价准备计提压力？</w:t>
            </w:r>
          </w:p>
          <w:p w14:paraId="3A9CAB3F">
            <w:pPr>
              <w:pStyle w:val="7"/>
              <w:numPr>
                <w:ilvl w:val="0"/>
                <w:numId w:val="0"/>
              </w:numPr>
              <w:spacing w:line="460" w:lineRule="exact"/>
              <w:ind w:leftChars="0"/>
              <w:jc w:val="both"/>
              <w:rPr>
                <w:rFonts w:hint="eastAsia"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回复：公司在半年度报告期末的库存中，牛羊肉公司存货占比较高。因本年猪肉市场相对低迷，公司及时监测市场行情变化，并在半年度报告中进行审慎的存货跌价计提。未来存货跌价压力主要根据市场行情变化以及公司精益养殖执行情况。</w:t>
            </w:r>
          </w:p>
          <w:p w14:paraId="07D5A37E">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10、报告期内，公司经营活动产生的现金流量净额为-6269.62万元，同比大幅下降169.11%，而短期借款达到34.07亿元，货币资金为27.25亿元，存在一定的短期偿债压力。请问管理层对未来几个季度的经营性现金流改善有何具体规划？在融资环境可能收紧的预期下，公司的流动性安全垫是否充足？</w:t>
            </w:r>
          </w:p>
          <w:p w14:paraId="669721DB">
            <w:pPr>
              <w:pStyle w:val="7"/>
              <w:numPr>
                <w:ilvl w:val="0"/>
                <w:numId w:val="0"/>
              </w:numPr>
              <w:spacing w:line="460" w:lineRule="exact"/>
              <w:ind w:left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Cs/>
                <w:kern w:val="2"/>
                <w:sz w:val="28"/>
                <w:szCs w:val="28"/>
                <w:lang w:val="en-US" w:eastAsia="zh-CN" w:bidi="ar-SA"/>
              </w:rPr>
              <w:t>回复：报告期内经营活动产生的现金流量净额同比下滑，主因新西兰银蕨农场在采购端因牲畜采购竞争等因素影响，采购付款金额同比增加，导致营运资本占用资金增加。后续，公司将进一步加强应收账款回笼，同时加快库存周转，改善经营性现金流表现。在当前环境下，公司整体融资平稳，流动性保持在健康区间。</w:t>
            </w:r>
          </w:p>
          <w:p w14:paraId="1EB76B0B">
            <w:pPr>
              <w:pStyle w:val="7"/>
              <w:numPr>
                <w:ilvl w:val="0"/>
                <w:numId w:val="0"/>
              </w:numPr>
              <w:spacing w:line="460" w:lineRule="exact"/>
              <w:ind w:left="0" w:leftChars="0" w:firstLine="0" w:firstLineChars="0"/>
              <w:jc w:val="both"/>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11、今年中和去年中在光明财务公司的存款都是25亿，为什么今年会绝大多数金额以活期存款的形式存入，而非定期存款？公司各个子公司之间的资金需求存在长期不匹配，存入方更应该是固定定期存款方式进行资金存放。</w:t>
            </w:r>
          </w:p>
          <w:p w14:paraId="46754705">
            <w:pPr>
              <w:pStyle w:val="7"/>
              <w:numPr>
                <w:ilvl w:val="0"/>
                <w:numId w:val="0"/>
              </w:numPr>
              <w:spacing w:line="460" w:lineRule="exact"/>
              <w:jc w:val="both"/>
              <w:rPr>
                <w:rFonts w:hint="eastAsia"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回复：公司在光明财务公司存款结构变化，是综合考量日常经营、资本开支的资金备付需求，权衡流动性与收益后的资金配置安排，子公司资金余缺处于动态变化，不宜静态看待定活期配比，公司会持续平衡资金安全性、流动性与收益水平。</w:t>
            </w:r>
          </w:p>
          <w:p w14:paraId="2C2587EF">
            <w:pPr>
              <w:pStyle w:val="7"/>
              <w:numPr>
                <w:ilvl w:val="0"/>
                <w:numId w:val="0"/>
              </w:numPr>
              <w:spacing w:line="460" w:lineRule="exact"/>
              <w:ind w:left="0" w:leftChars="0" w:firstLine="0" w:firstLineChars="0"/>
              <w:jc w:val="both"/>
              <w:rPr>
                <w:rFonts w:hint="default" w:ascii="仿宋" w:hAnsi="仿宋" w:eastAsia="仿宋" w:cs="仿宋"/>
                <w:b/>
                <w:bCs w:val="0"/>
                <w:kern w:val="2"/>
                <w:sz w:val="28"/>
                <w:szCs w:val="28"/>
                <w:lang w:val="en-US" w:eastAsia="zh-CN" w:bidi="ar-SA"/>
              </w:rPr>
            </w:pPr>
            <w:r>
              <w:rPr>
                <w:rFonts w:hint="default" w:ascii="仿宋" w:hAnsi="仿宋" w:eastAsia="仿宋" w:cs="仿宋"/>
                <w:b/>
                <w:bCs w:val="0"/>
                <w:kern w:val="2"/>
                <w:sz w:val="28"/>
                <w:szCs w:val="28"/>
                <w:lang w:val="en-US" w:eastAsia="zh-CN" w:bidi="ar-SA"/>
              </w:rPr>
              <w:t>1</w:t>
            </w:r>
            <w:r>
              <w:rPr>
                <w:rFonts w:hint="eastAsia" w:ascii="仿宋" w:hAnsi="仿宋" w:eastAsia="仿宋" w:cs="仿宋"/>
                <w:b/>
                <w:bCs w:val="0"/>
                <w:kern w:val="2"/>
                <w:sz w:val="28"/>
                <w:szCs w:val="28"/>
                <w:lang w:val="en-US" w:eastAsia="zh-CN" w:bidi="ar-SA"/>
              </w:rPr>
              <w:t>2</w:t>
            </w:r>
            <w:r>
              <w:rPr>
                <w:rFonts w:hint="default" w:ascii="仿宋" w:hAnsi="仿宋" w:eastAsia="仿宋" w:cs="仿宋"/>
                <w:b/>
                <w:bCs w:val="0"/>
                <w:kern w:val="2"/>
                <w:sz w:val="28"/>
                <w:szCs w:val="28"/>
                <w:lang w:val="en-US" w:eastAsia="zh-CN" w:bidi="ar-SA"/>
              </w:rPr>
              <w:t>、在研读半年报中，发现上海正广和饮用水有限公司</w:t>
            </w:r>
            <w:r>
              <w:rPr>
                <w:rFonts w:hint="eastAsia" w:ascii="仿宋" w:hAnsi="仿宋" w:eastAsia="仿宋" w:cs="仿宋"/>
                <w:b/>
                <w:bCs w:val="0"/>
                <w:kern w:val="2"/>
                <w:sz w:val="28"/>
                <w:szCs w:val="28"/>
                <w:lang w:val="en-US" w:eastAsia="zh-CN" w:bidi="ar-SA"/>
              </w:rPr>
              <w:t>、</w:t>
            </w:r>
            <w:r>
              <w:rPr>
                <w:rFonts w:hint="default" w:ascii="仿宋" w:hAnsi="仿宋" w:eastAsia="仿宋" w:cs="仿宋"/>
                <w:b/>
                <w:bCs w:val="0"/>
                <w:kern w:val="2"/>
                <w:sz w:val="28"/>
                <w:szCs w:val="28"/>
                <w:lang w:val="en-US" w:eastAsia="zh-CN" w:bidi="ar-SA"/>
              </w:rPr>
              <w:t>上海爱森肉食品有限公司</w:t>
            </w:r>
            <w:r>
              <w:rPr>
                <w:rFonts w:hint="eastAsia" w:ascii="仿宋" w:hAnsi="仿宋" w:eastAsia="仿宋" w:cs="仿宋"/>
                <w:b/>
                <w:bCs w:val="0"/>
                <w:kern w:val="2"/>
                <w:sz w:val="28"/>
                <w:szCs w:val="28"/>
                <w:lang w:val="en-US" w:eastAsia="zh-CN" w:bidi="ar-SA"/>
              </w:rPr>
              <w:t>、</w:t>
            </w:r>
            <w:r>
              <w:rPr>
                <w:rFonts w:hint="default" w:ascii="仿宋" w:hAnsi="仿宋" w:eastAsia="仿宋" w:cs="仿宋"/>
                <w:b/>
                <w:bCs w:val="0"/>
                <w:kern w:val="2"/>
                <w:sz w:val="28"/>
                <w:szCs w:val="28"/>
                <w:lang w:val="en-US" w:eastAsia="zh-CN" w:bidi="ar-SA"/>
              </w:rPr>
              <w:t>上海鼎牛饲料有限公司</w:t>
            </w:r>
            <w:r>
              <w:rPr>
                <w:rFonts w:hint="eastAsia" w:ascii="仿宋" w:hAnsi="仿宋" w:eastAsia="仿宋" w:cs="仿宋"/>
                <w:b/>
                <w:bCs w:val="0"/>
                <w:kern w:val="2"/>
                <w:sz w:val="28"/>
                <w:szCs w:val="28"/>
                <w:lang w:val="en-US" w:eastAsia="zh-CN" w:bidi="ar-SA"/>
              </w:rPr>
              <w:t>、</w:t>
            </w:r>
            <w:r>
              <w:rPr>
                <w:rFonts w:hint="default" w:ascii="仿宋" w:hAnsi="仿宋" w:eastAsia="仿宋" w:cs="仿宋"/>
                <w:b/>
                <w:bCs w:val="0"/>
                <w:kern w:val="2"/>
                <w:sz w:val="28"/>
                <w:szCs w:val="28"/>
                <w:lang w:val="en-US" w:eastAsia="zh-CN" w:bidi="ar-SA"/>
              </w:rPr>
              <w:t>上海广林物业管理有限公司的经营状况</w:t>
            </w:r>
            <w:r>
              <w:rPr>
                <w:rFonts w:hint="eastAsia" w:ascii="仿宋" w:hAnsi="仿宋" w:eastAsia="仿宋" w:cs="仿宋"/>
                <w:b/>
                <w:bCs w:val="0"/>
                <w:kern w:val="2"/>
                <w:sz w:val="28"/>
                <w:szCs w:val="28"/>
                <w:lang w:val="en-US" w:eastAsia="zh-CN" w:bidi="ar-SA"/>
              </w:rPr>
              <w:t>没有单独披露，为什么经营财务数据缺失？</w:t>
            </w:r>
          </w:p>
          <w:p w14:paraId="4A30E14E">
            <w:pPr>
              <w:pStyle w:val="7"/>
              <w:spacing w:line="460" w:lineRule="exact"/>
              <w:ind w:left="0" w:leftChars="0" w:firstLine="0" w:firstLineChars="0"/>
              <w:jc w:val="both"/>
              <w:rPr>
                <w:rFonts w:hint="default" w:ascii="仿宋" w:hAnsi="仿宋" w:eastAsia="仿宋" w:cs="仿宋"/>
                <w:bCs/>
                <w:kern w:val="2"/>
                <w:sz w:val="28"/>
                <w:szCs w:val="28"/>
                <w:lang w:val="en-US" w:eastAsia="zh-CN" w:bidi="ar-SA"/>
              </w:rPr>
            </w:pPr>
            <w:r>
              <w:rPr>
                <w:rFonts w:hint="default" w:ascii="仿宋" w:hAnsi="仿宋" w:eastAsia="仿宋" w:cs="仿宋"/>
                <w:bCs/>
                <w:kern w:val="2"/>
                <w:sz w:val="28"/>
                <w:szCs w:val="28"/>
                <w:lang w:val="en-US" w:eastAsia="zh-CN" w:bidi="ar-SA"/>
              </w:rPr>
              <w:t>回复：公司依照《公开发行证券的公司信息披露内容与格式准则第 3 号—半年度报告的内容与格式（2025年修订）》的规定进行定期报告披露。公司下属子公司较多，定期报告中的“主要参控股公司分析”部分主要披露对公司净利润影响较大的子公司情况，您提到的子公司经营利润对公司整体经营利润影响较小故未单独披露。</w:t>
            </w:r>
          </w:p>
          <w:p w14:paraId="170CF75D">
            <w:pPr>
              <w:pStyle w:val="7"/>
              <w:spacing w:line="460" w:lineRule="exact"/>
              <w:ind w:left="0" w:leftChars="0" w:firstLine="0" w:firstLineChars="0"/>
              <w:jc w:val="both"/>
              <w:rPr>
                <w:rFonts w:hint="default" w:ascii="仿宋" w:hAnsi="仿宋" w:eastAsia="仿宋" w:cs="仿宋"/>
                <w:bCs/>
                <w:kern w:val="2"/>
                <w:sz w:val="28"/>
                <w:szCs w:val="28"/>
                <w:lang w:val="en-US" w:eastAsia="zh-CN" w:bidi="ar-SA"/>
              </w:rPr>
            </w:pPr>
          </w:p>
        </w:tc>
      </w:tr>
      <w:tr w14:paraId="6DFF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0" w:type="dxa"/>
            <w:tcBorders>
              <w:top w:val="single" w:color="auto" w:sz="4" w:space="0"/>
              <w:left w:val="single" w:color="auto" w:sz="4" w:space="0"/>
              <w:bottom w:val="single" w:color="auto" w:sz="4" w:space="0"/>
              <w:right w:val="single" w:color="auto" w:sz="4" w:space="0"/>
            </w:tcBorders>
            <w:noWrap w:val="0"/>
            <w:vAlign w:val="center"/>
          </w:tcPr>
          <w:p w14:paraId="05CAFBD7">
            <w:pPr>
              <w:spacing w:line="420" w:lineRule="exac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附件清单（如有）</w:t>
            </w:r>
          </w:p>
        </w:tc>
        <w:tc>
          <w:tcPr>
            <w:tcW w:w="6185" w:type="dxa"/>
            <w:tcBorders>
              <w:top w:val="single" w:color="auto" w:sz="4" w:space="0"/>
              <w:left w:val="single" w:color="auto" w:sz="4" w:space="0"/>
              <w:bottom w:val="single" w:color="auto" w:sz="4" w:space="0"/>
              <w:right w:val="single" w:color="auto" w:sz="4" w:space="0"/>
            </w:tcBorders>
            <w:noWrap w:val="0"/>
            <w:vAlign w:val="top"/>
          </w:tcPr>
          <w:p w14:paraId="326E6AD5">
            <w:pPr>
              <w:spacing w:line="420" w:lineRule="exact"/>
              <w:rPr>
                <w:rFonts w:hint="eastAsia" w:ascii="宋体" w:hAnsi="宋体" w:eastAsia="宋体" w:cs="宋体"/>
                <w:bCs/>
                <w:iCs/>
                <w:color w:val="000000"/>
                <w:sz w:val="28"/>
                <w:szCs w:val="28"/>
                <w:lang w:val="en-US" w:eastAsia="zh-CN"/>
              </w:rPr>
            </w:pPr>
            <w:r>
              <w:rPr>
                <w:rFonts w:hint="eastAsia" w:ascii="仿宋" w:hAnsi="仿宋" w:eastAsia="仿宋" w:cs="仿宋"/>
                <w:kern w:val="2"/>
                <w:sz w:val="28"/>
                <w:szCs w:val="28"/>
                <w:lang w:val="en-US" w:eastAsia="zh-CN" w:bidi="ar-SA"/>
              </w:rPr>
              <w:t>无</w:t>
            </w:r>
          </w:p>
        </w:tc>
      </w:tr>
      <w:tr w14:paraId="5316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0" w:type="dxa"/>
            <w:tcBorders>
              <w:top w:val="single" w:color="auto" w:sz="4" w:space="0"/>
              <w:left w:val="single" w:color="auto" w:sz="4" w:space="0"/>
              <w:bottom w:val="single" w:color="auto" w:sz="4" w:space="0"/>
              <w:right w:val="single" w:color="auto" w:sz="4" w:space="0"/>
            </w:tcBorders>
            <w:noWrap w:val="0"/>
            <w:vAlign w:val="center"/>
          </w:tcPr>
          <w:p w14:paraId="35802FA9">
            <w:pPr>
              <w:spacing w:line="420" w:lineRule="exac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日期</w:t>
            </w:r>
          </w:p>
        </w:tc>
        <w:tc>
          <w:tcPr>
            <w:tcW w:w="6185" w:type="dxa"/>
            <w:tcBorders>
              <w:top w:val="single" w:color="auto" w:sz="4" w:space="0"/>
              <w:left w:val="single" w:color="auto" w:sz="4" w:space="0"/>
              <w:bottom w:val="single" w:color="auto" w:sz="4" w:space="0"/>
              <w:right w:val="single" w:color="auto" w:sz="4" w:space="0"/>
            </w:tcBorders>
            <w:noWrap w:val="0"/>
            <w:vAlign w:val="top"/>
          </w:tcPr>
          <w:p w14:paraId="18E8EA56">
            <w:pPr>
              <w:spacing w:line="420" w:lineRule="exact"/>
              <w:rPr>
                <w:rFonts w:hint="default" w:ascii="宋体" w:hAnsi="宋体" w:eastAsia="宋体" w:cs="宋体"/>
                <w:bCs/>
                <w:iCs/>
                <w:color w:val="000000"/>
                <w:sz w:val="28"/>
                <w:szCs w:val="28"/>
                <w:lang w:val="en-US"/>
              </w:rPr>
            </w:pPr>
            <w:r>
              <w:rPr>
                <w:rFonts w:hint="eastAsia" w:ascii="仿宋" w:hAnsi="仿宋" w:eastAsia="仿宋" w:cs="仿宋"/>
                <w:kern w:val="2"/>
                <w:sz w:val="28"/>
                <w:szCs w:val="28"/>
                <w:lang w:val="en-US" w:eastAsia="zh-CN" w:bidi="ar-SA"/>
              </w:rPr>
              <w:t>2026-9-8</w:t>
            </w:r>
          </w:p>
        </w:tc>
      </w:tr>
    </w:tbl>
    <w:p w14:paraId="6E32F1A0"/>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E57A1">
    <w:pPr>
      <w:pStyle w:val="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74AB4">
    <w:pPr>
      <w:pStyle w:val="3"/>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hZTQ1MzI1MDZhMzBhNjJiMDY1ODRkYjI3NTE4OTMifQ=="/>
  </w:docVars>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40D5"/>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01480CCD"/>
    <w:rsid w:val="016264AE"/>
    <w:rsid w:val="02CD4EED"/>
    <w:rsid w:val="030D7D08"/>
    <w:rsid w:val="034C108A"/>
    <w:rsid w:val="03CA0201"/>
    <w:rsid w:val="048C5BE2"/>
    <w:rsid w:val="04DC2301"/>
    <w:rsid w:val="051C683A"/>
    <w:rsid w:val="053341DB"/>
    <w:rsid w:val="06C25C77"/>
    <w:rsid w:val="071C0D73"/>
    <w:rsid w:val="08246D07"/>
    <w:rsid w:val="08DF7BD8"/>
    <w:rsid w:val="0ADD677E"/>
    <w:rsid w:val="0BF6772E"/>
    <w:rsid w:val="0C0F0EA7"/>
    <w:rsid w:val="0E9B2B18"/>
    <w:rsid w:val="0EBD2BD8"/>
    <w:rsid w:val="0EF4019E"/>
    <w:rsid w:val="0EF52ABF"/>
    <w:rsid w:val="0F67724C"/>
    <w:rsid w:val="106F460A"/>
    <w:rsid w:val="11B36778"/>
    <w:rsid w:val="125E4936"/>
    <w:rsid w:val="13622204"/>
    <w:rsid w:val="13EE1CEA"/>
    <w:rsid w:val="14B00D4D"/>
    <w:rsid w:val="17801B1E"/>
    <w:rsid w:val="17DA4A5F"/>
    <w:rsid w:val="1B2418A5"/>
    <w:rsid w:val="1C654B13"/>
    <w:rsid w:val="1C6E39C8"/>
    <w:rsid w:val="1DD97567"/>
    <w:rsid w:val="1E390005"/>
    <w:rsid w:val="1E7C4A7E"/>
    <w:rsid w:val="1EC36FD0"/>
    <w:rsid w:val="1F5350F7"/>
    <w:rsid w:val="1FBC0EEE"/>
    <w:rsid w:val="1FBFC074"/>
    <w:rsid w:val="20D92EF5"/>
    <w:rsid w:val="247955FF"/>
    <w:rsid w:val="248A3369"/>
    <w:rsid w:val="25533A48"/>
    <w:rsid w:val="26322670"/>
    <w:rsid w:val="26C67269"/>
    <w:rsid w:val="27532937"/>
    <w:rsid w:val="27827685"/>
    <w:rsid w:val="27BC2A22"/>
    <w:rsid w:val="2BCE359F"/>
    <w:rsid w:val="2C4E7372"/>
    <w:rsid w:val="2CBD2D37"/>
    <w:rsid w:val="2DBB27E5"/>
    <w:rsid w:val="2F57653D"/>
    <w:rsid w:val="2F693355"/>
    <w:rsid w:val="30C9346B"/>
    <w:rsid w:val="30FC739C"/>
    <w:rsid w:val="31653A21"/>
    <w:rsid w:val="31864EB8"/>
    <w:rsid w:val="33244988"/>
    <w:rsid w:val="33271CF1"/>
    <w:rsid w:val="33274F95"/>
    <w:rsid w:val="33F151B2"/>
    <w:rsid w:val="35244754"/>
    <w:rsid w:val="35284C04"/>
    <w:rsid w:val="35847960"/>
    <w:rsid w:val="36240226"/>
    <w:rsid w:val="36FB9E1F"/>
    <w:rsid w:val="37DE77FC"/>
    <w:rsid w:val="382F0AB9"/>
    <w:rsid w:val="38B93DC5"/>
    <w:rsid w:val="3A491EB5"/>
    <w:rsid w:val="3A8A3C6B"/>
    <w:rsid w:val="3AC33322"/>
    <w:rsid w:val="3AEF7F72"/>
    <w:rsid w:val="3BFA3B96"/>
    <w:rsid w:val="3C2974B3"/>
    <w:rsid w:val="3CEF3472"/>
    <w:rsid w:val="3D5B18EE"/>
    <w:rsid w:val="3DBE2870"/>
    <w:rsid w:val="3EC84D62"/>
    <w:rsid w:val="3EFF16E9"/>
    <w:rsid w:val="3F094BA3"/>
    <w:rsid w:val="3F632CDC"/>
    <w:rsid w:val="3FC217B1"/>
    <w:rsid w:val="420B5C33"/>
    <w:rsid w:val="436314FD"/>
    <w:rsid w:val="43E51F12"/>
    <w:rsid w:val="43E73EDC"/>
    <w:rsid w:val="446077EA"/>
    <w:rsid w:val="449C5227"/>
    <w:rsid w:val="44AE0556"/>
    <w:rsid w:val="45107462"/>
    <w:rsid w:val="46602F82"/>
    <w:rsid w:val="4678598B"/>
    <w:rsid w:val="47F40975"/>
    <w:rsid w:val="483F50EA"/>
    <w:rsid w:val="48B3438D"/>
    <w:rsid w:val="49E1588A"/>
    <w:rsid w:val="4AC82702"/>
    <w:rsid w:val="4CA010CC"/>
    <w:rsid w:val="4D0A1DCE"/>
    <w:rsid w:val="4D2607A2"/>
    <w:rsid w:val="4E353A96"/>
    <w:rsid w:val="4F1F09CE"/>
    <w:rsid w:val="50502E09"/>
    <w:rsid w:val="506863A4"/>
    <w:rsid w:val="51B836BF"/>
    <w:rsid w:val="5266763E"/>
    <w:rsid w:val="52BF1DEF"/>
    <w:rsid w:val="52C84ED8"/>
    <w:rsid w:val="53224586"/>
    <w:rsid w:val="53326AB2"/>
    <w:rsid w:val="53784B50"/>
    <w:rsid w:val="538E7ED0"/>
    <w:rsid w:val="55EA1766"/>
    <w:rsid w:val="58E81DFF"/>
    <w:rsid w:val="5929425A"/>
    <w:rsid w:val="597B7283"/>
    <w:rsid w:val="59BD36CF"/>
    <w:rsid w:val="5A3D7F5A"/>
    <w:rsid w:val="5AE825BC"/>
    <w:rsid w:val="5CB66D5D"/>
    <w:rsid w:val="5D294D73"/>
    <w:rsid w:val="5EE60058"/>
    <w:rsid w:val="60F33A68"/>
    <w:rsid w:val="611F660B"/>
    <w:rsid w:val="614B7400"/>
    <w:rsid w:val="61F23D20"/>
    <w:rsid w:val="630F26B0"/>
    <w:rsid w:val="63C7091D"/>
    <w:rsid w:val="63C87B70"/>
    <w:rsid w:val="657D5FF6"/>
    <w:rsid w:val="65A85C3B"/>
    <w:rsid w:val="686B65DA"/>
    <w:rsid w:val="69153355"/>
    <w:rsid w:val="695E1C9B"/>
    <w:rsid w:val="699D0A15"/>
    <w:rsid w:val="69D05529"/>
    <w:rsid w:val="6BFA214F"/>
    <w:rsid w:val="6D2819CD"/>
    <w:rsid w:val="6D763A57"/>
    <w:rsid w:val="6DDE5D7F"/>
    <w:rsid w:val="6FD9651F"/>
    <w:rsid w:val="70981F36"/>
    <w:rsid w:val="70DF7B65"/>
    <w:rsid w:val="71030F13"/>
    <w:rsid w:val="72380DF9"/>
    <w:rsid w:val="733F2B3D"/>
    <w:rsid w:val="74546174"/>
    <w:rsid w:val="75791049"/>
    <w:rsid w:val="75F25C45"/>
    <w:rsid w:val="7693567A"/>
    <w:rsid w:val="76F51E90"/>
    <w:rsid w:val="76FD4773"/>
    <w:rsid w:val="77843214"/>
    <w:rsid w:val="779B27B0"/>
    <w:rsid w:val="77CF73AC"/>
    <w:rsid w:val="78031AAE"/>
    <w:rsid w:val="783A477B"/>
    <w:rsid w:val="784B5AE0"/>
    <w:rsid w:val="78AD53CE"/>
    <w:rsid w:val="78EF0B61"/>
    <w:rsid w:val="78FF0116"/>
    <w:rsid w:val="79020895"/>
    <w:rsid w:val="7A41719B"/>
    <w:rsid w:val="7A7E219D"/>
    <w:rsid w:val="7C8C21E7"/>
    <w:rsid w:val="7EED78F1"/>
    <w:rsid w:val="7F3E20B2"/>
    <w:rsid w:val="7F81543B"/>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qFormat/>
    <w:uiPriority w:val="34"/>
    <w:pPr>
      <w:ind w:firstLine="420" w:firstLineChars="200"/>
    </w:pPr>
    <w:rPr>
      <w:rFonts w:ascii="Calibri" w:hAnsi="Calibri" w:eastAsia="宋体" w:cs="Times New Roman"/>
      <w:szCs w:val="22"/>
    </w:rPr>
  </w:style>
  <w:style w:type="paragraph" w:customStyle="1" w:styleId="8">
    <w:name w:val="Char Char Char"/>
    <w:basedOn w:val="1"/>
    <w:qFormat/>
    <w:uiPriority w:val="0"/>
    <w:rPr>
      <w:szCs w:val="21"/>
    </w:rPr>
  </w:style>
  <w:style w:type="paragraph" w:customStyle="1" w:styleId="9">
    <w:name w:val="Char Char Char Char Char Char Char Char Char Char Char Char Char Char Char Char"/>
    <w:basedOn w:val="1"/>
    <w:qFormat/>
    <w:uiPriority w:val="0"/>
  </w:style>
  <w:style w:type="paragraph" w:customStyle="1" w:styleId="10">
    <w:name w:val=" Char Char Char"/>
    <w:basedOn w:val="1"/>
    <w:qFormat/>
    <w:uiPriority w:val="0"/>
  </w:style>
  <w:style w:type="character" w:customStyle="1" w:styleId="11">
    <w:name w:val="页脚 Char"/>
    <w:basedOn w:val="6"/>
    <w:link w:val="2"/>
    <w:qFormat/>
    <w:uiPriority w:val="0"/>
    <w:rPr>
      <w:kern w:val="2"/>
      <w:sz w:val="18"/>
      <w:szCs w:val="18"/>
    </w:rPr>
  </w:style>
  <w:style w:type="character" w:customStyle="1" w:styleId="12">
    <w:name w:val="页眉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7</Pages>
  <Words>4077</Words>
  <Characters>4225</Characters>
  <Lines>60</Lines>
  <Paragraphs>17</Paragraphs>
  <TotalTime>22</TotalTime>
  <ScaleCrop>false</ScaleCrop>
  <LinksUpToDate>false</LinksUpToDate>
  <CharactersWithSpaces>4375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JYUAN</cp:lastModifiedBy>
  <cp:lastPrinted>2014-02-21T05:34:00Z</cp:lastPrinted>
  <dcterms:modified xsi:type="dcterms:W3CDTF">2026-09-08T08:05:49Z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B1E0B77D64E242A1A279F58C3B8BCA0D_13</vt:lpwstr>
  </property>
  <property fmtid="{D5CDD505-2E9C-101B-9397-08002B2CF9AE}" pid="4" name="KSOTemplateDocerSaveRecord">
    <vt:lpwstr>eyJoZGlkIjoiZjhhZTQ1MzI1MDZhMzBhNjJiMDY1ODRkYjI3NTE4OTMiLCJ1c2VySWQiOiIxMTI3MzA4NzI0In0=</vt:lpwstr>
  </property>
</Properties>
</file>