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98A1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证券代码：600688                                  公司简称：上海石化</w:t>
      </w:r>
    </w:p>
    <w:p w14:paraId="11FDB2EB">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p w14:paraId="7688EBF5">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中国石化上海石油化工股份有限公司</w:t>
      </w:r>
    </w:p>
    <w:p w14:paraId="4928FE43">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投资者关系记录表</w:t>
      </w:r>
    </w:p>
    <w:tbl>
      <w:tblPr>
        <w:tblStyle w:val="2"/>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82"/>
        <w:gridCol w:w="7547"/>
      </w:tblGrid>
      <w:tr w14:paraId="75CE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77" w:hRule="atLeast"/>
        </w:trPr>
        <w:tc>
          <w:tcPr>
            <w:tcW w:w="882" w:type="dxa"/>
            <w:shd w:val="clear" w:color="auto" w:fill="auto"/>
            <w:noWrap/>
            <w:vAlign w:val="center"/>
          </w:tcPr>
          <w:p w14:paraId="590A6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投资者关系活动类别</w:t>
            </w:r>
          </w:p>
        </w:tc>
        <w:tc>
          <w:tcPr>
            <w:tcW w:w="7547" w:type="dxa"/>
            <w:shd w:val="clear" w:color="auto" w:fill="auto"/>
            <w:noWrap/>
            <w:vAlign w:val="center"/>
          </w:tcPr>
          <w:p w14:paraId="6A2AD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☐特定对象调研 ☐分析师会议 ☐媒体采访 </w:t>
            </w:r>
            <w:r>
              <w:rPr>
                <w:rFonts w:hint="default" w:ascii="Wingdings 2" w:hAnsi="Wingdings 2" w:eastAsia="宋体" w:cs="Wingdings 2"/>
                <w:i w:val="0"/>
                <w:iCs w:val="0"/>
                <w:color w:val="000000"/>
                <w:kern w:val="0"/>
                <w:sz w:val="22"/>
                <w:szCs w:val="22"/>
                <w:u w:val="none"/>
                <w:lang w:val="en-US" w:eastAsia="zh-CN" w:bidi="ar"/>
              </w:rPr>
              <w:t>R</w:t>
            </w:r>
            <w:r>
              <w:rPr>
                <w:rFonts w:hint="eastAsia" w:ascii="宋体" w:hAnsi="宋体" w:eastAsia="宋体" w:cs="宋体"/>
                <w:i w:val="0"/>
                <w:iCs w:val="0"/>
                <w:color w:val="000000"/>
                <w:kern w:val="0"/>
                <w:sz w:val="22"/>
                <w:szCs w:val="22"/>
                <w:u w:val="none"/>
                <w:lang w:val="en-US" w:eastAsia="zh-CN" w:bidi="ar"/>
              </w:rPr>
              <w:t>业绩说明会☐新闻发布会 ☐路演活动 ☐现场参观 ☐其他：__________</w:t>
            </w:r>
          </w:p>
        </w:tc>
      </w:tr>
      <w:tr w14:paraId="2EC7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77" w:hRule="atLeast"/>
        </w:trPr>
        <w:tc>
          <w:tcPr>
            <w:tcW w:w="882" w:type="dxa"/>
            <w:shd w:val="clear" w:color="auto" w:fill="auto"/>
            <w:noWrap/>
            <w:vAlign w:val="center"/>
          </w:tcPr>
          <w:p w14:paraId="1062E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参与单位名称</w:t>
            </w:r>
          </w:p>
        </w:tc>
        <w:tc>
          <w:tcPr>
            <w:tcW w:w="7547" w:type="dxa"/>
            <w:shd w:val="clear" w:color="auto" w:fill="auto"/>
            <w:noWrap/>
            <w:vAlign w:val="center"/>
          </w:tcPr>
          <w:p w14:paraId="5ABC6848">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面向所有投资者</w:t>
            </w:r>
          </w:p>
        </w:tc>
      </w:tr>
      <w:tr w14:paraId="1686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2" w:hRule="atLeast"/>
        </w:trPr>
        <w:tc>
          <w:tcPr>
            <w:tcW w:w="882" w:type="dxa"/>
            <w:shd w:val="clear" w:color="auto" w:fill="auto"/>
            <w:noWrap/>
            <w:vAlign w:val="center"/>
          </w:tcPr>
          <w:p w14:paraId="40BDF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时间</w:t>
            </w:r>
          </w:p>
        </w:tc>
        <w:tc>
          <w:tcPr>
            <w:tcW w:w="7547" w:type="dxa"/>
            <w:shd w:val="clear" w:color="auto" w:fill="auto"/>
            <w:noWrap/>
            <w:vAlign w:val="center"/>
          </w:tcPr>
          <w:p w14:paraId="3AB82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2026年8月27日9时00分至10时00分</w:t>
            </w:r>
          </w:p>
        </w:tc>
      </w:tr>
      <w:tr w14:paraId="6F9F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2" w:hRule="atLeast"/>
        </w:trPr>
        <w:tc>
          <w:tcPr>
            <w:tcW w:w="882" w:type="dxa"/>
            <w:shd w:val="clear" w:color="auto" w:fill="auto"/>
            <w:noWrap/>
            <w:vAlign w:val="center"/>
          </w:tcPr>
          <w:p w14:paraId="221EF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地点</w:t>
            </w:r>
          </w:p>
        </w:tc>
        <w:tc>
          <w:tcPr>
            <w:tcW w:w="7547" w:type="dxa"/>
            <w:shd w:val="clear" w:color="auto" w:fill="auto"/>
            <w:noWrap/>
            <w:vAlign w:val="center"/>
          </w:tcPr>
          <w:p w14:paraId="35E08DC8">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网络互动</w:t>
            </w:r>
          </w:p>
        </w:tc>
      </w:tr>
      <w:tr w14:paraId="6AC4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2" w:hRule="atLeast"/>
        </w:trPr>
        <w:tc>
          <w:tcPr>
            <w:tcW w:w="882" w:type="dxa"/>
            <w:shd w:val="clear" w:color="auto" w:fill="auto"/>
            <w:noWrap/>
            <w:vAlign w:val="center"/>
          </w:tcPr>
          <w:p w14:paraId="55261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形式</w:t>
            </w:r>
          </w:p>
        </w:tc>
        <w:tc>
          <w:tcPr>
            <w:tcW w:w="7547" w:type="dxa"/>
            <w:shd w:val="clear" w:color="auto" w:fill="auto"/>
            <w:noWrap/>
            <w:vAlign w:val="center"/>
          </w:tcPr>
          <w:p w14:paraId="1B9B2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☐现场调研 </w:t>
            </w:r>
            <w:r>
              <w:rPr>
                <w:rFonts w:hint="default" w:ascii="Wingdings 2" w:hAnsi="Wingdings 2" w:eastAsia="宋体" w:cs="Wingdings 2"/>
                <w:i w:val="0"/>
                <w:iCs w:val="0"/>
                <w:color w:val="000000"/>
                <w:kern w:val="0"/>
                <w:sz w:val="22"/>
                <w:szCs w:val="22"/>
                <w:u w:val="none"/>
                <w:lang w:val="en-US" w:eastAsia="zh-CN" w:bidi="ar"/>
              </w:rPr>
              <w:t>R</w:t>
            </w:r>
            <w:r>
              <w:rPr>
                <w:rFonts w:hint="eastAsia" w:ascii="宋体" w:hAnsi="宋体" w:eastAsia="宋体" w:cs="宋体"/>
                <w:i w:val="0"/>
                <w:iCs w:val="0"/>
                <w:color w:val="000000"/>
                <w:kern w:val="0"/>
                <w:sz w:val="22"/>
                <w:szCs w:val="22"/>
                <w:u w:val="none"/>
                <w:lang w:val="en-US" w:eastAsia="zh-CN" w:bidi="ar"/>
              </w:rPr>
              <w:t>线上会议 ☐电话会议 ☐其他__________</w:t>
            </w:r>
          </w:p>
        </w:tc>
      </w:tr>
      <w:tr w14:paraId="5901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77" w:hRule="atLeast"/>
        </w:trPr>
        <w:tc>
          <w:tcPr>
            <w:tcW w:w="882" w:type="dxa"/>
            <w:shd w:val="clear" w:color="auto" w:fill="auto"/>
            <w:noWrap/>
            <w:vAlign w:val="center"/>
          </w:tcPr>
          <w:p w14:paraId="1EC27A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上市公司接待人员姓名</w:t>
            </w:r>
          </w:p>
        </w:tc>
        <w:tc>
          <w:tcPr>
            <w:tcW w:w="7547" w:type="dxa"/>
            <w:shd w:val="clear" w:color="auto" w:fill="auto"/>
            <w:noWrap/>
            <w:vAlign w:val="center"/>
          </w:tcPr>
          <w:p w14:paraId="6C2CED9C">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董事长 郭晓军</w:t>
            </w:r>
          </w:p>
          <w:p w14:paraId="346F8396">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财务总监 杜军</w:t>
            </w:r>
          </w:p>
          <w:p w14:paraId="30293BB6">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董事会秘书 刘刚</w:t>
            </w:r>
          </w:p>
          <w:p w14:paraId="7DB7A005">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独立董事 周兴贵</w:t>
            </w:r>
          </w:p>
        </w:tc>
      </w:tr>
      <w:tr w14:paraId="3D9F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trPr>
        <w:tc>
          <w:tcPr>
            <w:tcW w:w="882" w:type="dxa"/>
            <w:shd w:val="clear" w:color="auto" w:fill="auto"/>
            <w:noWrap/>
            <w:vAlign w:val="center"/>
          </w:tcPr>
          <w:p w14:paraId="29E13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投资者关系活动主要内容介绍</w:t>
            </w:r>
          </w:p>
        </w:tc>
        <w:tc>
          <w:tcPr>
            <w:tcW w:w="7547" w:type="dxa"/>
            <w:shd w:val="clear" w:color="auto" w:fill="auto"/>
            <w:noWrap/>
            <w:vAlign w:val="center"/>
          </w:tcPr>
          <w:p w14:paraId="2E656A9B">
            <w:pPr>
              <w:keepNext w:val="0"/>
              <w:keepLines w:val="0"/>
              <w:widowControl/>
              <w:numPr>
                <w:ilvl w:val="0"/>
                <w:numId w:val="1"/>
              </w:numPr>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问：公司在2025年的年报里面提及回购A股和H股个10%，请问今年会执行吗？资金来源哪里？</w:t>
            </w:r>
          </w:p>
          <w:p w14:paraId="523AEDD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公司2025年度股东周年会、2026年第一次H股股东会及2026年第一次A股股东会已审议通过审议及通过关于提请股东会授权董事会回购公司内资股及/或境外上市外资股的议案。公司将结合资本市场及公司的实际情况适时开展。</w:t>
            </w:r>
          </w:p>
          <w:p w14:paraId="11A106A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21D645C1">
            <w:pPr>
              <w:keepNext w:val="0"/>
              <w:keepLines w:val="0"/>
              <w:widowControl/>
              <w:numPr>
                <w:ilvl w:val="0"/>
                <w:numId w:val="1"/>
              </w:numPr>
              <w:suppressLineNumbers w:val="0"/>
              <w:ind w:left="0" w:leftChars="0" w:firstLine="0" w:firstLine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问：请问今年有分红计划吗？谢谢</w:t>
            </w:r>
          </w:p>
          <w:p w14:paraId="67B3E86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答：公司始终重视自身财务健康、股东回报及公司未来发展等工作，在满足自身正常生产经营资金使用的前提下，综合考虑财务安全、可持续增长、稳定回报，统筹做好分红以及资本开支等资金安排。</w:t>
            </w:r>
          </w:p>
          <w:p w14:paraId="1848E9F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003333CD">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3、问：请问公司营收情况如何？</w:t>
            </w:r>
          </w:p>
          <w:p w14:paraId="32D0A83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答：截至2026年6月30日止，按照中国会计准则，上海石化营业收入为人民币389.92亿元，同比下降1.34%；归属于母公司股东的净利润3.00亿元，同比增加7.62亿元。</w:t>
            </w:r>
          </w:p>
          <w:p w14:paraId="3357E28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240EF2D1">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4、问：公司有计划投资煤化、石化、碳纤维、化工的上下游的企业，进一步延伸产业链吗？</w:t>
            </w:r>
          </w:p>
          <w:p w14:paraId="6D7CA2E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十五五”期间，公司以打造“新金山”推进高质量发展为主题和中心任务，以转型升级、提质增效为主线，以培育新质生产力为重点，聚焦建设现代石油化工和新材料产业高地，构建以关键石化产品为基础、特色精细化工和碳纤维、聚烯烃、弹性体等高端新材料为核心的产业体系，不断增强核心功能、提升核心竞争力。</w:t>
            </w:r>
          </w:p>
          <w:p w14:paraId="5C1FC9C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2851DA84">
            <w:pPr>
              <w:keepNext w:val="0"/>
              <w:keepLines w:val="0"/>
              <w:widowControl/>
              <w:numPr>
                <w:ilvl w:val="0"/>
                <w:numId w:val="0"/>
              </w:numPr>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5、问：1.Brent原油Q2均价环比上涨23.3%，而上海石化原油加工成本却飙升60.89%——差距高达37个百分点。请解释。</w:t>
            </w:r>
          </w:p>
          <w:p w14:paraId="6DAFE0A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布伦特原油期货价格是全球主要的原油定价基准，而实际采购原油的成本还需考虑升贴水、运保费等，叠加采购及交付周期、库存、油种结构等多重因素，在美以伊冲突驱动下，会导致原油加工成本的变动幅度与当期的基准原油价格产生较大差异。</w:t>
            </w:r>
          </w:p>
          <w:p w14:paraId="2BBD34B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62E8961F">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6、问：你好，关于2021-2025上海石化年报相关情况，年报显示自2021年，对于2.4万吨原丝、1.2万吨48K大丝束项目投资，2021年投入约10亿（原有2.8亿），22年约11亿，23年2.5亿，24年1.7亿并一阶段投运，为何2025年年报和2026半年报却没有任何产出记录？总额近28亿的资金投入，一点痕迹都看不到？</w:t>
            </w:r>
          </w:p>
          <w:p w14:paraId="13E259A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公司在2026年上半年积极开展现有碳纤维装置产品开发和技术攻关工作。一是开展硫氰酸钠湿法T700级以上高性能小丝束碳纤维批量试生产；二是开展60K级以上巨（大）丝束碳纤维后道应用验证；三是在攻克湿法T1000级碳纤维的基础上开展高强高模碳纤维后道应用验证和产品力学表达能力提升。此外，结合公司3万吨/年大丝束碳纤维、6万吨/年碳纤维原丝项目，在现有装置持续开展迭代技术验证及优化，进一步完善设计方案。相关信息以公司公告为准。</w:t>
            </w:r>
          </w:p>
          <w:p w14:paraId="02EBD79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56D4D3CA">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7、问：作为完全控股的子公司的上海金山石化碳纤维有限责任公司，仅在2023年上海石化年报出现相关人员人事情况，之后的报表就没再出现过这个公司，为什么不合并入上海石化的年报和半年报中？根据天眼查app显示，2021年成立的上海金山石化碳纤维有限责任公司在2022年7月注册资本由10亿降到2千万，资金是否回到了上海石化？</w:t>
            </w:r>
          </w:p>
          <w:p w14:paraId="490C2C9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答：公司严格按照上市规则和会计准则等相关要求披露定期报告。上海金山石化碳纤维有限责任公司注册资本调整是认缴金额的调整，截至目前注册资本尚未实缴，故不涉及资金回流。</w:t>
            </w:r>
          </w:p>
          <w:p w14:paraId="71FA260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3E6A297D">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8、问："别人的钱收不回来，自己的钱却要付利息"。关联方占款问题如何解决？ 一、"应收账款收不到"的实际情况 截至2026年6月30日，上海石化应收账款高达184.96亿元，较年初暴增106.49亿元，增幅135.7%。更关键的是： · 高度集中于关联方：应收关联方款项占比高达97.42%，前五大客户应收账款占总额达99.58%。 · 回款靠体系内协调：虽然"货款回笼率（关联企业和内部企业除外）为100.03%"，但关联方回款才是大头，主动权并不掌握在上海石化自己手中。 二、"筹集资金付利息"的实际情况 为了填补经营和投资活动的资金缺口（经营净流出8.41亿 + 投资净流出14.40亿），公司上半年大举借债： · 长期借款较上年末增加45.53%，筹资活动现金流净额达18.26亿元。 · 利息支出同比增加1300万元，同时利息收入同比减少3800万元，导致财务净收益大幅收窄。 总结 左手是184.96亿收不回来的应收账款（其中106亿是今年新增的"白条"），右手是为了维持运转而借来的18.26亿新债——一边是钱被关联方占着不用付利息，一边是自己借钱要付利息。</w:t>
            </w:r>
          </w:p>
          <w:p w14:paraId="3B31DE4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答：截至2026年6月30日，公司应收账款为15.56亿元，相关数据请以公司披露的定期报告为准。</w:t>
            </w:r>
          </w:p>
          <w:p w14:paraId="067754E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0D2E68E5">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 xml:space="preserve">9、问：公司为何还未着手进行可转债发行准备工作？前期草案编写，股东投票这些工作成本较低，建议早早完成，即使不发行，也要做足准备。 </w:t>
            </w:r>
          </w:p>
          <w:p w14:paraId="04B7ACE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答：公司始终重视投资者意见，后续如有相关融资安排，将严格按照法律法规及监管要求及时履行信息披露义务，敬请以公司在指定媒体发布的公告为准。</w:t>
            </w:r>
          </w:p>
          <w:p w14:paraId="1BA4311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1613E2E7">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10、问：对港Ａ股的回购进展较慢，建议加快进度，利用好窗口期。</w:t>
            </w:r>
          </w:p>
          <w:p w14:paraId="23B82FA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公司2025年度股东周年会、2026年第一次H股股东会及2026年第一次A股股东会已审议通过审议及通过关于提请股东会授权董事会回购公司内资股及/或境外上市外资股的议案。公司将结合资本市场及公司的实际情况适时开展。</w:t>
            </w:r>
          </w:p>
          <w:p w14:paraId="2720F95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1C7114D6">
            <w:pPr>
              <w:keepNext w:val="0"/>
              <w:keepLines w:val="0"/>
              <w:widowControl/>
              <w:numPr>
                <w:ilvl w:val="0"/>
                <w:numId w:val="0"/>
              </w:numPr>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11、新进的前十大股东中东主权基金有计划战略投资入股吗？公司和该主权基金是否有过沟通？</w:t>
            </w:r>
          </w:p>
          <w:p w14:paraId="00EA54C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答：根据公司已披露的2026年半年度报告，"阿布达比投资局-自有资金"新进入公司前十大股东，报告期末持股数量为16,918,598股，持股比例0.16%。截至目前，公司未与该股东有过沟通。</w:t>
            </w:r>
          </w:p>
          <w:p w14:paraId="1343DFA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2CA5989F">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12、问：公司一线生产职工和非一线生产职工的人数比约为２：４，是否存在人浮于事，人效比较低的问题？</w:t>
            </w:r>
          </w:p>
          <w:p w14:paraId="1C56507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答：截至2026年6月30日，公司在职员工6698人，其中生产人员4357人，销售、财务和其他人员1681人，行政人员660人。公司坚决推进组织机构扁平化改革，精简组织机构设置。优化人力资源配置格局，加大竞争性选聘力度，加强任期制和契约化管理，不断加强队伍建设。</w:t>
            </w:r>
          </w:p>
          <w:p w14:paraId="0E4B147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p>
          <w:p w14:paraId="66B20D3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13、问：公司上半年裂解原油较往年低很多，在今年国际原油裂解差加大的大好局面下，是否存在未充分运用产能进行来料加工的情况？</w:t>
            </w:r>
            <w:r>
              <w:rPr>
                <w:rFonts w:hint="eastAsia" w:ascii="宋体" w:hAnsi="宋体" w:eastAsia="宋体" w:cs="宋体"/>
                <w:i w:val="0"/>
                <w:iCs w:val="0"/>
                <w:color w:val="000000"/>
                <w:kern w:val="0"/>
                <w:sz w:val="22"/>
                <w:szCs w:val="22"/>
                <w:u w:val="none"/>
                <w:lang w:val="en-US" w:eastAsia="zh-CN" w:bidi="ar"/>
              </w:rPr>
              <w:t xml:space="preserve"> </w:t>
            </w:r>
          </w:p>
          <w:p w14:paraId="505EE24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答：受美以伊冲突及检修影响，上半年公司根据获得资源加强市场研判与分析，动态优化调整生产经营安排，满足周边地区市场需求，保持生产经营稳定，累计完成原油加工量568.20万吨，同比减少10.16%。</w:t>
            </w:r>
          </w:p>
          <w:p w14:paraId="35EA387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14:paraId="538D6217">
            <w:pPr>
              <w:keepNext w:val="0"/>
              <w:keepLines w:val="0"/>
              <w:widowControl/>
              <w:numPr>
                <w:ilvl w:val="0"/>
                <w:numId w:val="0"/>
              </w:numPr>
              <w:suppressLineNumbers w:val="0"/>
              <w:ind w:leftChars="0" w:firstLine="440" w:firstLineChars="200"/>
              <w:jc w:val="left"/>
              <w:textAlignment w:val="center"/>
              <w:rPr>
                <w:rFonts w:hint="eastAsia" w:ascii="宋体" w:hAnsi="宋体" w:eastAsia="宋体" w:cs="宋体"/>
                <w:i w:val="0"/>
                <w:iCs w:val="0"/>
                <w:color w:val="000000"/>
                <w:sz w:val="22"/>
                <w:szCs w:val="22"/>
                <w:u w:val="none"/>
              </w:rPr>
            </w:pPr>
          </w:p>
        </w:tc>
      </w:tr>
      <w:tr w14:paraId="0E80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5" w:hRule="atLeast"/>
        </w:trPr>
        <w:tc>
          <w:tcPr>
            <w:tcW w:w="882" w:type="dxa"/>
            <w:shd w:val="clear" w:color="auto" w:fill="auto"/>
            <w:noWrap/>
            <w:vAlign w:val="center"/>
          </w:tcPr>
          <w:p w14:paraId="61E735F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关于本次活动是否涉及应披露重大信息的说明</w:t>
            </w:r>
          </w:p>
        </w:tc>
        <w:tc>
          <w:tcPr>
            <w:tcW w:w="7547" w:type="dxa"/>
            <w:shd w:val="clear" w:color="auto" w:fill="auto"/>
            <w:noWrap/>
            <w:vAlign w:val="center"/>
          </w:tcPr>
          <w:p w14:paraId="4AE299A4">
            <w:pPr>
              <w:keepNext w:val="0"/>
              <w:keepLines w:val="0"/>
              <w:widowControl/>
              <w:numPr>
                <w:ilvl w:val="0"/>
                <w:numId w:val="0"/>
              </w:numPr>
              <w:suppressLineNumbers w:val="0"/>
              <w:jc w:val="left"/>
              <w:textAlignment w:val="center"/>
              <w:rPr>
                <w:rFonts w:hint="default" w:ascii="宋体" w:hAnsi="宋体" w:eastAsia="宋体" w:cs="宋体"/>
                <w:i w:val="0"/>
                <w:iCs w:val="0"/>
                <w:color w:val="000000"/>
                <w:sz w:val="22"/>
                <w:szCs w:val="22"/>
                <w:u w:val="none"/>
                <w:lang w:val="en-US" w:eastAsia="zh-CN"/>
              </w:rPr>
            </w:pPr>
            <w:bookmarkStart w:id="0" w:name="_GoBack"/>
            <w:bookmarkEnd w:id="0"/>
            <w:r>
              <w:rPr>
                <w:rFonts w:hint="eastAsia" w:ascii="宋体" w:hAnsi="宋体" w:eastAsia="宋体" w:cs="宋体"/>
                <w:i w:val="0"/>
                <w:iCs w:val="0"/>
                <w:color w:val="000000"/>
                <w:sz w:val="22"/>
                <w:szCs w:val="22"/>
                <w:u w:val="none"/>
                <w:lang w:val="en-US" w:eastAsia="zh-CN"/>
              </w:rPr>
              <w:t>本次活动不涉及未公开披露的重大信息。</w:t>
            </w:r>
          </w:p>
        </w:tc>
      </w:tr>
      <w:tr w14:paraId="5AE2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0" w:hRule="atLeast"/>
        </w:trPr>
        <w:tc>
          <w:tcPr>
            <w:tcW w:w="882" w:type="dxa"/>
            <w:shd w:val="clear" w:color="auto" w:fill="auto"/>
            <w:noWrap/>
            <w:vAlign w:val="center"/>
          </w:tcPr>
          <w:p w14:paraId="758BD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附件清单（如有）</w:t>
            </w:r>
          </w:p>
        </w:tc>
        <w:tc>
          <w:tcPr>
            <w:tcW w:w="7547" w:type="dxa"/>
            <w:shd w:val="clear" w:color="auto" w:fill="auto"/>
            <w:noWrap/>
            <w:vAlign w:val="center"/>
          </w:tcPr>
          <w:p w14:paraId="5DE22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□演示 PPT □调研提纲 □其他：______无____ </w:t>
            </w:r>
          </w:p>
        </w:tc>
      </w:tr>
      <w:tr w14:paraId="28D1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8" w:hRule="atLeast"/>
        </w:trPr>
        <w:tc>
          <w:tcPr>
            <w:tcW w:w="882" w:type="dxa"/>
            <w:shd w:val="clear" w:color="auto" w:fill="auto"/>
            <w:noWrap/>
            <w:vAlign w:val="center"/>
          </w:tcPr>
          <w:p w14:paraId="0E3C47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记录日期</w:t>
            </w:r>
          </w:p>
        </w:tc>
        <w:tc>
          <w:tcPr>
            <w:tcW w:w="7547" w:type="dxa"/>
            <w:shd w:val="clear" w:color="auto" w:fill="auto"/>
            <w:noWrap/>
            <w:vAlign w:val="center"/>
          </w:tcPr>
          <w:p w14:paraId="0ECADC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2026年8月28日</w:t>
            </w:r>
          </w:p>
        </w:tc>
      </w:tr>
    </w:tbl>
    <w:p w14:paraId="2DB2AA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AE0F05"/>
    <w:multiLevelType w:val="singleLevel"/>
    <w:tmpl w:val="12AE0F0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EB650B"/>
    <w:rsid w:val="02980EEC"/>
    <w:rsid w:val="03BD1133"/>
    <w:rsid w:val="077B78D4"/>
    <w:rsid w:val="07C459DE"/>
    <w:rsid w:val="0A482EEB"/>
    <w:rsid w:val="0AA60D06"/>
    <w:rsid w:val="0BB337C2"/>
    <w:rsid w:val="0BD76E79"/>
    <w:rsid w:val="0F752B68"/>
    <w:rsid w:val="10BA5A4A"/>
    <w:rsid w:val="12A1396A"/>
    <w:rsid w:val="12D47F59"/>
    <w:rsid w:val="13103353"/>
    <w:rsid w:val="135F40AE"/>
    <w:rsid w:val="152D14FD"/>
    <w:rsid w:val="177F193F"/>
    <w:rsid w:val="1AE86432"/>
    <w:rsid w:val="1C217434"/>
    <w:rsid w:val="1DA91839"/>
    <w:rsid w:val="1E9858BE"/>
    <w:rsid w:val="22E03102"/>
    <w:rsid w:val="22EB650B"/>
    <w:rsid w:val="23E04FD1"/>
    <w:rsid w:val="24D02576"/>
    <w:rsid w:val="25695BEC"/>
    <w:rsid w:val="270C329A"/>
    <w:rsid w:val="27C17045"/>
    <w:rsid w:val="2AEA2D75"/>
    <w:rsid w:val="2BA8442D"/>
    <w:rsid w:val="2C734DFA"/>
    <w:rsid w:val="2D2452BF"/>
    <w:rsid w:val="2DA73EF2"/>
    <w:rsid w:val="2DC25DA1"/>
    <w:rsid w:val="2E770D48"/>
    <w:rsid w:val="2E801657"/>
    <w:rsid w:val="2EE47CE6"/>
    <w:rsid w:val="31A81E84"/>
    <w:rsid w:val="31BE78AB"/>
    <w:rsid w:val="322162CA"/>
    <w:rsid w:val="32604EB6"/>
    <w:rsid w:val="32DD079A"/>
    <w:rsid w:val="32F675A7"/>
    <w:rsid w:val="366849D0"/>
    <w:rsid w:val="37AD17E4"/>
    <w:rsid w:val="38757FF6"/>
    <w:rsid w:val="39542E1A"/>
    <w:rsid w:val="3A183E5C"/>
    <w:rsid w:val="3AC80496"/>
    <w:rsid w:val="3C377650"/>
    <w:rsid w:val="3C691DBD"/>
    <w:rsid w:val="3D42560E"/>
    <w:rsid w:val="3E7027FD"/>
    <w:rsid w:val="3E71027E"/>
    <w:rsid w:val="3E833A1C"/>
    <w:rsid w:val="40BB4940"/>
    <w:rsid w:val="43D77B5F"/>
    <w:rsid w:val="44032BF3"/>
    <w:rsid w:val="45EA5542"/>
    <w:rsid w:val="47733D60"/>
    <w:rsid w:val="47F33399"/>
    <w:rsid w:val="47F765E2"/>
    <w:rsid w:val="49AC5F6D"/>
    <w:rsid w:val="4A5C4A8C"/>
    <w:rsid w:val="4D417D17"/>
    <w:rsid w:val="4D616BC2"/>
    <w:rsid w:val="4F155A4F"/>
    <w:rsid w:val="51857EC5"/>
    <w:rsid w:val="53A9514E"/>
    <w:rsid w:val="542F26F1"/>
    <w:rsid w:val="57EF0351"/>
    <w:rsid w:val="5804257C"/>
    <w:rsid w:val="5AC67AF9"/>
    <w:rsid w:val="5B8D1AC1"/>
    <w:rsid w:val="5BF501EB"/>
    <w:rsid w:val="5DF32230"/>
    <w:rsid w:val="5F75492A"/>
    <w:rsid w:val="5FFB2605"/>
    <w:rsid w:val="6124336C"/>
    <w:rsid w:val="63EA0CE6"/>
    <w:rsid w:val="687F4940"/>
    <w:rsid w:val="6A984F72"/>
    <w:rsid w:val="6B452B0C"/>
    <w:rsid w:val="6CA86ED0"/>
    <w:rsid w:val="6DF07723"/>
    <w:rsid w:val="6E4E2A84"/>
    <w:rsid w:val="6FE016A4"/>
    <w:rsid w:val="6FE2091C"/>
    <w:rsid w:val="71205DA5"/>
    <w:rsid w:val="71CD1741"/>
    <w:rsid w:val="72465B88"/>
    <w:rsid w:val="72C07A50"/>
    <w:rsid w:val="72D9097A"/>
    <w:rsid w:val="751F0834"/>
    <w:rsid w:val="782676BB"/>
    <w:rsid w:val="7BBA4429"/>
    <w:rsid w:val="7F6C6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3515</Words>
  <Characters>3922</Characters>
  <Lines>0</Lines>
  <Paragraphs>0</Paragraphs>
  <TotalTime>13</TotalTime>
  <ScaleCrop>false</ScaleCrop>
  <LinksUpToDate>false</LinksUpToDate>
  <CharactersWithSpaces>3947</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2026-09-07T00:06:00Z</dcterms:created>
  <dc:creator>奚梦楠</dc:creator>
  <cp:lastModifiedBy>spcadmin</cp:lastModifiedBy>
  <dcterms:modified xsi:type="dcterms:W3CDTF">2026-09-09T07:11:00Z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3314D5512B0D472D8DB0ADC287EE1968_13</vt:lpwstr>
  </property>
  <property fmtid="{D5CDD505-2E9C-101B-9397-08002B2CF9AE}" pid="4" name="KSOTemplateDocerSaveRecord">
    <vt:lpwstr>eyJoZGlkIjoiZDRmNDc5MDA4ZDI2OTA3ZTQ1MWVkYjAxNDVhNWZlNWMiLCJ1c2VySWQiOiI0ODU3MDYyOTgifQ==</vt:lpwstr>
  </property>
</Properties>
</file>