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8B504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证券代码：600688                                  公司简称：上海石化</w:t>
      </w:r>
    </w:p>
    <w:p w14:paraId="2D71FB51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6393BB45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中国石化上海石油化工股份有限公司</w:t>
      </w:r>
    </w:p>
    <w:p w14:paraId="5883EF2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投资者关系记录表</w:t>
      </w:r>
    </w:p>
    <w:tbl>
      <w:tblPr>
        <w:tblStyle w:val="2"/>
        <w:tblW w:w="8429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6"/>
        <w:gridCol w:w="7223"/>
      </w:tblGrid>
      <w:tr w14:paraId="75CEC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</w:trPr>
        <w:tc>
          <w:tcPr>
            <w:tcW w:w="1206" w:type="dxa"/>
            <w:shd w:val="clear" w:color="auto" w:fill="auto"/>
            <w:noWrap/>
            <w:vAlign w:val="center"/>
          </w:tcPr>
          <w:p w14:paraId="590A6F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投资者关系活动类别</w:t>
            </w:r>
          </w:p>
        </w:tc>
        <w:tc>
          <w:tcPr>
            <w:tcW w:w="7223" w:type="dxa"/>
            <w:shd w:val="clear" w:color="auto" w:fill="auto"/>
            <w:noWrap/>
            <w:vAlign w:val="center"/>
          </w:tcPr>
          <w:p w14:paraId="6A2ADC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√特定对象调研 ☐分析师会议 ☐媒体采访 ☐业绩说明会☐新闻发布会 ☐路演活动 ☐现场参观 ☐其他：__________</w:t>
            </w:r>
          </w:p>
        </w:tc>
      </w:tr>
      <w:tr w14:paraId="2EC70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</w:trPr>
        <w:tc>
          <w:tcPr>
            <w:tcW w:w="1206" w:type="dxa"/>
            <w:shd w:val="clear" w:color="auto" w:fill="auto"/>
            <w:noWrap/>
            <w:vAlign w:val="center"/>
          </w:tcPr>
          <w:p w14:paraId="1062E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参与单位名称</w:t>
            </w:r>
          </w:p>
        </w:tc>
        <w:tc>
          <w:tcPr>
            <w:tcW w:w="7223" w:type="dxa"/>
            <w:shd w:val="clear" w:color="auto" w:fill="auto"/>
            <w:noWrap/>
            <w:vAlign w:val="center"/>
          </w:tcPr>
          <w:p w14:paraId="5ABC6848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南方基金、中信建投</w:t>
            </w:r>
          </w:p>
        </w:tc>
      </w:tr>
      <w:tr w14:paraId="16860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206" w:type="dxa"/>
            <w:shd w:val="clear" w:color="auto" w:fill="auto"/>
            <w:noWrap/>
            <w:vAlign w:val="center"/>
          </w:tcPr>
          <w:p w14:paraId="40BDF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</w:t>
            </w:r>
          </w:p>
        </w:tc>
        <w:tc>
          <w:tcPr>
            <w:tcW w:w="7223" w:type="dxa"/>
            <w:shd w:val="clear" w:color="auto" w:fill="auto"/>
            <w:noWrap/>
            <w:vAlign w:val="center"/>
          </w:tcPr>
          <w:p w14:paraId="3AB82B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2026年9月1日10时00分至11时00分</w:t>
            </w:r>
          </w:p>
        </w:tc>
      </w:tr>
      <w:tr w14:paraId="6F9F0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206" w:type="dxa"/>
            <w:shd w:val="clear" w:color="auto" w:fill="auto"/>
            <w:noWrap/>
            <w:vAlign w:val="center"/>
          </w:tcPr>
          <w:p w14:paraId="221EFA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地点</w:t>
            </w:r>
          </w:p>
        </w:tc>
        <w:tc>
          <w:tcPr>
            <w:tcW w:w="7223" w:type="dxa"/>
            <w:shd w:val="clear" w:color="auto" w:fill="auto"/>
            <w:noWrap/>
            <w:vAlign w:val="center"/>
          </w:tcPr>
          <w:p w14:paraId="35E08DC8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上海石化公司大楼</w:t>
            </w:r>
          </w:p>
        </w:tc>
      </w:tr>
      <w:tr w14:paraId="6AC43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206" w:type="dxa"/>
            <w:shd w:val="clear" w:color="auto" w:fill="auto"/>
            <w:noWrap/>
            <w:vAlign w:val="center"/>
          </w:tcPr>
          <w:p w14:paraId="55261B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形式</w:t>
            </w:r>
          </w:p>
        </w:tc>
        <w:tc>
          <w:tcPr>
            <w:tcW w:w="7223" w:type="dxa"/>
            <w:shd w:val="clear" w:color="auto" w:fill="auto"/>
            <w:noWrap/>
            <w:vAlign w:val="center"/>
          </w:tcPr>
          <w:p w14:paraId="1B9B2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√现场调研 ☐线上会议 ☐电话会议 ☐其他__________</w:t>
            </w:r>
          </w:p>
        </w:tc>
      </w:tr>
      <w:tr w14:paraId="59011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</w:trPr>
        <w:tc>
          <w:tcPr>
            <w:tcW w:w="1206" w:type="dxa"/>
            <w:shd w:val="clear" w:color="auto" w:fill="auto"/>
            <w:noWrap/>
            <w:vAlign w:val="center"/>
          </w:tcPr>
          <w:p w14:paraId="1EC27A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上市公司接待人员姓名</w:t>
            </w:r>
          </w:p>
        </w:tc>
        <w:tc>
          <w:tcPr>
            <w:tcW w:w="7223" w:type="dxa"/>
            <w:shd w:val="clear" w:color="auto" w:fill="auto"/>
            <w:noWrap/>
            <w:vAlign w:val="center"/>
          </w:tcPr>
          <w:p w14:paraId="57568A6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董事会秘书：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刘刚</w:t>
            </w:r>
          </w:p>
          <w:p w14:paraId="6C2CED9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证券事务代表：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黄立新</w:t>
            </w:r>
          </w:p>
        </w:tc>
      </w:tr>
      <w:tr w14:paraId="3D9F9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5" w:hRule="atLeast"/>
        </w:trPr>
        <w:tc>
          <w:tcPr>
            <w:tcW w:w="1206" w:type="dxa"/>
            <w:shd w:val="clear" w:color="auto" w:fill="auto"/>
            <w:noWrap/>
            <w:vAlign w:val="center"/>
          </w:tcPr>
          <w:p w14:paraId="29E13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投资者关系活动主要内容介绍</w:t>
            </w:r>
          </w:p>
        </w:tc>
        <w:tc>
          <w:tcPr>
            <w:tcW w:w="7223" w:type="dxa"/>
            <w:shd w:val="clear" w:color="auto" w:fill="auto"/>
            <w:noWrap/>
            <w:vAlign w:val="center"/>
          </w:tcPr>
          <w:p w14:paraId="7E33D73A">
            <w:pP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2026H1乙烯产量+19.8%而 PX、树脂、合成纤维下降，如何理解？</w:t>
            </w:r>
          </w:p>
          <w:p w14:paraId="2F84C7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乙烯因效益不理想而限负荷运行，但同比增幅较大，主要因去年同期乙烯新区安排经营性停车。</w:t>
            </w:r>
          </w:p>
          <w:p w14:paraId="62CAC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0E562D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管理层对于下半年油价走势的预期及指引是什么？对公司生产成本有何影响？公司准备如何应对？</w:t>
            </w:r>
          </w:p>
          <w:p w14:paraId="12DC0F2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firstLine="440" w:firstLineChars="2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今年以来，国际油价主要受地缘局势主导，上半年呈现宽幅震荡走势。目前，冲突局势仍不明朗，很难准确预测。</w:t>
            </w:r>
          </w:p>
          <w:p w14:paraId="1055F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目前，我们了解到部分国际投行对2026年布伦特油价的预测平均值约为83美元/桶，预计后续也会动态调整。</w:t>
            </w:r>
          </w:p>
          <w:p w14:paraId="212A0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我们会持续关注国际油价走势，继续采取以下措施，尽量减少油价大幅涨跌带来的冲击：</w:t>
            </w:r>
          </w:p>
          <w:p w14:paraId="75A58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一是持续降低高风险地区油种依赖度，增加低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风险地区高性价比油种采购，通过比价机制选择最优油种组合；</w:t>
            </w:r>
          </w:p>
          <w:p w14:paraId="4899CF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二是延续重质化、劣质化路线，依托二程水运能力提升，扩大适配装置的重质原油加工量；</w:t>
            </w:r>
          </w:p>
          <w:p w14:paraId="0CCF1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三是优化装置加工方案，提高原油转化效率，减少低效益装置负荷；</w:t>
            </w:r>
          </w:p>
          <w:p w14:paraId="1FAC8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四是合理利用原油期货、期权等金融衍生品工具，锁定采购成本；</w:t>
            </w:r>
          </w:p>
          <w:p w14:paraId="476394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五是坚持“合理低库存”策略，实现库存运作收益，避免油价下跌带来的减值损失。</w:t>
            </w:r>
          </w:p>
          <w:p w14:paraId="44F46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BD36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3、热电提效升级改造项目何时全面投产？能带来多少效益</w:t>
            </w:r>
          </w:p>
          <w:p w14:paraId="0C1E97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热电提效升级改造项目可实现节能减污降碳、大量节煤，目前已成立工作专班推进，年内动工，预计2028年底完成，2029年起全面投产，发展前景向好。</w:t>
            </w:r>
          </w:p>
          <w:p w14:paraId="34278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5F8D7CA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上半年国际原油价格宽幅震荡，公司原油采购、原料库存周转采取了怎样的操作策略？</w:t>
            </w:r>
          </w:p>
          <w:p w14:paraId="3AFADB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上半年公司加强分析国际市场的变动趋势，通过预判贴水涨幅（如6月高贴水），减少高贴水月份的原油的采购比例及总量；通过增加南北美洲重劣质原油的采购和加工比例，以对冲部分中东原油的采购缺口。</w:t>
            </w:r>
          </w:p>
          <w:p w14:paraId="20A48B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公司从紧控制原油库存，平进平出，不赌市场，坚持按生产计划采购高性价比的原油。</w:t>
            </w:r>
          </w:p>
          <w:p w14:paraId="44F32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38D62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7D8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5" w:hRule="atLeast"/>
        </w:trPr>
        <w:tc>
          <w:tcPr>
            <w:tcW w:w="1206" w:type="dxa"/>
            <w:shd w:val="clear" w:color="auto" w:fill="auto"/>
            <w:noWrap/>
            <w:vAlign w:val="center"/>
          </w:tcPr>
          <w:p w14:paraId="2E256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关于本次活动是否涉及应披露重大信息的说明</w:t>
            </w:r>
          </w:p>
        </w:tc>
        <w:tc>
          <w:tcPr>
            <w:tcW w:w="7223" w:type="dxa"/>
            <w:shd w:val="clear" w:color="auto" w:fill="auto"/>
            <w:noWrap/>
            <w:vAlign w:val="center"/>
          </w:tcPr>
          <w:p w14:paraId="41F32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本次活动未涉及未公开重大信息。</w:t>
            </w:r>
          </w:p>
        </w:tc>
      </w:tr>
      <w:tr w14:paraId="5AE2B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206" w:type="dxa"/>
            <w:shd w:val="clear" w:color="auto" w:fill="auto"/>
            <w:noWrap/>
            <w:vAlign w:val="center"/>
          </w:tcPr>
          <w:p w14:paraId="758BD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附件清单（如有）</w:t>
            </w:r>
          </w:p>
        </w:tc>
        <w:tc>
          <w:tcPr>
            <w:tcW w:w="7223" w:type="dxa"/>
            <w:shd w:val="clear" w:color="auto" w:fill="auto"/>
            <w:noWrap/>
            <w:vAlign w:val="center"/>
          </w:tcPr>
          <w:p w14:paraId="5DE22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□演示 PPT □调研提纲 ☑其他：无</w:t>
            </w:r>
          </w:p>
        </w:tc>
      </w:tr>
      <w:tr w14:paraId="28D1F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206" w:type="dxa"/>
            <w:shd w:val="clear" w:color="auto" w:fill="auto"/>
            <w:noWrap/>
            <w:vAlign w:val="center"/>
          </w:tcPr>
          <w:p w14:paraId="0E3C47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记录日期</w:t>
            </w:r>
          </w:p>
        </w:tc>
        <w:tc>
          <w:tcPr>
            <w:tcW w:w="7223" w:type="dxa"/>
            <w:shd w:val="clear" w:color="auto" w:fill="auto"/>
            <w:noWrap/>
            <w:vAlign w:val="center"/>
          </w:tcPr>
          <w:p w14:paraId="0ECAD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2026年9月1日</w:t>
            </w:r>
          </w:p>
        </w:tc>
      </w:tr>
    </w:tbl>
    <w:p w14:paraId="2DB2AAF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55FEC3"/>
    <w:multiLevelType w:val="singleLevel"/>
    <w:tmpl w:val="9555FEC3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7C4117C3"/>
    <w:multiLevelType w:val="singleLevel"/>
    <w:tmpl w:val="7C4117C3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EB650B"/>
    <w:rsid w:val="0D474428"/>
    <w:rsid w:val="22EB650B"/>
    <w:rsid w:val="358249CE"/>
    <w:rsid w:val="4DAE7818"/>
    <w:rsid w:val="62522C3E"/>
    <w:rsid w:val="7826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2026-09-07T00:06:00Z</dcterms:created>
  <dc:creator>奚梦楠</dc:creator>
  <cp:lastModifiedBy>spcadmin</cp:lastModifiedBy>
  <dcterms:modified xsi:type="dcterms:W3CDTF">2026-09-09T07:30:29Z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163E950AC5B2479CAC37B111F3C044D3_13</vt:lpwstr>
  </property>
  <property fmtid="{D5CDD505-2E9C-101B-9397-08002B2CF9AE}" pid="4" name="KSOTemplateDocerSaveRecord">
    <vt:lpwstr>eyJoZGlkIjoiZDRmNDc5MDA4ZDI2OTA3ZTQ1MWVkYjAxNDVhNWZlNWMiLCJ1c2VySWQiOiI0ODU3MDYyOTgifQ==</vt:lpwstr>
  </property>
</Properties>
</file>