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A1837">
      <w:pPr>
        <w:ind w:firstLine="120" w:firstLineChars="50"/>
        <w:rPr>
          <w:b/>
          <w:bCs/>
          <w:iCs/>
          <w:color w:val="000000"/>
        </w:rPr>
      </w:pPr>
      <w:r>
        <w:rPr>
          <w:bCs/>
          <w:iCs/>
          <w:color w:val="000000"/>
        </w:rPr>
        <w:t>证券代码：6</w:t>
      </w:r>
      <w:r>
        <w:rPr>
          <w:rFonts w:hint="eastAsia"/>
          <w:bCs/>
          <w:iCs/>
          <w:color w:val="000000"/>
        </w:rPr>
        <w:t>05388</w:t>
      </w:r>
      <w:r>
        <w:rPr>
          <w:bCs/>
          <w:iCs/>
          <w:color w:val="000000"/>
        </w:rPr>
        <w:t xml:space="preserve">                               证券简称：</w:t>
      </w:r>
      <w:r>
        <w:rPr>
          <w:rFonts w:hint="eastAsia"/>
          <w:bCs/>
          <w:iCs/>
          <w:color w:val="000000"/>
        </w:rPr>
        <w:t>均瑶健康</w:t>
      </w:r>
    </w:p>
    <w:p w14:paraId="482FEC5E">
      <w:pPr>
        <w:spacing w:before="156" w:beforeLines="50" w:after="156" w:afterLines="50"/>
        <w:ind w:firstLine="0" w:firstLineChars="0"/>
        <w:jc w:val="center"/>
        <w:rPr>
          <w:b/>
          <w:bCs/>
          <w:iCs/>
          <w:color w:val="000000"/>
          <w:sz w:val="28"/>
          <w:szCs w:val="28"/>
          <w:highlight w:val="none"/>
        </w:rPr>
      </w:pPr>
      <w:r>
        <w:rPr>
          <w:rFonts w:hint="eastAsia"/>
          <w:b/>
          <w:bCs/>
          <w:iCs/>
          <w:color w:val="000000"/>
          <w:sz w:val="28"/>
          <w:szCs w:val="28"/>
        </w:rPr>
        <w:t>湖北均瑶大健康饮品</w:t>
      </w:r>
      <w:r>
        <w:rPr>
          <w:b/>
          <w:bCs/>
          <w:iCs/>
          <w:color w:val="000000"/>
          <w:sz w:val="28"/>
          <w:szCs w:val="28"/>
        </w:rPr>
        <w:t>股份有限公司投资</w:t>
      </w:r>
      <w:r>
        <w:rPr>
          <w:b/>
          <w:bCs/>
          <w:iCs/>
          <w:color w:val="000000"/>
          <w:sz w:val="28"/>
          <w:szCs w:val="28"/>
          <w:highlight w:val="none"/>
        </w:rPr>
        <w:t>者关系活动记录表</w:t>
      </w:r>
    </w:p>
    <w:p w14:paraId="718BABAF">
      <w:pPr>
        <w:spacing w:line="400" w:lineRule="exact"/>
        <w:ind w:firstLine="480"/>
        <w:rPr>
          <w:rFonts w:hint="default" w:eastAsia="宋体"/>
          <w:bCs/>
          <w:iCs/>
          <w:color w:val="000000"/>
          <w:highlight w:val="none"/>
          <w:lang w:val="en-US" w:eastAsia="zh-CN"/>
        </w:rPr>
      </w:pPr>
      <w:r>
        <w:rPr>
          <w:bCs/>
          <w:iCs/>
          <w:color w:val="000000"/>
          <w:highlight w:val="none"/>
        </w:rPr>
        <w:t xml:space="preserve">                                                 编号：202</w:t>
      </w:r>
      <w:r>
        <w:rPr>
          <w:rFonts w:hint="eastAsia"/>
          <w:bCs/>
          <w:iCs/>
          <w:color w:val="000000"/>
          <w:highlight w:val="none"/>
          <w:lang w:val="en-US" w:eastAsia="zh-CN"/>
        </w:rPr>
        <w:t>6</w:t>
      </w:r>
      <w:r>
        <w:rPr>
          <w:bCs/>
          <w:iCs/>
          <w:color w:val="000000"/>
          <w:highlight w:val="none"/>
        </w:rPr>
        <w:t>-0</w:t>
      </w:r>
      <w:r>
        <w:rPr>
          <w:rFonts w:hint="eastAsia"/>
          <w:bCs/>
          <w:iCs/>
          <w:color w:val="000000"/>
          <w:highlight w:val="none"/>
          <w:lang w:val="en-US" w:eastAsia="zh-CN"/>
        </w:rPr>
        <w:t>07</w:t>
      </w:r>
    </w:p>
    <w:tbl>
      <w:tblPr>
        <w:tblStyle w:val="11"/>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96"/>
        <w:gridCol w:w="6859"/>
      </w:tblGrid>
      <w:tr w14:paraId="32AA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2421B81C">
            <w:pPr>
              <w:ind w:firstLine="0" w:firstLineChars="0"/>
              <w:rPr>
                <w:bCs/>
                <w:iCs/>
                <w:color w:val="000000"/>
                <w:highlight w:val="none"/>
              </w:rPr>
            </w:pPr>
          </w:p>
          <w:p w14:paraId="2CC08151">
            <w:pPr>
              <w:ind w:firstLine="0" w:firstLineChars="0"/>
              <w:rPr>
                <w:bCs/>
                <w:iCs/>
                <w:color w:val="000000"/>
                <w:highlight w:val="none"/>
              </w:rPr>
            </w:pPr>
          </w:p>
        </w:tc>
        <w:tc>
          <w:tcPr>
            <w:tcW w:w="6859" w:type="dxa"/>
            <w:tcBorders>
              <w:top w:val="single" w:color="auto" w:sz="4" w:space="0"/>
              <w:left w:val="single" w:color="auto" w:sz="4" w:space="0"/>
              <w:bottom w:val="single" w:color="auto" w:sz="4" w:space="0"/>
              <w:right w:val="single" w:color="auto" w:sz="4" w:space="0"/>
            </w:tcBorders>
            <w:shd w:val="clear" w:color="auto" w:fill="auto"/>
          </w:tcPr>
          <w:p w14:paraId="3CA0BE79">
            <w:pPr>
              <w:spacing w:line="480" w:lineRule="atLeast"/>
              <w:ind w:firstLine="0" w:firstLineChars="0"/>
              <w:rPr>
                <w:bCs/>
                <w:iCs/>
                <w:color w:val="000000"/>
                <w:highlight w:val="none"/>
              </w:rPr>
            </w:pPr>
            <w:r>
              <w:rPr>
                <w:bCs/>
                <w:iCs/>
                <w:color w:val="000000"/>
                <w:highlight w:val="none"/>
              </w:rPr>
              <w:sym w:font="Wingdings 2" w:char="00A3"/>
            </w:r>
            <w:r>
              <w:rPr>
                <w:bCs/>
                <w:iCs/>
                <w:color w:val="000000"/>
                <w:highlight w:val="none"/>
              </w:rPr>
              <w:t xml:space="preserve"> </w:t>
            </w:r>
            <w:r>
              <w:rPr>
                <w:highlight w:val="none"/>
              </w:rPr>
              <w:t xml:space="preserve">特定对象调研        </w:t>
            </w:r>
            <w:r>
              <w:rPr>
                <w:bCs/>
                <w:iCs/>
                <w:color w:val="000000"/>
                <w:highlight w:val="none"/>
              </w:rPr>
              <w:sym w:font="Wingdings 2" w:char="00A3"/>
            </w:r>
            <w:r>
              <w:rPr>
                <w:bCs/>
                <w:iCs/>
                <w:color w:val="000000"/>
                <w:highlight w:val="none"/>
              </w:rPr>
              <w:t xml:space="preserve"> </w:t>
            </w:r>
            <w:r>
              <w:rPr>
                <w:highlight w:val="none"/>
              </w:rPr>
              <w:t>分析师会议</w:t>
            </w:r>
          </w:p>
          <w:p w14:paraId="7DB7F98D">
            <w:pPr>
              <w:spacing w:line="480" w:lineRule="atLeast"/>
              <w:ind w:firstLine="0" w:firstLineChars="0"/>
              <w:rPr>
                <w:bCs/>
                <w:iCs/>
                <w:color w:val="000000"/>
                <w:highlight w:val="none"/>
              </w:rPr>
            </w:pPr>
            <w:r>
              <w:rPr>
                <w:bCs/>
                <w:iCs/>
                <w:color w:val="000000"/>
                <w:highlight w:val="none"/>
              </w:rPr>
              <w:sym w:font="Wingdings 2" w:char="00A3"/>
            </w:r>
            <w:r>
              <w:rPr>
                <w:bCs/>
                <w:iCs/>
                <w:color w:val="000000"/>
                <w:highlight w:val="none"/>
              </w:rPr>
              <w:t xml:space="preserve"> </w:t>
            </w:r>
            <w:r>
              <w:rPr>
                <w:highlight w:val="none"/>
              </w:rPr>
              <w:t xml:space="preserve">媒体采访            </w:t>
            </w:r>
            <w:r>
              <w:rPr>
                <w:bCs/>
                <w:iCs/>
                <w:color w:val="000000"/>
                <w:highlight w:val="none"/>
              </w:rPr>
              <w:sym w:font="Wingdings 2" w:char="0052"/>
            </w:r>
            <w:r>
              <w:rPr>
                <w:highlight w:val="none"/>
              </w:rPr>
              <w:t>业绩说明会</w:t>
            </w:r>
          </w:p>
          <w:p w14:paraId="15ED8F03">
            <w:pPr>
              <w:spacing w:line="480" w:lineRule="atLeast"/>
              <w:ind w:firstLine="0" w:firstLineChars="0"/>
              <w:rPr>
                <w:bCs/>
                <w:iCs/>
                <w:color w:val="000000"/>
                <w:highlight w:val="none"/>
              </w:rPr>
            </w:pPr>
            <w:r>
              <w:rPr>
                <w:bCs/>
                <w:iCs/>
                <w:color w:val="000000"/>
                <w:highlight w:val="none"/>
              </w:rPr>
              <w:sym w:font="Wingdings 2" w:char="00A3"/>
            </w:r>
            <w:r>
              <w:rPr>
                <w:bCs/>
                <w:iCs/>
                <w:color w:val="000000"/>
                <w:highlight w:val="none"/>
              </w:rPr>
              <w:t xml:space="preserve"> </w:t>
            </w:r>
            <w:r>
              <w:rPr>
                <w:highlight w:val="none"/>
              </w:rPr>
              <w:t xml:space="preserve">新闻发布会          </w:t>
            </w:r>
            <w:r>
              <w:rPr>
                <w:bCs/>
                <w:iCs/>
                <w:color w:val="000000"/>
                <w:highlight w:val="none"/>
              </w:rPr>
              <w:sym w:font="Wingdings 2" w:char="00A3"/>
            </w:r>
            <w:r>
              <w:rPr>
                <w:bCs/>
                <w:iCs/>
                <w:color w:val="000000"/>
                <w:highlight w:val="none"/>
              </w:rPr>
              <w:t xml:space="preserve"> </w:t>
            </w:r>
            <w:r>
              <w:rPr>
                <w:highlight w:val="none"/>
              </w:rPr>
              <w:t>路演活动</w:t>
            </w:r>
          </w:p>
          <w:p w14:paraId="55941212">
            <w:pPr>
              <w:tabs>
                <w:tab w:val="left" w:pos="3045"/>
                <w:tab w:val="center" w:pos="3199"/>
              </w:tabs>
              <w:spacing w:line="480" w:lineRule="atLeast"/>
              <w:ind w:firstLine="0" w:firstLineChars="0"/>
              <w:rPr>
                <w:bCs/>
                <w:iCs/>
                <w:color w:val="000000"/>
                <w:highlight w:val="none"/>
              </w:rPr>
            </w:pPr>
            <w:r>
              <w:rPr>
                <w:bCs/>
                <w:iCs/>
                <w:color w:val="000000"/>
                <w:highlight w:val="none"/>
              </w:rPr>
              <w:sym w:font="Wingdings 2" w:char="00A3"/>
            </w:r>
            <w:r>
              <w:rPr>
                <w:bCs/>
                <w:iCs/>
                <w:color w:val="000000"/>
                <w:highlight w:val="none"/>
              </w:rPr>
              <w:t xml:space="preserve"> </w:t>
            </w:r>
            <w:r>
              <w:rPr>
                <w:highlight w:val="none"/>
              </w:rPr>
              <w:t>现场参观</w:t>
            </w:r>
          </w:p>
          <w:p w14:paraId="2C862E48">
            <w:pPr>
              <w:tabs>
                <w:tab w:val="center" w:pos="3199"/>
              </w:tabs>
              <w:spacing w:line="480" w:lineRule="atLeast"/>
              <w:ind w:firstLine="0" w:firstLineChars="0"/>
              <w:rPr>
                <w:bCs/>
                <w:iCs/>
                <w:color w:val="000000"/>
                <w:highlight w:val="none"/>
              </w:rPr>
            </w:pPr>
            <w:r>
              <w:rPr>
                <w:bCs/>
                <w:iCs/>
                <w:color w:val="000000"/>
                <w:highlight w:val="none"/>
              </w:rPr>
              <w:sym w:font="Wingdings 2" w:char="00A3"/>
            </w:r>
            <w:r>
              <w:rPr>
                <w:bCs/>
                <w:iCs/>
                <w:color w:val="000000"/>
                <w:highlight w:val="none"/>
              </w:rPr>
              <w:t xml:space="preserve"> </w:t>
            </w:r>
            <w:r>
              <w:rPr>
                <w:highlight w:val="none"/>
              </w:rPr>
              <w:t>其他（</w:t>
            </w:r>
            <w:r>
              <w:rPr>
                <w:rFonts w:hint="eastAsia" w:ascii="宋体" w:hAnsi="宋体"/>
                <w:highlight w:val="none"/>
                <w:u w:val="single"/>
              </w:rPr>
              <w:t>请文字说明其他活动内容</w:t>
            </w:r>
            <w:r>
              <w:rPr>
                <w:highlight w:val="none"/>
              </w:rPr>
              <w:t>）</w:t>
            </w:r>
          </w:p>
        </w:tc>
      </w:tr>
      <w:tr w14:paraId="43D9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4ABEAF28">
            <w:pPr>
              <w:ind w:firstLine="0" w:firstLineChars="0"/>
              <w:rPr>
                <w:bCs/>
                <w:iCs/>
                <w:color w:val="000000"/>
                <w:highlight w:val="none"/>
              </w:rPr>
            </w:pPr>
            <w:r>
              <w:rPr>
                <w:rFonts w:hint="eastAsia"/>
                <w:bCs/>
                <w:iCs/>
                <w:color w:val="000000"/>
                <w:highlight w:val="none"/>
              </w:rPr>
              <w:t>参与单位名称及人员姓名</w:t>
            </w:r>
          </w:p>
        </w:tc>
        <w:tc>
          <w:tcPr>
            <w:tcW w:w="6859" w:type="dxa"/>
            <w:tcBorders>
              <w:top w:val="single" w:color="auto" w:sz="4" w:space="0"/>
              <w:left w:val="single" w:color="auto" w:sz="4" w:space="0"/>
              <w:bottom w:val="single" w:color="auto" w:sz="4" w:space="0"/>
              <w:right w:val="single" w:color="auto" w:sz="4" w:space="0"/>
            </w:tcBorders>
            <w:shd w:val="clear" w:color="auto" w:fill="auto"/>
            <w:vAlign w:val="center"/>
          </w:tcPr>
          <w:p w14:paraId="2ADB1D0B">
            <w:pPr>
              <w:ind w:left="0" w:leftChars="0" w:firstLine="0" w:firstLineChars="0"/>
              <w:rPr>
                <w:rFonts w:hint="default" w:eastAsia="宋体"/>
                <w:bCs/>
                <w:iCs/>
                <w:color w:val="000000"/>
                <w:highlight w:val="none"/>
                <w:lang w:val="en-US" w:eastAsia="zh-CN"/>
              </w:rPr>
            </w:pPr>
            <w:r>
              <w:rPr>
                <w:rFonts w:hint="eastAsia"/>
                <w:bCs/>
                <w:iCs/>
                <w:color w:val="000000"/>
                <w:highlight w:val="none"/>
                <w:lang w:val="en-US" w:eastAsia="zh-CN"/>
              </w:rPr>
              <w:t>全体投资者</w:t>
            </w:r>
          </w:p>
        </w:tc>
      </w:tr>
      <w:tr w14:paraId="23E0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1C4947F6">
            <w:pPr>
              <w:ind w:firstLine="0" w:firstLineChars="0"/>
              <w:rPr>
                <w:bCs/>
                <w:iCs/>
                <w:color w:val="000000"/>
                <w:highlight w:val="none"/>
              </w:rPr>
            </w:pPr>
            <w:r>
              <w:rPr>
                <w:bCs/>
                <w:iCs/>
                <w:color w:val="000000"/>
                <w:highlight w:val="none"/>
              </w:rPr>
              <w:t>时间</w:t>
            </w:r>
          </w:p>
        </w:tc>
        <w:tc>
          <w:tcPr>
            <w:tcW w:w="6859" w:type="dxa"/>
            <w:tcBorders>
              <w:top w:val="single" w:color="auto" w:sz="4" w:space="0"/>
              <w:left w:val="single" w:color="auto" w:sz="4" w:space="0"/>
              <w:bottom w:val="single" w:color="auto" w:sz="4" w:space="0"/>
              <w:right w:val="single" w:color="auto" w:sz="4" w:space="0"/>
            </w:tcBorders>
            <w:shd w:val="clear" w:color="auto" w:fill="auto"/>
            <w:vAlign w:val="center"/>
          </w:tcPr>
          <w:p w14:paraId="425A78FD">
            <w:pPr>
              <w:spacing w:line="480" w:lineRule="atLeast"/>
              <w:ind w:firstLine="0" w:firstLineChars="0"/>
              <w:rPr>
                <w:bCs/>
                <w:iCs/>
                <w:color w:val="000000"/>
                <w:highlight w:val="none"/>
              </w:rPr>
            </w:pPr>
            <w:r>
              <w:rPr>
                <w:bCs/>
                <w:iCs/>
                <w:color w:val="000000"/>
                <w:highlight w:val="none"/>
              </w:rPr>
              <w:t>202</w:t>
            </w:r>
            <w:r>
              <w:rPr>
                <w:rFonts w:hint="eastAsia"/>
                <w:bCs/>
                <w:iCs/>
                <w:color w:val="000000"/>
                <w:highlight w:val="none"/>
                <w:lang w:val="en-US" w:eastAsia="zh-CN"/>
              </w:rPr>
              <w:t>6</w:t>
            </w:r>
            <w:r>
              <w:rPr>
                <w:bCs/>
                <w:iCs/>
                <w:color w:val="000000"/>
                <w:highlight w:val="none"/>
              </w:rPr>
              <w:t>年</w:t>
            </w:r>
            <w:r>
              <w:rPr>
                <w:rFonts w:hint="eastAsia"/>
                <w:bCs/>
                <w:iCs/>
                <w:color w:val="000000"/>
                <w:highlight w:val="none"/>
                <w:lang w:val="en-US" w:eastAsia="zh-CN"/>
              </w:rPr>
              <w:t>9</w:t>
            </w:r>
            <w:r>
              <w:rPr>
                <w:bCs/>
                <w:iCs/>
                <w:color w:val="000000"/>
                <w:highlight w:val="none"/>
                <w:shd w:val="clear"/>
              </w:rPr>
              <w:t>月</w:t>
            </w:r>
            <w:r>
              <w:rPr>
                <w:rFonts w:hint="eastAsia"/>
                <w:bCs/>
                <w:iCs/>
                <w:color w:val="000000"/>
                <w:highlight w:val="none"/>
                <w:shd w:val="clear"/>
                <w:lang w:val="en-US" w:eastAsia="zh-CN"/>
              </w:rPr>
              <w:t>9日</w:t>
            </w:r>
            <w:r>
              <w:rPr>
                <w:rFonts w:hint="eastAsia" w:ascii="宋体" w:hAnsi="宋体" w:eastAsia="宋体" w:cs="宋体"/>
                <w:bCs/>
                <w:iCs/>
                <w:color w:val="000000"/>
                <w:sz w:val="24"/>
                <w:highlight w:val="none"/>
              </w:rPr>
              <w:t>1</w:t>
            </w:r>
            <w:r>
              <w:rPr>
                <w:rFonts w:hint="eastAsia" w:ascii="宋体" w:hAnsi="宋体" w:cs="宋体"/>
                <w:bCs/>
                <w:iCs/>
                <w:color w:val="000000"/>
                <w:sz w:val="24"/>
                <w:highlight w:val="none"/>
                <w:lang w:val="en-US" w:eastAsia="zh-CN"/>
              </w:rPr>
              <w:t>3</w:t>
            </w:r>
            <w:r>
              <w:rPr>
                <w:rFonts w:hint="eastAsia" w:ascii="宋体" w:hAnsi="宋体" w:eastAsia="宋体" w:cs="宋体"/>
                <w:bCs/>
                <w:iCs/>
                <w:color w:val="000000"/>
                <w:sz w:val="24"/>
                <w:highlight w:val="none"/>
              </w:rPr>
              <w:t>:00-1</w:t>
            </w:r>
            <w:r>
              <w:rPr>
                <w:rFonts w:hint="eastAsia" w:ascii="宋体" w:hAnsi="宋体" w:cs="宋体"/>
                <w:bCs/>
                <w:iCs/>
                <w:color w:val="000000"/>
                <w:sz w:val="24"/>
                <w:highlight w:val="none"/>
                <w:lang w:val="en-US" w:eastAsia="zh-CN"/>
              </w:rPr>
              <w:t>4</w:t>
            </w:r>
            <w:r>
              <w:rPr>
                <w:rFonts w:hint="eastAsia" w:ascii="宋体" w:hAnsi="宋体" w:eastAsia="宋体" w:cs="宋体"/>
                <w:bCs/>
                <w:iCs/>
                <w:color w:val="000000"/>
                <w:sz w:val="24"/>
                <w:highlight w:val="none"/>
              </w:rPr>
              <w:t>:00</w:t>
            </w:r>
          </w:p>
        </w:tc>
      </w:tr>
      <w:tr w14:paraId="6EAC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73BC08EF">
            <w:pPr>
              <w:ind w:firstLine="0" w:firstLineChars="0"/>
              <w:rPr>
                <w:bCs/>
                <w:iCs/>
                <w:color w:val="000000"/>
                <w:highlight w:val="none"/>
              </w:rPr>
            </w:pPr>
            <w:r>
              <w:rPr>
                <w:bCs/>
                <w:iCs/>
                <w:color w:val="000000"/>
                <w:highlight w:val="none"/>
              </w:rPr>
              <w:t>地点</w:t>
            </w:r>
          </w:p>
        </w:tc>
        <w:tc>
          <w:tcPr>
            <w:tcW w:w="6859" w:type="dxa"/>
            <w:tcBorders>
              <w:top w:val="single" w:color="auto" w:sz="4" w:space="0"/>
              <w:left w:val="single" w:color="auto" w:sz="4" w:space="0"/>
              <w:bottom w:val="single" w:color="auto" w:sz="4" w:space="0"/>
              <w:right w:val="single" w:color="auto" w:sz="4" w:space="0"/>
            </w:tcBorders>
            <w:shd w:val="clear" w:color="auto" w:fill="auto"/>
            <w:vAlign w:val="center"/>
          </w:tcPr>
          <w:p w14:paraId="1637CD03">
            <w:pPr>
              <w:keepNext w:val="0"/>
              <w:keepLines w:val="0"/>
              <w:pageBreakBefore w:val="0"/>
              <w:widowControl w:val="0"/>
              <w:kinsoku/>
              <w:wordWrap w:val="0"/>
              <w:overflowPunct/>
              <w:topLinePunct w:val="0"/>
              <w:autoSpaceDE/>
              <w:autoSpaceDN/>
              <w:bidi w:val="0"/>
              <w:adjustRightInd/>
              <w:snapToGrid/>
              <w:spacing w:line="480" w:lineRule="atLeast"/>
              <w:ind w:firstLine="0" w:firstLineChars="0"/>
              <w:textAlignment w:val="auto"/>
              <w:rPr>
                <w:rFonts w:hint="eastAsia" w:ascii="宋体" w:hAnsi="宋体" w:eastAsia="宋体" w:cs="宋体"/>
                <w:b w:val="0"/>
                <w:bCs w:val="0"/>
                <w:color w:val="000000"/>
                <w:sz w:val="24"/>
                <w:szCs w:val="24"/>
                <w:highlight w:val="none"/>
                <w:lang w:val="en-US" w:eastAsia="zh-CN"/>
              </w:rPr>
            </w:pPr>
            <w:r>
              <w:rPr>
                <w:rFonts w:ascii="宋体" w:hAnsi="宋体" w:eastAsia="宋体" w:cs="宋体"/>
                <w:b w:val="0"/>
                <w:bCs w:val="0"/>
                <w:color w:val="000000"/>
                <w:sz w:val="24"/>
                <w:szCs w:val="24"/>
                <w:highlight w:val="none"/>
              </w:rPr>
              <w:t>上证路演中心</w:t>
            </w:r>
            <w:r>
              <w:rPr>
                <w:rFonts w:ascii="宋体" w:hAnsi="宋体" w:eastAsia="宋体" w:cs="宋体"/>
                <w:b w:val="0"/>
                <w:bCs w:val="0"/>
                <w:color w:val="auto"/>
                <w:sz w:val="24"/>
                <w:szCs w:val="24"/>
                <w:highlight w:val="none"/>
              </w:rPr>
              <w:t>：</w:t>
            </w:r>
            <w:r>
              <w:rPr>
                <w:rFonts w:hint="eastAsia" w:ascii="宋体" w:hAnsi="宋体" w:cs="宋体"/>
                <w:b w:val="0"/>
                <w:bCs w:val="0"/>
                <w:color w:val="auto"/>
                <w:sz w:val="24"/>
                <w:szCs w:val="24"/>
                <w:highlight w:val="none"/>
                <w:lang w:val="en-US" w:eastAsia="zh-CN"/>
              </w:rPr>
              <w:t>https://roadshow.sseinfo.com/</w:t>
            </w:r>
          </w:p>
        </w:tc>
      </w:tr>
      <w:tr w14:paraId="3193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5D4BE650">
            <w:pPr>
              <w:ind w:firstLine="0" w:firstLineChars="0"/>
              <w:rPr>
                <w:bCs/>
                <w:iCs/>
                <w:color w:val="000000"/>
                <w:highlight w:val="none"/>
              </w:rPr>
            </w:pPr>
            <w:r>
              <w:rPr>
                <w:bCs/>
                <w:iCs/>
                <w:color w:val="000000"/>
                <w:highlight w:val="none"/>
              </w:rPr>
              <w:t>上市公司接待人员姓名</w:t>
            </w:r>
          </w:p>
        </w:tc>
        <w:tc>
          <w:tcPr>
            <w:tcW w:w="6859" w:type="dxa"/>
            <w:tcBorders>
              <w:top w:val="single" w:color="auto" w:sz="4" w:space="0"/>
              <w:left w:val="single" w:color="auto" w:sz="4" w:space="0"/>
              <w:bottom w:val="single" w:color="auto" w:sz="4" w:space="0"/>
              <w:right w:val="single" w:color="auto" w:sz="4" w:space="0"/>
            </w:tcBorders>
            <w:shd w:val="clear" w:color="auto" w:fill="auto"/>
            <w:vAlign w:val="center"/>
          </w:tcPr>
          <w:p w14:paraId="2E5CCB86">
            <w:pPr>
              <w:spacing w:line="480" w:lineRule="atLeast"/>
              <w:ind w:firstLine="0" w:firstLineChars="0"/>
              <w:rPr>
                <w:rFonts w:hint="eastAsia" w:ascii="TimesNewRomanPSMT" w:hAnsi="TimesNewRomanPSMT" w:eastAsia="宋体" w:cs="TimesNewRomanPSMT"/>
                <w:b w:val="0"/>
                <w:bCs w:val="0"/>
                <w:color w:val="000000"/>
                <w:sz w:val="24"/>
                <w:szCs w:val="24"/>
                <w:highlight w:val="none"/>
                <w:lang w:eastAsia="zh-CN"/>
              </w:rPr>
            </w:pPr>
            <w:r>
              <w:rPr>
                <w:rFonts w:ascii="宋体" w:hAnsi="宋体" w:eastAsia="宋体" w:cs="宋体"/>
                <w:b w:val="0"/>
                <w:bCs w:val="0"/>
                <w:color w:val="000000"/>
                <w:sz w:val="24"/>
                <w:szCs w:val="24"/>
                <w:highlight w:val="none"/>
              </w:rPr>
              <w:t>董事长：</w:t>
            </w:r>
            <w:r>
              <w:rPr>
                <w:rFonts w:hint="eastAsia" w:ascii="宋体" w:hAnsi="宋体" w:cs="宋体"/>
                <w:b w:val="0"/>
                <w:bCs w:val="0"/>
                <w:color w:val="000000"/>
                <w:sz w:val="24"/>
                <w:szCs w:val="24"/>
                <w:highlight w:val="none"/>
                <w:lang w:val="en-US" w:eastAsia="zh-CN"/>
              </w:rPr>
              <w:t>王瀚</w:t>
            </w:r>
          </w:p>
          <w:p w14:paraId="6843E0E8">
            <w:pPr>
              <w:spacing w:line="480" w:lineRule="atLeast"/>
              <w:ind w:firstLine="0" w:firstLineChars="0"/>
              <w:rPr>
                <w:rFonts w:hint="default" w:ascii="TimesNewRomanPSMT" w:hAnsi="TimesNewRomanPSMT" w:eastAsia="TimesNewRomanPSMT" w:cs="TimesNewRomanPSMT"/>
                <w:b w:val="0"/>
                <w:bCs w:val="0"/>
                <w:color w:val="000000"/>
                <w:sz w:val="24"/>
                <w:szCs w:val="24"/>
                <w:highlight w:val="none"/>
              </w:rPr>
            </w:pPr>
            <w:r>
              <w:rPr>
                <w:rFonts w:ascii="宋体" w:hAnsi="宋体" w:eastAsia="宋体" w:cs="宋体"/>
                <w:b w:val="0"/>
                <w:bCs w:val="0"/>
                <w:color w:val="000000"/>
                <w:sz w:val="24"/>
                <w:szCs w:val="24"/>
                <w:highlight w:val="none"/>
              </w:rPr>
              <w:t>总经理：</w:t>
            </w:r>
            <w:r>
              <w:rPr>
                <w:rFonts w:hint="eastAsia" w:ascii="宋体" w:hAnsi="宋体" w:cs="宋体"/>
                <w:b w:val="0"/>
                <w:bCs w:val="0"/>
                <w:color w:val="000000"/>
                <w:sz w:val="24"/>
                <w:szCs w:val="24"/>
                <w:highlight w:val="none"/>
                <w:lang w:val="en-US" w:eastAsia="zh-CN"/>
              </w:rPr>
              <w:t>王精龙</w:t>
            </w:r>
            <w:r>
              <w:rPr>
                <w:rFonts w:hint="default" w:ascii="TimesNewRomanPSMT" w:hAnsi="TimesNewRomanPSMT" w:eastAsia="TimesNewRomanPSMT" w:cs="TimesNewRomanPSMT"/>
                <w:b w:val="0"/>
                <w:bCs w:val="0"/>
                <w:color w:val="000000"/>
                <w:sz w:val="24"/>
                <w:szCs w:val="24"/>
                <w:highlight w:val="none"/>
              </w:rPr>
              <w:t xml:space="preserve"> </w:t>
            </w:r>
          </w:p>
          <w:p w14:paraId="7434D832">
            <w:pPr>
              <w:spacing w:line="480" w:lineRule="atLeast"/>
              <w:ind w:firstLine="0" w:firstLineChars="0"/>
              <w:rPr>
                <w:rFonts w:hint="default" w:ascii="TimesNewRomanPSMT" w:hAnsi="TimesNewRomanPSMT" w:eastAsia="TimesNewRomanPSMT" w:cs="TimesNewRomanPSMT"/>
                <w:b w:val="0"/>
                <w:bCs w:val="0"/>
                <w:color w:val="000000"/>
                <w:sz w:val="24"/>
                <w:szCs w:val="24"/>
                <w:highlight w:val="none"/>
              </w:rPr>
            </w:pPr>
            <w:r>
              <w:rPr>
                <w:rFonts w:ascii="宋体" w:hAnsi="宋体" w:eastAsia="宋体" w:cs="宋体"/>
                <w:b w:val="0"/>
                <w:bCs w:val="0"/>
                <w:color w:val="000000"/>
                <w:sz w:val="24"/>
                <w:szCs w:val="24"/>
                <w:highlight w:val="none"/>
              </w:rPr>
              <w:t>独立董事：甘丽凝</w:t>
            </w:r>
            <w:r>
              <w:rPr>
                <w:rFonts w:hint="default" w:ascii="TimesNewRomanPSMT" w:hAnsi="TimesNewRomanPSMT" w:eastAsia="TimesNewRomanPSMT" w:cs="TimesNewRomanPSMT"/>
                <w:b w:val="0"/>
                <w:bCs w:val="0"/>
                <w:color w:val="000000"/>
                <w:sz w:val="24"/>
                <w:szCs w:val="24"/>
                <w:highlight w:val="none"/>
              </w:rPr>
              <w:t xml:space="preserve"> </w:t>
            </w:r>
          </w:p>
          <w:p w14:paraId="3CE14FEB">
            <w:pPr>
              <w:spacing w:line="480" w:lineRule="atLeast"/>
              <w:ind w:firstLine="0" w:firstLineChars="0"/>
              <w:rPr>
                <w:rFonts w:hint="default" w:ascii="TimesNewRomanPSMT" w:hAnsi="TimesNewRomanPSMT" w:eastAsia="TimesNewRomanPSMT" w:cs="TimesNewRomanPSMT"/>
                <w:b w:val="0"/>
                <w:bCs w:val="0"/>
                <w:color w:val="000000"/>
                <w:sz w:val="24"/>
                <w:szCs w:val="24"/>
                <w:highlight w:val="none"/>
              </w:rPr>
            </w:pPr>
            <w:r>
              <w:rPr>
                <w:rFonts w:ascii="宋体" w:hAnsi="宋体" w:eastAsia="宋体" w:cs="宋体"/>
                <w:b w:val="0"/>
                <w:bCs w:val="0"/>
                <w:color w:val="000000"/>
                <w:sz w:val="24"/>
                <w:szCs w:val="24"/>
                <w:highlight w:val="none"/>
              </w:rPr>
              <w:t>独立董事：罗劲</w:t>
            </w:r>
            <w:r>
              <w:rPr>
                <w:rFonts w:hint="default" w:ascii="TimesNewRomanPSMT" w:hAnsi="TimesNewRomanPSMT" w:eastAsia="TimesNewRomanPSMT" w:cs="TimesNewRomanPSMT"/>
                <w:b w:val="0"/>
                <w:bCs w:val="0"/>
                <w:color w:val="000000"/>
                <w:sz w:val="24"/>
                <w:szCs w:val="24"/>
                <w:highlight w:val="none"/>
              </w:rPr>
              <w:t xml:space="preserve"> </w:t>
            </w:r>
          </w:p>
          <w:p w14:paraId="527893E3">
            <w:pPr>
              <w:spacing w:line="480" w:lineRule="atLeast"/>
              <w:ind w:firstLine="0" w:firstLineChars="0"/>
              <w:rPr>
                <w:rFonts w:hint="default" w:ascii="TimesNewRomanPSMT" w:hAnsi="TimesNewRomanPSMT" w:eastAsia="TimesNewRomanPSMT" w:cs="TimesNewRomanPSMT"/>
                <w:b w:val="0"/>
                <w:bCs w:val="0"/>
                <w:color w:val="000000"/>
                <w:sz w:val="24"/>
                <w:szCs w:val="24"/>
                <w:highlight w:val="none"/>
              </w:rPr>
            </w:pPr>
            <w:r>
              <w:rPr>
                <w:rFonts w:ascii="宋体" w:hAnsi="宋体" w:eastAsia="宋体" w:cs="宋体"/>
                <w:b w:val="0"/>
                <w:bCs w:val="0"/>
                <w:color w:val="000000"/>
                <w:sz w:val="24"/>
                <w:szCs w:val="24"/>
                <w:highlight w:val="none"/>
              </w:rPr>
              <w:t>独立董事：苏世彦</w:t>
            </w:r>
            <w:r>
              <w:rPr>
                <w:rFonts w:hint="default" w:ascii="TimesNewRomanPSMT" w:hAnsi="TimesNewRomanPSMT" w:eastAsia="TimesNewRomanPSMT" w:cs="TimesNewRomanPSMT"/>
                <w:b w:val="0"/>
                <w:bCs w:val="0"/>
                <w:color w:val="000000"/>
                <w:sz w:val="24"/>
                <w:szCs w:val="24"/>
                <w:highlight w:val="none"/>
              </w:rPr>
              <w:t xml:space="preserve"> </w:t>
            </w:r>
          </w:p>
          <w:p w14:paraId="1FB72E75">
            <w:pPr>
              <w:spacing w:line="480" w:lineRule="atLeast"/>
              <w:ind w:firstLine="0" w:firstLineChars="0"/>
              <w:rPr>
                <w:rFonts w:hint="default" w:ascii="TimesNewRomanPSMT" w:hAnsi="TimesNewRomanPSMT" w:eastAsia="TimesNewRomanPSMT" w:cs="TimesNewRomanPSMT"/>
                <w:b w:val="0"/>
                <w:bCs w:val="0"/>
                <w:color w:val="000000"/>
                <w:sz w:val="24"/>
                <w:szCs w:val="24"/>
                <w:highlight w:val="none"/>
              </w:rPr>
            </w:pPr>
            <w:r>
              <w:rPr>
                <w:rFonts w:ascii="宋体" w:hAnsi="宋体" w:eastAsia="宋体" w:cs="宋体"/>
                <w:b w:val="0"/>
                <w:bCs w:val="0"/>
                <w:color w:val="000000"/>
                <w:sz w:val="24"/>
                <w:szCs w:val="24"/>
                <w:highlight w:val="none"/>
              </w:rPr>
              <w:t>财务</w:t>
            </w:r>
            <w:r>
              <w:rPr>
                <w:rFonts w:hint="eastAsia" w:ascii="宋体" w:hAnsi="宋体" w:cs="宋体"/>
                <w:b w:val="0"/>
                <w:bCs w:val="0"/>
                <w:color w:val="000000"/>
                <w:sz w:val="24"/>
                <w:szCs w:val="24"/>
                <w:highlight w:val="none"/>
                <w:lang w:val="en-US" w:eastAsia="zh-CN"/>
              </w:rPr>
              <w:t>负责人</w:t>
            </w:r>
            <w:r>
              <w:rPr>
                <w:rFonts w:ascii="宋体" w:hAnsi="宋体" w:eastAsia="宋体" w:cs="宋体"/>
                <w:b w:val="0"/>
                <w:bCs w:val="0"/>
                <w:color w:val="000000"/>
                <w:sz w:val="24"/>
                <w:szCs w:val="24"/>
                <w:highlight w:val="none"/>
              </w:rPr>
              <w:t>：崔鹏</w:t>
            </w:r>
            <w:r>
              <w:rPr>
                <w:rFonts w:hint="default" w:ascii="TimesNewRomanPSMT" w:hAnsi="TimesNewRomanPSMT" w:eastAsia="TimesNewRomanPSMT" w:cs="TimesNewRomanPSMT"/>
                <w:b w:val="0"/>
                <w:bCs w:val="0"/>
                <w:color w:val="000000"/>
                <w:sz w:val="24"/>
                <w:szCs w:val="24"/>
                <w:highlight w:val="none"/>
              </w:rPr>
              <w:t xml:space="preserve"> </w:t>
            </w:r>
          </w:p>
          <w:p w14:paraId="56D427F7">
            <w:pPr>
              <w:spacing w:line="480" w:lineRule="atLeast"/>
              <w:ind w:firstLine="0" w:firstLineChars="0"/>
              <w:rPr>
                <w:rFonts w:hint="default" w:eastAsia="宋体"/>
                <w:bCs/>
                <w:iCs/>
                <w:color w:val="000000"/>
                <w:highlight w:val="none"/>
                <w:lang w:val="en-US" w:eastAsia="zh-CN"/>
              </w:rPr>
            </w:pPr>
            <w:r>
              <w:rPr>
                <w:rFonts w:ascii="宋体" w:hAnsi="宋体" w:eastAsia="宋体" w:cs="宋体"/>
                <w:b w:val="0"/>
                <w:bCs w:val="0"/>
                <w:color w:val="000000"/>
                <w:sz w:val="24"/>
                <w:szCs w:val="24"/>
                <w:highlight w:val="none"/>
              </w:rPr>
              <w:t>董事会秘书：</w:t>
            </w:r>
            <w:r>
              <w:rPr>
                <w:rFonts w:hint="eastAsia" w:ascii="宋体" w:hAnsi="宋体" w:cs="宋体"/>
                <w:b w:val="0"/>
                <w:bCs w:val="0"/>
                <w:color w:val="000000"/>
                <w:sz w:val="24"/>
                <w:szCs w:val="24"/>
                <w:highlight w:val="none"/>
                <w:lang w:val="en-US" w:eastAsia="zh-CN"/>
              </w:rPr>
              <w:t>韩立臣</w:t>
            </w:r>
          </w:p>
        </w:tc>
      </w:tr>
      <w:tr w14:paraId="0AD1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12B0ACC2">
            <w:pPr>
              <w:ind w:firstLine="0" w:firstLineChars="0"/>
              <w:rPr>
                <w:bCs/>
                <w:iCs/>
                <w:color w:val="000000"/>
                <w:highlight w:val="none"/>
              </w:rPr>
            </w:pPr>
            <w:r>
              <w:rPr>
                <w:bCs/>
                <w:iCs/>
                <w:color w:val="000000"/>
                <w:highlight w:val="none"/>
              </w:rPr>
              <w:t>投资者关系活动主要内容介绍</w:t>
            </w:r>
          </w:p>
        </w:tc>
        <w:tc>
          <w:tcPr>
            <w:tcW w:w="6859" w:type="dxa"/>
            <w:tcBorders>
              <w:top w:val="single" w:color="auto" w:sz="4" w:space="0"/>
              <w:left w:val="single" w:color="auto" w:sz="4" w:space="0"/>
              <w:bottom w:val="single" w:color="auto" w:sz="4" w:space="0"/>
              <w:right w:val="single" w:color="auto" w:sz="4" w:space="0"/>
            </w:tcBorders>
            <w:shd w:val="clear" w:color="auto" w:fill="auto"/>
          </w:tcPr>
          <w:p w14:paraId="1D865C59">
            <w:pPr>
              <w:pStyle w:val="18"/>
              <w:numPr>
                <w:ilvl w:val="0"/>
                <w:numId w:val="1"/>
              </w:numPr>
              <w:tabs>
                <w:tab w:val="left" w:pos="598"/>
              </w:tabs>
              <w:autoSpaceDE w:val="0"/>
              <w:autoSpaceDN w:val="0"/>
              <w:adjustRightInd w:val="0"/>
              <w:ind w:firstLineChars="0"/>
              <w:rPr>
                <w:b/>
                <w:bCs/>
                <w:iCs/>
                <w:color w:val="000000"/>
                <w:highlight w:val="none"/>
              </w:rPr>
            </w:pPr>
            <w:r>
              <w:rPr>
                <w:rFonts w:hint="eastAsia"/>
                <w:b/>
                <w:bCs/>
                <w:iCs/>
                <w:color w:val="000000"/>
                <w:highlight w:val="none"/>
              </w:rPr>
              <w:t>沟通交流问答环节：</w:t>
            </w:r>
          </w:p>
          <w:p w14:paraId="4691828C">
            <w:pPr>
              <w:pStyle w:val="18"/>
              <w:numPr>
                <w:ilvl w:val="0"/>
                <w:numId w:val="0"/>
              </w:numPr>
              <w:tabs>
                <w:tab w:val="left" w:pos="462"/>
              </w:tabs>
              <w:ind w:left="480" w:leftChars="0"/>
              <w:rPr>
                <w:b/>
                <w:bCs/>
                <w:iCs/>
                <w:color w:val="000000"/>
                <w:highlight w:val="none"/>
              </w:rPr>
            </w:pPr>
            <w:r>
              <w:rPr>
                <w:rFonts w:hint="eastAsia"/>
                <w:b/>
                <w:bCs/>
                <w:iCs/>
                <w:color w:val="000000"/>
                <w:highlight w:val="none"/>
                <w:lang w:val="en-US" w:eastAsia="zh-CN"/>
              </w:rPr>
              <w:t>1、</w:t>
            </w:r>
            <w:r>
              <w:rPr>
                <w:rFonts w:hint="default" w:ascii="宋体"/>
                <w:b/>
                <w:bCs/>
                <w:sz w:val="24"/>
                <w:lang w:val="en-US"/>
              </w:rPr>
              <w:t>请介绍2026年上半年益生菌B端业务的发展现状，公司益生菌B端业务的核心竞争优势体现在哪些方面？</w:t>
            </w:r>
          </w:p>
          <w:p w14:paraId="0B67E4B5">
            <w:pPr>
              <w:pStyle w:val="18"/>
              <w:tabs>
                <w:tab w:val="left" w:pos="462"/>
              </w:tabs>
              <w:ind w:firstLine="460" w:firstLineChars="191"/>
              <w:rPr>
                <w:iCs/>
                <w:color w:val="000000"/>
                <w:highlight w:val="none"/>
              </w:rPr>
            </w:pPr>
            <w:r>
              <w:rPr>
                <w:rFonts w:hint="eastAsia"/>
                <w:b/>
                <w:bCs/>
                <w:iCs/>
                <w:color w:val="000000"/>
                <w:highlight w:val="none"/>
              </w:rPr>
              <w:t>A：</w:t>
            </w:r>
            <w:r>
              <w:rPr>
                <w:rFonts w:hint="eastAsia"/>
                <w:iCs/>
                <w:color w:val="000000"/>
                <w:highlight w:val="none"/>
              </w:rPr>
              <w:t>尊敬的投资者，您好！公司益生菌B端业务主要包括益生菌菌株原料供应、定制化配方开发和ODM/OEM整体解决方案，服务食品、保健品和大健康产业的各类客户。2026年上半年，B端业务稳步推进，以全资子公司均瑶润盈为技术载体，依托公司自有菌株储备、研发技术积累和配套的供应链生产能力，持续优化客户结构，深化与存量客户的合作，同时积极拓展产业内新客户，提升项目响应速度和定制化服务能力。目前公司益生菌原料、成品已实现同步出口，产品销往全球80多个国家和地区；ODM定制业务与头部零售渠道深度合作，多款定制产品顺利落地、终端动销良好。依托自主菌株资源、完整的研发应用能力和柔性生产配套体系，能够为客户提供从菌株到成品的一体化服务。感谢您的关注！</w:t>
            </w:r>
          </w:p>
          <w:p w14:paraId="241253B8">
            <w:pPr>
              <w:tabs>
                <w:tab w:val="left" w:pos="462"/>
              </w:tabs>
              <w:ind w:firstLine="0" w:firstLineChars="0"/>
              <w:rPr>
                <w:iCs/>
                <w:color w:val="000000"/>
                <w:highlight w:val="none"/>
              </w:rPr>
            </w:pPr>
          </w:p>
          <w:p w14:paraId="4783F613">
            <w:r>
              <w:rPr>
                <w:rFonts w:hint="eastAsia"/>
                <w:b/>
                <w:bCs/>
                <w:highlight w:val="none"/>
              </w:rPr>
              <w:t>2、</w:t>
            </w:r>
            <w:r>
              <w:rPr>
                <w:rFonts w:hint="default" w:ascii="宋体"/>
                <w:b/>
                <w:bCs/>
                <w:sz w:val="24"/>
                <w:lang w:val="en-US"/>
              </w:rPr>
              <w:t>2026年上半年公司在益生菌研发端取得什么成果？</w:t>
            </w:r>
          </w:p>
          <w:p w14:paraId="7DC2FEFB">
            <w:pPr>
              <w:rPr>
                <w:rFonts w:hint="default" w:ascii="宋体"/>
                <w:sz w:val="24"/>
                <w:lang w:val="en-US"/>
              </w:rPr>
            </w:pPr>
            <w:r>
              <w:rPr>
                <w:rFonts w:hint="eastAsia"/>
                <w:b/>
                <w:bCs/>
                <w:iCs/>
                <w:color w:val="000000"/>
                <w:highlight w:val="none"/>
              </w:rPr>
              <w:t>A：</w:t>
            </w:r>
            <w:r>
              <w:rPr>
                <w:rFonts w:hint="default" w:ascii="宋体"/>
                <w:sz w:val="24"/>
                <w:lang w:val="en-US"/>
              </w:rPr>
              <w:t>尊敬的投资者，您好！报告期内，公司研发费用投入达1,989.28万元，持续加强研发能力建设，实现益生菌与饮品两大业务线协同开展产品开发与迭代升级。公司依托多年技术积累建成规模超5万株的菌株资源库，完善实验室和应用配方开发平台，打通从菌株筛选、功效验证、配方调试到中试落地的完整研发链条。报告期内，公司在益生菌领域完成2项临床研究项目，新增2项临床研究、2项科研合作项目，新增5项专利申请，参与制定1项国家及行业标准；同时在饮料端新研发产品30余款，储备创新产品方案超100个，研发成果转化速度稳步提升，益生菌研发团队与饮品研发团队保持联动。一方面把自有益生菌菌株的研究成果转化到饮品新品的概念开发和配方试制中；另一方面根据饮品终端市场的反馈，反向调整益生菌菌株的应用方向和功能配方。公司同时推进益生菌自有产品的版本迭代，以及益生菌技术与饮品结合的创新产品储备，做到技术能力和市场需求互通，不断丰富大健康食饮产品矩阵。感谢您的关注！</w:t>
            </w:r>
          </w:p>
          <w:p w14:paraId="3FBC0180">
            <w:pPr>
              <w:tabs>
                <w:tab w:val="left" w:pos="462"/>
              </w:tabs>
              <w:ind w:firstLine="0" w:firstLineChars="0"/>
              <w:rPr>
                <w:rFonts w:hint="eastAsia"/>
                <w:iCs/>
                <w:color w:val="000000"/>
                <w:highlight w:val="none"/>
              </w:rPr>
            </w:pPr>
          </w:p>
          <w:p w14:paraId="7B4C866C">
            <w:pPr>
              <w:ind w:firstLine="482"/>
              <w:rPr>
                <w:rFonts w:hint="eastAsia" w:eastAsia="宋体"/>
                <w:b/>
                <w:bCs/>
                <w:highlight w:val="none"/>
                <w:lang w:eastAsia="zh-CN"/>
              </w:rPr>
            </w:pPr>
            <w:r>
              <w:rPr>
                <w:rFonts w:hint="eastAsia"/>
                <w:b/>
                <w:bCs/>
                <w:highlight w:val="none"/>
              </w:rPr>
              <w:t>3、</w:t>
            </w:r>
            <w:r>
              <w:rPr>
                <w:rFonts w:hint="default" w:ascii="宋体"/>
                <w:b/>
                <w:bCs/>
                <w:sz w:val="24"/>
                <w:lang w:val="en-US"/>
              </w:rPr>
              <w:t>公司饮品新品业务在渠道拓展上有哪些布局，上半年重点发力哪些新渠道，取得了怎样的阶段性成果？</w:t>
            </w:r>
          </w:p>
          <w:p w14:paraId="4B78CC49">
            <w:pPr>
              <w:pStyle w:val="18"/>
              <w:tabs>
                <w:tab w:val="left" w:pos="462"/>
              </w:tabs>
              <w:ind w:firstLine="460" w:firstLineChars="191"/>
              <w:rPr>
                <w:rFonts w:hint="eastAsia"/>
                <w:iCs/>
                <w:color w:val="000000"/>
                <w:sz w:val="22"/>
                <w:szCs w:val="22"/>
                <w:highlight w:val="none"/>
              </w:rPr>
            </w:pPr>
            <w:r>
              <w:rPr>
                <w:rFonts w:hint="eastAsia"/>
                <w:b/>
                <w:bCs/>
                <w:iCs/>
                <w:color w:val="000000"/>
                <w:highlight w:val="none"/>
              </w:rPr>
              <w:t>A：</w:t>
            </w:r>
            <w:r>
              <w:rPr>
                <w:rFonts w:hint="default" w:ascii="宋体"/>
                <w:sz w:val="24"/>
                <w:lang w:val="en-US"/>
              </w:rPr>
              <w:t>尊敬的投资者，您好！在维护好传统线下经销商渠道的基础上，公司持续推进饮品业务全渠道布局，积极拓展多元化新兴线下渠道。上半年重点推进连锁商超、精品便利店、现代零售系统和即时零售等渠道的进场与网点铺市工作，丰富产品触达消费者的场景。公司针对不同渠道的特性，匹配对应的产品规格和市场推广策略，逐步提升新渠道销售占比，优化整体渠道结构，培育饮品业务新的增长来源。目前公司已与60家主流KA、新零售、便利店系统建立常态化深度合作，产品覆盖奥乐齐、上海联华等连锁商超，可好、美宜佳等头部便利店，以及中粮智站、小i、CITYBOX魔盒等智能终端，新渠道贡献占比持续提升。感谢您的关注！</w:t>
            </w:r>
          </w:p>
          <w:p w14:paraId="1E0205DA">
            <w:pPr>
              <w:pStyle w:val="18"/>
              <w:tabs>
                <w:tab w:val="left" w:pos="462"/>
              </w:tabs>
              <w:ind w:firstLine="458" w:firstLineChars="191"/>
              <w:rPr>
                <w:rFonts w:hint="eastAsia"/>
                <w:iCs/>
                <w:color w:val="000000"/>
                <w:highlight w:val="none"/>
              </w:rPr>
            </w:pPr>
          </w:p>
          <w:p w14:paraId="7441EDD9">
            <w:pPr>
              <w:pStyle w:val="18"/>
              <w:shd w:val="clear"/>
              <w:tabs>
                <w:tab w:val="left" w:pos="462"/>
              </w:tabs>
              <w:ind w:firstLine="482"/>
              <w:rPr>
                <w:rFonts w:hint="eastAsia"/>
                <w:b/>
                <w:bCs/>
                <w:iCs/>
                <w:color w:val="000000"/>
                <w:highlight w:val="none"/>
              </w:rPr>
            </w:pPr>
            <w:r>
              <w:rPr>
                <w:rFonts w:hint="eastAsia"/>
                <w:b/>
                <w:bCs/>
                <w:iCs/>
                <w:color w:val="000000"/>
                <w:highlight w:val="none"/>
              </w:rPr>
              <w:t>4、</w:t>
            </w:r>
            <w:r>
              <w:rPr>
                <w:rFonts w:hint="default" w:ascii="宋体"/>
                <w:b/>
                <w:bCs/>
                <w:sz w:val="24"/>
                <w:lang w:val="en-US"/>
              </w:rPr>
              <w:t>请问2026年上半年公司在味动力传统渠道做了哪些工作？</w:t>
            </w:r>
          </w:p>
          <w:p w14:paraId="1215DBFA">
            <w:pPr>
              <w:pStyle w:val="18"/>
              <w:tabs>
                <w:tab w:val="left" w:pos="462"/>
              </w:tabs>
              <w:ind w:firstLine="460" w:firstLineChars="191"/>
              <w:rPr>
                <w:rFonts w:hint="eastAsia"/>
                <w:iCs/>
                <w:color w:val="000000"/>
                <w:highlight w:val="none"/>
              </w:rPr>
            </w:pPr>
            <w:r>
              <w:rPr>
                <w:rFonts w:hint="eastAsia"/>
                <w:b/>
                <w:bCs/>
                <w:iCs/>
                <w:color w:val="000000"/>
                <w:highlight w:val="none"/>
              </w:rPr>
              <w:t>A：</w:t>
            </w:r>
            <w:r>
              <w:rPr>
                <w:rFonts w:hint="default" w:ascii="宋体"/>
                <w:sz w:val="24"/>
                <w:lang w:val="en-US"/>
              </w:rPr>
              <w:t>尊敬的投资者，您好！味动力传统饮品业务作为公司基本盘，报告期内，公司重点深耕现有经销商网络，加强对经销商和二级终端的精细化运营管理。在渠道管理上，优化库存周转，合理管控渠道库存水平，加强动销跟踪，降低渠道压货风险；在终端支持上，配套开展终端推广、陈列建设和市场助销等工作，激活终端活力。产品端聚焦核心优势SKU，持续优化产品结构，顺应消费趋势完成现有产品的优化升级；同时加强对经销商的赋能管理，完善沟通反馈机制，提升经销商的经营积极性，夯实传统经销大盘，保障饮品业务平稳运行。报告期末，公司经销商总数达1,126个，较期初净增加291个，渠道网络持续优化扩容，为饮品业务稳健经营提供支撑。感谢您的关注！</w:t>
            </w:r>
          </w:p>
          <w:p w14:paraId="3CE510E1">
            <w:pPr>
              <w:pStyle w:val="18"/>
              <w:tabs>
                <w:tab w:val="left" w:pos="462"/>
              </w:tabs>
              <w:ind w:firstLine="458" w:firstLineChars="191"/>
              <w:rPr>
                <w:rFonts w:hint="eastAsia"/>
                <w:iCs/>
                <w:color w:val="000000"/>
                <w:highlight w:val="none"/>
              </w:rPr>
            </w:pPr>
          </w:p>
          <w:p w14:paraId="0F17AF6B">
            <w:pPr>
              <w:pStyle w:val="18"/>
              <w:shd w:val="clear"/>
              <w:tabs>
                <w:tab w:val="left" w:pos="462"/>
              </w:tabs>
              <w:ind w:firstLine="482"/>
              <w:rPr>
                <w:rFonts w:hint="eastAsia" w:eastAsia="宋体"/>
                <w:b/>
                <w:bCs/>
                <w:iCs/>
                <w:color w:val="000000"/>
                <w:highlight w:val="none"/>
                <w:lang w:eastAsia="zh-CN"/>
              </w:rPr>
            </w:pPr>
            <w:r>
              <w:rPr>
                <w:rFonts w:hint="eastAsia"/>
                <w:b/>
                <w:bCs/>
                <w:iCs/>
                <w:color w:val="000000"/>
                <w:highlight w:val="none"/>
              </w:rPr>
              <w:t>5、</w:t>
            </w:r>
            <w:r>
              <w:rPr>
                <w:rFonts w:hint="default" w:ascii="宋体"/>
                <w:b/>
                <w:bCs/>
                <w:sz w:val="24"/>
                <w:lang w:val="en-US"/>
              </w:rPr>
              <w:t>能否介绍公司新品落地情况与产品结构优化成效？</w:t>
            </w:r>
          </w:p>
          <w:p w14:paraId="42167FD0">
            <w:pPr>
              <w:pStyle w:val="18"/>
              <w:tabs>
                <w:tab w:val="left" w:pos="462"/>
              </w:tabs>
              <w:ind w:firstLine="480"/>
              <w:rPr>
                <w:rFonts w:hint="eastAsia" w:eastAsia="宋体"/>
                <w:iCs/>
                <w:color w:val="000000"/>
                <w:highlight w:val="none"/>
                <w:lang w:eastAsia="zh-CN"/>
              </w:rPr>
            </w:pPr>
            <w:r>
              <w:rPr>
                <w:rFonts w:hint="eastAsia"/>
                <w:b/>
                <w:bCs/>
                <w:iCs/>
                <w:color w:val="000000"/>
                <w:highlight w:val="none"/>
              </w:rPr>
              <w:t>A：</w:t>
            </w:r>
            <w:r>
              <w:rPr>
                <w:rFonts w:hint="default" w:ascii="宋体"/>
                <w:sz w:val="24"/>
                <w:lang w:val="en-US"/>
              </w:rPr>
              <w:t>尊敬的投资者，您好！2026年上半年，公司围绕益生菌功能精细化和饮品健康化的发展方向，持续推进产品矩阵优化和新品迭代升级。报告期内，公司研发费用投入1,989.28万元，依托超5万株规模的菌株资源库技术储备，累计新研发产品30余款，成功推出味动力畅快瓶、营养瓶、味动力能量气泡水、电解质气泡水、纯实酸奶等10余款上市新品，储备创新产品方案超100个。公司主动梳理存量产品，逐步淘汰低效、竞争力较弱的老旧SKU，把研发、生产和市场资源集中到更贴合消费需求、附加值更高的核心产品和创新品类上。报告期内，公司完成了多款功能益生菌产品和升级款健康饮品的研发打磨与市场落地，进一步完善多层次、场景化的产品体系，覆盖多元化消费需求。同时，公司持续对主力在售产品开展配方优化、口感升级和规格迭代等工作，提升核心产品的市场竞争力和终端动销效率。公司将继续聚焦贴合消费需求的核心产品和创新品类，推动产品结构持续优化。感谢您的关注！</w:t>
            </w:r>
          </w:p>
          <w:p w14:paraId="28B1B018">
            <w:pPr>
              <w:pStyle w:val="18"/>
              <w:shd w:val="clear"/>
              <w:tabs>
                <w:tab w:val="left" w:pos="462"/>
              </w:tabs>
              <w:ind w:firstLine="482"/>
              <w:rPr>
                <w:rFonts w:hint="eastAsia"/>
                <w:b/>
                <w:bCs/>
                <w:iCs/>
                <w:color w:val="000000"/>
                <w:highlight w:val="none"/>
              </w:rPr>
            </w:pPr>
          </w:p>
          <w:p w14:paraId="299E0100">
            <w:pPr>
              <w:rPr>
                <w:b/>
                <w:bCs/>
              </w:rPr>
            </w:pPr>
            <w:r>
              <w:rPr>
                <w:rFonts w:hint="eastAsia"/>
                <w:b/>
                <w:bCs/>
                <w:iCs/>
                <w:color w:val="000000"/>
                <w:highlight w:val="none"/>
              </w:rPr>
              <w:t>6、</w:t>
            </w:r>
            <w:r>
              <w:rPr>
                <w:rFonts w:hint="default" w:ascii="宋体"/>
                <w:b/>
                <w:bCs/>
                <w:sz w:val="24"/>
                <w:lang w:val="en-US"/>
              </w:rPr>
              <w:t>公司电商板块2026年上半年实现较快增长，请分析驱动电商业务增长的核心因素，公司在电商运营层面做了哪些部署？</w:t>
            </w:r>
          </w:p>
          <w:p w14:paraId="556CA550">
            <w:pPr>
              <w:spacing w:line="460" w:lineRule="auto"/>
              <w:rPr>
                <w:b/>
                <w:bCs/>
                <w:iCs/>
                <w:color w:val="000000"/>
                <w:highlight w:val="none"/>
              </w:rPr>
            </w:pPr>
            <w:r>
              <w:rPr>
                <w:rFonts w:hint="eastAsia"/>
                <w:b/>
                <w:bCs/>
                <w:iCs/>
                <w:color w:val="000000"/>
                <w:highlight w:val="none"/>
              </w:rPr>
              <w:t>A：</w:t>
            </w:r>
            <w:r>
              <w:rPr>
                <w:rFonts w:hint="default" w:ascii="宋体"/>
                <w:sz w:val="24"/>
                <w:lang w:val="en-US"/>
              </w:rPr>
              <w:t>尊敬的投资者，您好！2026年上半年公司电商板块实现快速增长，报告期内电商渠道实现收入1.77亿元，同比增长91.88%，主要有几方面原因：一是公司坚持全域电商布局，覆盖主流综合电商平台、内容电商和社交电商等多个阵地，完善平台矩阵；二是针对线上消费群体的特点优化线上专属产品组合，更好地适配线上用户的消费偏好；三是持续升级电商运营体系，结合内容种草、达人合作和直播转化等多种形式做好品牌宣传与销售转化，加强店铺精细化运营能力；四是依托公司益生菌和饮品多品类产品矩阵，发挥品类协同优势带动线上规模提升。感谢您的关注！</w:t>
            </w:r>
          </w:p>
          <w:p w14:paraId="4F83A633">
            <w:pPr>
              <w:tabs>
                <w:tab w:val="left" w:pos="4312"/>
              </w:tabs>
              <w:ind w:firstLine="0" w:firstLineChars="0"/>
              <w:rPr>
                <w:iCs/>
                <w:color w:val="000000"/>
                <w:highlight w:val="none"/>
              </w:rPr>
            </w:pPr>
            <w:r>
              <w:rPr>
                <w:rFonts w:hint="eastAsia"/>
                <w:iCs/>
                <w:color w:val="000000"/>
                <w:highlight w:val="none"/>
              </w:rPr>
              <w:tab/>
            </w:r>
          </w:p>
          <w:p w14:paraId="7418E452">
            <w:pPr>
              <w:rPr>
                <w:rFonts w:hint="eastAsia" w:eastAsia="宋体"/>
                <w:b/>
                <w:bCs/>
                <w:iCs/>
                <w:color w:val="000000"/>
                <w:highlight w:val="none"/>
                <w:lang w:eastAsia="zh-CN"/>
              </w:rPr>
            </w:pPr>
            <w:r>
              <w:rPr>
                <w:rFonts w:hint="eastAsia"/>
                <w:b/>
                <w:bCs/>
                <w:iCs/>
                <w:color w:val="000000"/>
                <w:highlight w:val="none"/>
              </w:rPr>
              <w:t>7、</w:t>
            </w:r>
            <w:r>
              <w:rPr>
                <w:rFonts w:hint="default" w:ascii="宋体"/>
                <w:b/>
                <w:bCs/>
                <w:sz w:val="24"/>
                <w:lang w:val="en-US"/>
              </w:rPr>
              <w:t>益生菌C端业务上半年开展了哪些经营动作，目前产品与市场建设进展如何？</w:t>
            </w:r>
          </w:p>
          <w:p w14:paraId="6D231791">
            <w:pPr>
              <w:spacing w:line="460" w:lineRule="auto"/>
              <w:rPr>
                <w:rFonts w:hint="eastAsia"/>
                <w:highlight w:val="none"/>
                <w:lang w:val="en-US" w:eastAsia="zh-CN"/>
              </w:rPr>
            </w:pPr>
            <w:r>
              <w:rPr>
                <w:rFonts w:hint="eastAsia" w:ascii="Times New Roman" w:hAnsi="Times New Roman" w:eastAsia="宋体" w:cs="Times New Roman"/>
                <w:b/>
                <w:bCs/>
                <w:iCs/>
                <w:color w:val="000000"/>
                <w:kern w:val="2"/>
                <w:sz w:val="24"/>
                <w:szCs w:val="24"/>
                <w:highlight w:val="none"/>
                <w:lang w:val="en-US" w:eastAsia="zh-CN" w:bidi="ar-SA"/>
              </w:rPr>
              <w:t>A：</w:t>
            </w:r>
            <w:r>
              <w:rPr>
                <w:rFonts w:hint="default" w:ascii="宋体"/>
                <w:sz w:val="24"/>
                <w:lang w:val="en-US"/>
              </w:rPr>
              <w:t>您好！益生菌C端面向广大消费市场，围绕家庭日常肠道养护和细分人群健康需求，搭建多层次产品矩阵，覆盖不同消费层级和使用场景。2026年上半年，公司持续优化现有主力SKU，打磨产品体验；同时根据消费者洞察完善产品组合，通过内容传播和用户运营做好消费者教育，提升品牌认知度和用户黏性。报告期内，公司合作达人/KOL/KOC数量超1,800个，品牌总曝光量超9,600万次，新增品牌粉丝53万余个，品牌传播效能持续提升。公司持续不断调整渠道适配策略，匹配线上线下不同消费场景，上半年公司在线上电商渠道实现收入1.77亿元，同比增长91.88%，电商渠道成为推动C端益生菌产品市场渗透的重要增量。感谢您的关注！</w:t>
            </w:r>
            <w:bookmarkStart w:id="0" w:name="_GoBack"/>
            <w:bookmarkEnd w:id="0"/>
          </w:p>
        </w:tc>
      </w:tr>
      <w:tr w14:paraId="3C8F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5" w:hRule="atLeast"/>
          <w:jc w:val="center"/>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20BEAF95">
            <w:pPr>
              <w:ind w:firstLine="0" w:firstLineChars="0"/>
              <w:rPr>
                <w:bCs/>
                <w:iCs/>
                <w:color w:val="000000"/>
                <w:highlight w:val="none"/>
              </w:rPr>
            </w:pPr>
            <w:r>
              <w:rPr>
                <w:bCs/>
                <w:iCs/>
                <w:color w:val="000000"/>
                <w:highlight w:val="none"/>
              </w:rPr>
              <w:t>附件清单（如有）</w:t>
            </w:r>
          </w:p>
        </w:tc>
        <w:tc>
          <w:tcPr>
            <w:tcW w:w="6859" w:type="dxa"/>
            <w:tcBorders>
              <w:top w:val="single" w:color="auto" w:sz="4" w:space="0"/>
              <w:left w:val="single" w:color="auto" w:sz="4" w:space="0"/>
              <w:bottom w:val="single" w:color="auto" w:sz="4" w:space="0"/>
              <w:right w:val="single" w:color="auto" w:sz="4" w:space="0"/>
            </w:tcBorders>
            <w:shd w:val="clear" w:color="auto" w:fill="auto"/>
          </w:tcPr>
          <w:p w14:paraId="4E62BA39">
            <w:pPr>
              <w:spacing w:line="480" w:lineRule="atLeast"/>
              <w:ind w:firstLine="480"/>
              <w:rPr>
                <w:bCs/>
                <w:iCs/>
                <w:color w:val="000000"/>
                <w:highlight w:val="none"/>
              </w:rPr>
            </w:pPr>
          </w:p>
        </w:tc>
      </w:tr>
    </w:tbl>
    <w:p w14:paraId="561BED6F">
      <w:pPr>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304" w:right="1797" w:bottom="1304"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Wingdings 2">
    <w:panose1 w:val="05020102010507070707"/>
    <w:charset w:val="00"/>
    <w:family w:val="decorative"/>
    <w:pitch w:val="default"/>
    <w:sig w:usb0="00000000" w:usb1="00000000" w:usb2="00000000" w:usb3="00000000" w:csb0="80000000" w:csb1="00000000"/>
  </w:font>
  <w:font w:name="TimesNewRomanPSMT">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21772">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3955C">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80B4B">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0017F">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E88A4">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F0B9C">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CB3E48"/>
    <w:multiLevelType w:val="multilevel"/>
    <w:tmpl w:val="6ECB3E48"/>
    <w:lvl w:ilvl="0" w:tentative="0">
      <w:start w:val="1"/>
      <w:numFmt w:val="japaneseCounting"/>
      <w:lvlText w:val="%1、"/>
      <w:lvlJc w:val="left"/>
      <w:pPr>
        <w:ind w:left="396" w:hanging="39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0NDI3NTJlZDMyYjQwMGQ1MGJiYjc0OWE2OGU4YmYifQ=="/>
  </w:docVars>
  <w:rsids>
    <w:rsidRoot w:val="00084F2C"/>
    <w:rsid w:val="00001CBC"/>
    <w:rsid w:val="0001073B"/>
    <w:rsid w:val="00014B6D"/>
    <w:rsid w:val="00021890"/>
    <w:rsid w:val="00021B3C"/>
    <w:rsid w:val="00031C3C"/>
    <w:rsid w:val="000352EB"/>
    <w:rsid w:val="00036DDC"/>
    <w:rsid w:val="000372B0"/>
    <w:rsid w:val="000377CD"/>
    <w:rsid w:val="000441BF"/>
    <w:rsid w:val="00052EC6"/>
    <w:rsid w:val="00057ACE"/>
    <w:rsid w:val="00063866"/>
    <w:rsid w:val="000651FA"/>
    <w:rsid w:val="00073AC8"/>
    <w:rsid w:val="00077630"/>
    <w:rsid w:val="00081BEF"/>
    <w:rsid w:val="00084F2C"/>
    <w:rsid w:val="00091C67"/>
    <w:rsid w:val="00094CEC"/>
    <w:rsid w:val="00097A04"/>
    <w:rsid w:val="000A44E4"/>
    <w:rsid w:val="000A56C4"/>
    <w:rsid w:val="000B2B5A"/>
    <w:rsid w:val="000C0E70"/>
    <w:rsid w:val="000C20C0"/>
    <w:rsid w:val="000C33A3"/>
    <w:rsid w:val="000C37C5"/>
    <w:rsid w:val="000C3D57"/>
    <w:rsid w:val="000C46DF"/>
    <w:rsid w:val="000D207A"/>
    <w:rsid w:val="000D4D3B"/>
    <w:rsid w:val="000E7295"/>
    <w:rsid w:val="000F476A"/>
    <w:rsid w:val="001059AE"/>
    <w:rsid w:val="00110E7D"/>
    <w:rsid w:val="00127912"/>
    <w:rsid w:val="001358B9"/>
    <w:rsid w:val="00140C04"/>
    <w:rsid w:val="00146610"/>
    <w:rsid w:val="00151112"/>
    <w:rsid w:val="0015561F"/>
    <w:rsid w:val="00156A1D"/>
    <w:rsid w:val="001618A3"/>
    <w:rsid w:val="00166122"/>
    <w:rsid w:val="00167860"/>
    <w:rsid w:val="001749C5"/>
    <w:rsid w:val="00176DC1"/>
    <w:rsid w:val="001770B9"/>
    <w:rsid w:val="0018618C"/>
    <w:rsid w:val="00191F63"/>
    <w:rsid w:val="001B07AF"/>
    <w:rsid w:val="001B3AC5"/>
    <w:rsid w:val="001B45AB"/>
    <w:rsid w:val="001B4B8D"/>
    <w:rsid w:val="001C45E1"/>
    <w:rsid w:val="001E035F"/>
    <w:rsid w:val="001E2303"/>
    <w:rsid w:val="00210A61"/>
    <w:rsid w:val="00211FF4"/>
    <w:rsid w:val="002137E1"/>
    <w:rsid w:val="002148DC"/>
    <w:rsid w:val="0021611F"/>
    <w:rsid w:val="00216AC0"/>
    <w:rsid w:val="00216BEC"/>
    <w:rsid w:val="00217898"/>
    <w:rsid w:val="00217F01"/>
    <w:rsid w:val="00223D42"/>
    <w:rsid w:val="0022479A"/>
    <w:rsid w:val="002308D2"/>
    <w:rsid w:val="00230EC6"/>
    <w:rsid w:val="002322C7"/>
    <w:rsid w:val="00236D81"/>
    <w:rsid w:val="00240F43"/>
    <w:rsid w:val="002430D3"/>
    <w:rsid w:val="0024589F"/>
    <w:rsid w:val="00250B1C"/>
    <w:rsid w:val="00254F21"/>
    <w:rsid w:val="00260CB5"/>
    <w:rsid w:val="00261B15"/>
    <w:rsid w:val="00261F38"/>
    <w:rsid w:val="00263EF0"/>
    <w:rsid w:val="00267F08"/>
    <w:rsid w:val="00267F4E"/>
    <w:rsid w:val="002700FD"/>
    <w:rsid w:val="00275A8F"/>
    <w:rsid w:val="00277CB6"/>
    <w:rsid w:val="0028791E"/>
    <w:rsid w:val="002906E5"/>
    <w:rsid w:val="00293B51"/>
    <w:rsid w:val="002A0DC6"/>
    <w:rsid w:val="002B365A"/>
    <w:rsid w:val="002B7808"/>
    <w:rsid w:val="002C61DC"/>
    <w:rsid w:val="002E59F7"/>
    <w:rsid w:val="002F1373"/>
    <w:rsid w:val="002F3C3C"/>
    <w:rsid w:val="002F69F0"/>
    <w:rsid w:val="00300676"/>
    <w:rsid w:val="00303FD7"/>
    <w:rsid w:val="003053CA"/>
    <w:rsid w:val="00307D54"/>
    <w:rsid w:val="0031351F"/>
    <w:rsid w:val="00324026"/>
    <w:rsid w:val="00327184"/>
    <w:rsid w:val="0033523D"/>
    <w:rsid w:val="003378E6"/>
    <w:rsid w:val="0034209A"/>
    <w:rsid w:val="0034681C"/>
    <w:rsid w:val="00346C42"/>
    <w:rsid w:val="00350F53"/>
    <w:rsid w:val="00361A7D"/>
    <w:rsid w:val="00371E87"/>
    <w:rsid w:val="00372343"/>
    <w:rsid w:val="00382FDC"/>
    <w:rsid w:val="0039791B"/>
    <w:rsid w:val="003A7539"/>
    <w:rsid w:val="003B09A4"/>
    <w:rsid w:val="003B32DA"/>
    <w:rsid w:val="003B4FF6"/>
    <w:rsid w:val="003D023F"/>
    <w:rsid w:val="003D19D8"/>
    <w:rsid w:val="003D6656"/>
    <w:rsid w:val="003E2D86"/>
    <w:rsid w:val="003F1A52"/>
    <w:rsid w:val="003F4ACD"/>
    <w:rsid w:val="00401079"/>
    <w:rsid w:val="00403789"/>
    <w:rsid w:val="00404338"/>
    <w:rsid w:val="00407621"/>
    <w:rsid w:val="00407F3A"/>
    <w:rsid w:val="00410604"/>
    <w:rsid w:val="00411D83"/>
    <w:rsid w:val="00413449"/>
    <w:rsid w:val="00422FAE"/>
    <w:rsid w:val="00424FF7"/>
    <w:rsid w:val="004274BF"/>
    <w:rsid w:val="00427E4C"/>
    <w:rsid w:val="004349B7"/>
    <w:rsid w:val="00447095"/>
    <w:rsid w:val="004545DA"/>
    <w:rsid w:val="00487EFF"/>
    <w:rsid w:val="00490B57"/>
    <w:rsid w:val="00491251"/>
    <w:rsid w:val="00494643"/>
    <w:rsid w:val="004979AF"/>
    <w:rsid w:val="004B0349"/>
    <w:rsid w:val="004B3CD5"/>
    <w:rsid w:val="004C2E2B"/>
    <w:rsid w:val="004D3830"/>
    <w:rsid w:val="004D3A97"/>
    <w:rsid w:val="004D7AC6"/>
    <w:rsid w:val="004E45ED"/>
    <w:rsid w:val="004E59E2"/>
    <w:rsid w:val="004F00AC"/>
    <w:rsid w:val="0050527B"/>
    <w:rsid w:val="00517BAD"/>
    <w:rsid w:val="00521E7E"/>
    <w:rsid w:val="005228C4"/>
    <w:rsid w:val="00523372"/>
    <w:rsid w:val="005238EE"/>
    <w:rsid w:val="00524815"/>
    <w:rsid w:val="00527728"/>
    <w:rsid w:val="00530DB9"/>
    <w:rsid w:val="005371BC"/>
    <w:rsid w:val="00541B5F"/>
    <w:rsid w:val="00543ED1"/>
    <w:rsid w:val="0055069A"/>
    <w:rsid w:val="00562AB0"/>
    <w:rsid w:val="00565704"/>
    <w:rsid w:val="00570026"/>
    <w:rsid w:val="0057603A"/>
    <w:rsid w:val="00580BA2"/>
    <w:rsid w:val="00580FF4"/>
    <w:rsid w:val="005820D8"/>
    <w:rsid w:val="005862D7"/>
    <w:rsid w:val="005879FF"/>
    <w:rsid w:val="005907B8"/>
    <w:rsid w:val="0059415F"/>
    <w:rsid w:val="00597893"/>
    <w:rsid w:val="005A447B"/>
    <w:rsid w:val="005A455B"/>
    <w:rsid w:val="005A7609"/>
    <w:rsid w:val="005B1E3E"/>
    <w:rsid w:val="005B57E0"/>
    <w:rsid w:val="005C624F"/>
    <w:rsid w:val="005D0B39"/>
    <w:rsid w:val="005D6E99"/>
    <w:rsid w:val="005E18EC"/>
    <w:rsid w:val="005E7783"/>
    <w:rsid w:val="00601DDD"/>
    <w:rsid w:val="006054B1"/>
    <w:rsid w:val="0060553B"/>
    <w:rsid w:val="00615F8E"/>
    <w:rsid w:val="00625E5D"/>
    <w:rsid w:val="00634E33"/>
    <w:rsid w:val="006443D3"/>
    <w:rsid w:val="00646F2E"/>
    <w:rsid w:val="006472B8"/>
    <w:rsid w:val="00647899"/>
    <w:rsid w:val="006523CF"/>
    <w:rsid w:val="00664935"/>
    <w:rsid w:val="00665708"/>
    <w:rsid w:val="00665BAD"/>
    <w:rsid w:val="006850BC"/>
    <w:rsid w:val="00686E28"/>
    <w:rsid w:val="00691096"/>
    <w:rsid w:val="00692200"/>
    <w:rsid w:val="006A0D14"/>
    <w:rsid w:val="006A132A"/>
    <w:rsid w:val="006A1AD3"/>
    <w:rsid w:val="006A7E2C"/>
    <w:rsid w:val="006B3AEF"/>
    <w:rsid w:val="006C2229"/>
    <w:rsid w:val="006C6349"/>
    <w:rsid w:val="006C655D"/>
    <w:rsid w:val="006D1E0D"/>
    <w:rsid w:val="006D5489"/>
    <w:rsid w:val="006E64EE"/>
    <w:rsid w:val="006E7A55"/>
    <w:rsid w:val="006F12C8"/>
    <w:rsid w:val="006F319A"/>
    <w:rsid w:val="006F4584"/>
    <w:rsid w:val="006F700D"/>
    <w:rsid w:val="006F7102"/>
    <w:rsid w:val="0070273B"/>
    <w:rsid w:val="00702A89"/>
    <w:rsid w:val="0070451C"/>
    <w:rsid w:val="0071445C"/>
    <w:rsid w:val="00743470"/>
    <w:rsid w:val="00745456"/>
    <w:rsid w:val="007474BB"/>
    <w:rsid w:val="00747517"/>
    <w:rsid w:val="007506A5"/>
    <w:rsid w:val="00752783"/>
    <w:rsid w:val="00767EA5"/>
    <w:rsid w:val="00770B00"/>
    <w:rsid w:val="0077151A"/>
    <w:rsid w:val="00773EA8"/>
    <w:rsid w:val="0078601C"/>
    <w:rsid w:val="00790954"/>
    <w:rsid w:val="007A03A8"/>
    <w:rsid w:val="007A3346"/>
    <w:rsid w:val="007A60D8"/>
    <w:rsid w:val="007B74E1"/>
    <w:rsid w:val="007D0BD7"/>
    <w:rsid w:val="007D200D"/>
    <w:rsid w:val="007D2FC6"/>
    <w:rsid w:val="007D30E6"/>
    <w:rsid w:val="007E3473"/>
    <w:rsid w:val="007E508A"/>
    <w:rsid w:val="007E559E"/>
    <w:rsid w:val="007F26B6"/>
    <w:rsid w:val="007F38B0"/>
    <w:rsid w:val="007F398C"/>
    <w:rsid w:val="007F697F"/>
    <w:rsid w:val="00813F62"/>
    <w:rsid w:val="00814C6A"/>
    <w:rsid w:val="008150FB"/>
    <w:rsid w:val="00815104"/>
    <w:rsid w:val="00816C66"/>
    <w:rsid w:val="00822949"/>
    <w:rsid w:val="00826434"/>
    <w:rsid w:val="00830F62"/>
    <w:rsid w:val="00834DFC"/>
    <w:rsid w:val="00841A72"/>
    <w:rsid w:val="00845315"/>
    <w:rsid w:val="00850E94"/>
    <w:rsid w:val="00860CC1"/>
    <w:rsid w:val="00863156"/>
    <w:rsid w:val="008659E4"/>
    <w:rsid w:val="00867B21"/>
    <w:rsid w:val="0087133E"/>
    <w:rsid w:val="00882929"/>
    <w:rsid w:val="008959FE"/>
    <w:rsid w:val="008A05BE"/>
    <w:rsid w:val="008A4B0B"/>
    <w:rsid w:val="008A71F9"/>
    <w:rsid w:val="008D22FB"/>
    <w:rsid w:val="008D3C48"/>
    <w:rsid w:val="008E13B2"/>
    <w:rsid w:val="008E16F2"/>
    <w:rsid w:val="008E6536"/>
    <w:rsid w:val="008F14F8"/>
    <w:rsid w:val="008F2B28"/>
    <w:rsid w:val="008F2DA5"/>
    <w:rsid w:val="008F56D8"/>
    <w:rsid w:val="009174E1"/>
    <w:rsid w:val="00920E49"/>
    <w:rsid w:val="0092394A"/>
    <w:rsid w:val="009240CE"/>
    <w:rsid w:val="009321B3"/>
    <w:rsid w:val="00932231"/>
    <w:rsid w:val="00932A46"/>
    <w:rsid w:val="0093743A"/>
    <w:rsid w:val="00947FE4"/>
    <w:rsid w:val="009519C6"/>
    <w:rsid w:val="00956CB0"/>
    <w:rsid w:val="00956FED"/>
    <w:rsid w:val="00966022"/>
    <w:rsid w:val="0097677A"/>
    <w:rsid w:val="00987765"/>
    <w:rsid w:val="009959D7"/>
    <w:rsid w:val="0099763F"/>
    <w:rsid w:val="009A198B"/>
    <w:rsid w:val="009A1C3B"/>
    <w:rsid w:val="009B2DC9"/>
    <w:rsid w:val="009B5720"/>
    <w:rsid w:val="009B645C"/>
    <w:rsid w:val="009C65E1"/>
    <w:rsid w:val="009D13E4"/>
    <w:rsid w:val="009E18EA"/>
    <w:rsid w:val="009E22EF"/>
    <w:rsid w:val="009E2BDF"/>
    <w:rsid w:val="009E492B"/>
    <w:rsid w:val="009F0E76"/>
    <w:rsid w:val="00A05538"/>
    <w:rsid w:val="00A15357"/>
    <w:rsid w:val="00A17473"/>
    <w:rsid w:val="00A23A96"/>
    <w:rsid w:val="00A251BF"/>
    <w:rsid w:val="00A32380"/>
    <w:rsid w:val="00A32401"/>
    <w:rsid w:val="00A51850"/>
    <w:rsid w:val="00A536D1"/>
    <w:rsid w:val="00A609ED"/>
    <w:rsid w:val="00A65CCD"/>
    <w:rsid w:val="00A67F3E"/>
    <w:rsid w:val="00A73F2E"/>
    <w:rsid w:val="00A74949"/>
    <w:rsid w:val="00A812FD"/>
    <w:rsid w:val="00A81D22"/>
    <w:rsid w:val="00A84AE4"/>
    <w:rsid w:val="00AA41B1"/>
    <w:rsid w:val="00AA76C7"/>
    <w:rsid w:val="00AC5D07"/>
    <w:rsid w:val="00AC71AC"/>
    <w:rsid w:val="00AC72E5"/>
    <w:rsid w:val="00AD6E89"/>
    <w:rsid w:val="00AE05DA"/>
    <w:rsid w:val="00AE5BF9"/>
    <w:rsid w:val="00AF1CFE"/>
    <w:rsid w:val="00AF66E8"/>
    <w:rsid w:val="00B06799"/>
    <w:rsid w:val="00B077CA"/>
    <w:rsid w:val="00B078CD"/>
    <w:rsid w:val="00B117E8"/>
    <w:rsid w:val="00B13E91"/>
    <w:rsid w:val="00B2003E"/>
    <w:rsid w:val="00B2044E"/>
    <w:rsid w:val="00B20B70"/>
    <w:rsid w:val="00B22DF0"/>
    <w:rsid w:val="00B23014"/>
    <w:rsid w:val="00B368C4"/>
    <w:rsid w:val="00B43130"/>
    <w:rsid w:val="00B45E9F"/>
    <w:rsid w:val="00B469F8"/>
    <w:rsid w:val="00B52D0D"/>
    <w:rsid w:val="00B66B06"/>
    <w:rsid w:val="00B777FE"/>
    <w:rsid w:val="00B82AA0"/>
    <w:rsid w:val="00B85CA8"/>
    <w:rsid w:val="00B87470"/>
    <w:rsid w:val="00B91E36"/>
    <w:rsid w:val="00B948E2"/>
    <w:rsid w:val="00B965CC"/>
    <w:rsid w:val="00BA7426"/>
    <w:rsid w:val="00BB40EB"/>
    <w:rsid w:val="00BB579F"/>
    <w:rsid w:val="00BC23FE"/>
    <w:rsid w:val="00BC2712"/>
    <w:rsid w:val="00BD1509"/>
    <w:rsid w:val="00BE5B68"/>
    <w:rsid w:val="00C0041D"/>
    <w:rsid w:val="00C02E26"/>
    <w:rsid w:val="00C12A4B"/>
    <w:rsid w:val="00C22B53"/>
    <w:rsid w:val="00C24C02"/>
    <w:rsid w:val="00C267CD"/>
    <w:rsid w:val="00C27928"/>
    <w:rsid w:val="00C27AA0"/>
    <w:rsid w:val="00C40FCD"/>
    <w:rsid w:val="00C4183E"/>
    <w:rsid w:val="00C56D35"/>
    <w:rsid w:val="00C8048F"/>
    <w:rsid w:val="00C86C9D"/>
    <w:rsid w:val="00C904BA"/>
    <w:rsid w:val="00C91F00"/>
    <w:rsid w:val="00CA506E"/>
    <w:rsid w:val="00CB0988"/>
    <w:rsid w:val="00CB5DD9"/>
    <w:rsid w:val="00CC3BD4"/>
    <w:rsid w:val="00CC5775"/>
    <w:rsid w:val="00CE2DD9"/>
    <w:rsid w:val="00CE5600"/>
    <w:rsid w:val="00CF4AF5"/>
    <w:rsid w:val="00D21A8F"/>
    <w:rsid w:val="00D274D9"/>
    <w:rsid w:val="00D32C35"/>
    <w:rsid w:val="00D45042"/>
    <w:rsid w:val="00D56C57"/>
    <w:rsid w:val="00D6010D"/>
    <w:rsid w:val="00D6121B"/>
    <w:rsid w:val="00D61969"/>
    <w:rsid w:val="00D653DC"/>
    <w:rsid w:val="00D72395"/>
    <w:rsid w:val="00D73BD5"/>
    <w:rsid w:val="00D74531"/>
    <w:rsid w:val="00D77555"/>
    <w:rsid w:val="00D77869"/>
    <w:rsid w:val="00D77D70"/>
    <w:rsid w:val="00D84984"/>
    <w:rsid w:val="00D91173"/>
    <w:rsid w:val="00D96F5E"/>
    <w:rsid w:val="00DA1D5C"/>
    <w:rsid w:val="00DA3062"/>
    <w:rsid w:val="00DA3A8E"/>
    <w:rsid w:val="00DB2245"/>
    <w:rsid w:val="00DB791E"/>
    <w:rsid w:val="00DD1683"/>
    <w:rsid w:val="00DD4EF9"/>
    <w:rsid w:val="00DE0F72"/>
    <w:rsid w:val="00DE1CB3"/>
    <w:rsid w:val="00DE7051"/>
    <w:rsid w:val="00DF3130"/>
    <w:rsid w:val="00DF3691"/>
    <w:rsid w:val="00E03298"/>
    <w:rsid w:val="00E04886"/>
    <w:rsid w:val="00E07F32"/>
    <w:rsid w:val="00E15B48"/>
    <w:rsid w:val="00E1681E"/>
    <w:rsid w:val="00E17CF2"/>
    <w:rsid w:val="00E200E0"/>
    <w:rsid w:val="00E226A7"/>
    <w:rsid w:val="00E23B0C"/>
    <w:rsid w:val="00E27CD9"/>
    <w:rsid w:val="00E30054"/>
    <w:rsid w:val="00E30DAE"/>
    <w:rsid w:val="00E4211C"/>
    <w:rsid w:val="00E6543F"/>
    <w:rsid w:val="00E71F0B"/>
    <w:rsid w:val="00E82FFC"/>
    <w:rsid w:val="00E83B9F"/>
    <w:rsid w:val="00E8542A"/>
    <w:rsid w:val="00E91974"/>
    <w:rsid w:val="00E96D10"/>
    <w:rsid w:val="00E97645"/>
    <w:rsid w:val="00EA0EBF"/>
    <w:rsid w:val="00EA2D59"/>
    <w:rsid w:val="00EA7737"/>
    <w:rsid w:val="00EB6D8B"/>
    <w:rsid w:val="00EC0BB4"/>
    <w:rsid w:val="00EC2EED"/>
    <w:rsid w:val="00EC6707"/>
    <w:rsid w:val="00EC7367"/>
    <w:rsid w:val="00ED0F44"/>
    <w:rsid w:val="00ED1EEB"/>
    <w:rsid w:val="00EE0118"/>
    <w:rsid w:val="00EE2795"/>
    <w:rsid w:val="00EE3A6C"/>
    <w:rsid w:val="00EF3C20"/>
    <w:rsid w:val="00EF514E"/>
    <w:rsid w:val="00EF564D"/>
    <w:rsid w:val="00F027DD"/>
    <w:rsid w:val="00F0607A"/>
    <w:rsid w:val="00F062FD"/>
    <w:rsid w:val="00F07C33"/>
    <w:rsid w:val="00F16201"/>
    <w:rsid w:val="00F17E36"/>
    <w:rsid w:val="00F20F2C"/>
    <w:rsid w:val="00F2782E"/>
    <w:rsid w:val="00F338B6"/>
    <w:rsid w:val="00F367F2"/>
    <w:rsid w:val="00F42785"/>
    <w:rsid w:val="00F451C5"/>
    <w:rsid w:val="00F60837"/>
    <w:rsid w:val="00F63ABD"/>
    <w:rsid w:val="00F73320"/>
    <w:rsid w:val="00F858E9"/>
    <w:rsid w:val="00F94D06"/>
    <w:rsid w:val="00FB4910"/>
    <w:rsid w:val="00FC546B"/>
    <w:rsid w:val="00FC6BD6"/>
    <w:rsid w:val="00FD4768"/>
    <w:rsid w:val="00FD499A"/>
    <w:rsid w:val="00FE2DBD"/>
    <w:rsid w:val="00FE4193"/>
    <w:rsid w:val="00FF2529"/>
    <w:rsid w:val="01453A14"/>
    <w:rsid w:val="02F72AEC"/>
    <w:rsid w:val="03CF75C5"/>
    <w:rsid w:val="03F84D6E"/>
    <w:rsid w:val="041D2A27"/>
    <w:rsid w:val="05573D16"/>
    <w:rsid w:val="05EC26B0"/>
    <w:rsid w:val="06840B3B"/>
    <w:rsid w:val="06B37672"/>
    <w:rsid w:val="06D03D80"/>
    <w:rsid w:val="070457D8"/>
    <w:rsid w:val="08EB6C4F"/>
    <w:rsid w:val="095A5B83"/>
    <w:rsid w:val="0A5D1DCF"/>
    <w:rsid w:val="0A8E01DA"/>
    <w:rsid w:val="0B3D575C"/>
    <w:rsid w:val="0B516962"/>
    <w:rsid w:val="0BA23811"/>
    <w:rsid w:val="0C4548C9"/>
    <w:rsid w:val="0C7B653C"/>
    <w:rsid w:val="0D8E229F"/>
    <w:rsid w:val="0DE6751E"/>
    <w:rsid w:val="0E8D07A9"/>
    <w:rsid w:val="0F1467D4"/>
    <w:rsid w:val="0FB75ADD"/>
    <w:rsid w:val="108720BF"/>
    <w:rsid w:val="10B63FE7"/>
    <w:rsid w:val="1111746F"/>
    <w:rsid w:val="11360C84"/>
    <w:rsid w:val="11366ED6"/>
    <w:rsid w:val="11621A79"/>
    <w:rsid w:val="11D30BC8"/>
    <w:rsid w:val="12072620"/>
    <w:rsid w:val="126A4CCD"/>
    <w:rsid w:val="12CF6026"/>
    <w:rsid w:val="12DF75A8"/>
    <w:rsid w:val="1369653F"/>
    <w:rsid w:val="141B07B6"/>
    <w:rsid w:val="15051099"/>
    <w:rsid w:val="15595889"/>
    <w:rsid w:val="15EF3AF7"/>
    <w:rsid w:val="16096967"/>
    <w:rsid w:val="162E461F"/>
    <w:rsid w:val="168416E5"/>
    <w:rsid w:val="16B20004"/>
    <w:rsid w:val="16DC051F"/>
    <w:rsid w:val="16F70EB5"/>
    <w:rsid w:val="17683B61"/>
    <w:rsid w:val="1821268E"/>
    <w:rsid w:val="185A794E"/>
    <w:rsid w:val="18616F2E"/>
    <w:rsid w:val="19581961"/>
    <w:rsid w:val="19862CAD"/>
    <w:rsid w:val="1AE300CE"/>
    <w:rsid w:val="1B302BE8"/>
    <w:rsid w:val="1B4641B9"/>
    <w:rsid w:val="1B486183"/>
    <w:rsid w:val="1B5F527B"/>
    <w:rsid w:val="1B6603B7"/>
    <w:rsid w:val="1B9C202B"/>
    <w:rsid w:val="1BDE43F2"/>
    <w:rsid w:val="1C694603"/>
    <w:rsid w:val="1CE27F12"/>
    <w:rsid w:val="1CE712D2"/>
    <w:rsid w:val="1D0936F0"/>
    <w:rsid w:val="1D9751A0"/>
    <w:rsid w:val="1DA578BD"/>
    <w:rsid w:val="1DE32193"/>
    <w:rsid w:val="1E4C5F8A"/>
    <w:rsid w:val="1ED67C3F"/>
    <w:rsid w:val="1EEA12FF"/>
    <w:rsid w:val="1F220A99"/>
    <w:rsid w:val="1F464788"/>
    <w:rsid w:val="1F7C289F"/>
    <w:rsid w:val="1FE4496A"/>
    <w:rsid w:val="20016901"/>
    <w:rsid w:val="200F101E"/>
    <w:rsid w:val="204809D3"/>
    <w:rsid w:val="20FA7627"/>
    <w:rsid w:val="20FF1092"/>
    <w:rsid w:val="211A5ECC"/>
    <w:rsid w:val="21933ED0"/>
    <w:rsid w:val="22260612"/>
    <w:rsid w:val="2366189C"/>
    <w:rsid w:val="237613B4"/>
    <w:rsid w:val="2403533D"/>
    <w:rsid w:val="24C90335"/>
    <w:rsid w:val="24ED56A6"/>
    <w:rsid w:val="24EF5C02"/>
    <w:rsid w:val="25AB7A3A"/>
    <w:rsid w:val="25F3318F"/>
    <w:rsid w:val="26154EB4"/>
    <w:rsid w:val="261F3F85"/>
    <w:rsid w:val="2714160F"/>
    <w:rsid w:val="27250A98"/>
    <w:rsid w:val="272730F1"/>
    <w:rsid w:val="277F13CF"/>
    <w:rsid w:val="278422F1"/>
    <w:rsid w:val="285E4FCC"/>
    <w:rsid w:val="28A32C4B"/>
    <w:rsid w:val="28A703BF"/>
    <w:rsid w:val="29736AC1"/>
    <w:rsid w:val="298365D8"/>
    <w:rsid w:val="29F51284"/>
    <w:rsid w:val="2A0E2346"/>
    <w:rsid w:val="2A8F5E5D"/>
    <w:rsid w:val="2ABD45AE"/>
    <w:rsid w:val="2AE5579D"/>
    <w:rsid w:val="2B3E6C5B"/>
    <w:rsid w:val="2C251BC9"/>
    <w:rsid w:val="2DB9081B"/>
    <w:rsid w:val="2DC476E9"/>
    <w:rsid w:val="2DFC020A"/>
    <w:rsid w:val="2E00644A"/>
    <w:rsid w:val="2E9D638E"/>
    <w:rsid w:val="2F414F6C"/>
    <w:rsid w:val="2F8C7AEC"/>
    <w:rsid w:val="31C205E6"/>
    <w:rsid w:val="32342B66"/>
    <w:rsid w:val="325925CC"/>
    <w:rsid w:val="32981347"/>
    <w:rsid w:val="3341553A"/>
    <w:rsid w:val="335C4122"/>
    <w:rsid w:val="338673F1"/>
    <w:rsid w:val="33F26834"/>
    <w:rsid w:val="346A0AC1"/>
    <w:rsid w:val="34C226AB"/>
    <w:rsid w:val="34CF6B76"/>
    <w:rsid w:val="351B1F37"/>
    <w:rsid w:val="352944D8"/>
    <w:rsid w:val="355754E9"/>
    <w:rsid w:val="360A473D"/>
    <w:rsid w:val="36B349A1"/>
    <w:rsid w:val="36F6663C"/>
    <w:rsid w:val="375C6562"/>
    <w:rsid w:val="37D921E5"/>
    <w:rsid w:val="38080D1C"/>
    <w:rsid w:val="38082ACA"/>
    <w:rsid w:val="38991974"/>
    <w:rsid w:val="38A8605B"/>
    <w:rsid w:val="398E6FFF"/>
    <w:rsid w:val="39F07CBA"/>
    <w:rsid w:val="3A9C574C"/>
    <w:rsid w:val="3B4E4C98"/>
    <w:rsid w:val="3B7364AD"/>
    <w:rsid w:val="3BA24FE4"/>
    <w:rsid w:val="3C371BD0"/>
    <w:rsid w:val="3C4E0CC8"/>
    <w:rsid w:val="3C7C5835"/>
    <w:rsid w:val="3C964B49"/>
    <w:rsid w:val="3D1C4922"/>
    <w:rsid w:val="3D510A70"/>
    <w:rsid w:val="3D7604D6"/>
    <w:rsid w:val="3D934BE4"/>
    <w:rsid w:val="3DBB413B"/>
    <w:rsid w:val="3DC54FBA"/>
    <w:rsid w:val="3E612F34"/>
    <w:rsid w:val="3E730B9E"/>
    <w:rsid w:val="3E7F160D"/>
    <w:rsid w:val="3EAD1CD6"/>
    <w:rsid w:val="3FF83425"/>
    <w:rsid w:val="403F208D"/>
    <w:rsid w:val="40BC7839"/>
    <w:rsid w:val="40D519B8"/>
    <w:rsid w:val="413761CE"/>
    <w:rsid w:val="41994793"/>
    <w:rsid w:val="423B2E21"/>
    <w:rsid w:val="42424E2B"/>
    <w:rsid w:val="42734FE4"/>
    <w:rsid w:val="42756FAE"/>
    <w:rsid w:val="427C658F"/>
    <w:rsid w:val="42A67168"/>
    <w:rsid w:val="435D2AF7"/>
    <w:rsid w:val="44305883"/>
    <w:rsid w:val="443F5AC6"/>
    <w:rsid w:val="444C01E3"/>
    <w:rsid w:val="447137A5"/>
    <w:rsid w:val="44D83825"/>
    <w:rsid w:val="452866A9"/>
    <w:rsid w:val="455235D7"/>
    <w:rsid w:val="457176F9"/>
    <w:rsid w:val="45DB537A"/>
    <w:rsid w:val="45E36925"/>
    <w:rsid w:val="46050649"/>
    <w:rsid w:val="466E2692"/>
    <w:rsid w:val="46C329DE"/>
    <w:rsid w:val="46D71FE6"/>
    <w:rsid w:val="46DF0E9A"/>
    <w:rsid w:val="47462CC7"/>
    <w:rsid w:val="476A10AC"/>
    <w:rsid w:val="47B642F1"/>
    <w:rsid w:val="47CB7671"/>
    <w:rsid w:val="47D12ED9"/>
    <w:rsid w:val="4820176A"/>
    <w:rsid w:val="482E20D9"/>
    <w:rsid w:val="48435459"/>
    <w:rsid w:val="49131272"/>
    <w:rsid w:val="49B04D70"/>
    <w:rsid w:val="49B108F4"/>
    <w:rsid w:val="49D071C0"/>
    <w:rsid w:val="4A3B6D2F"/>
    <w:rsid w:val="4A4060F4"/>
    <w:rsid w:val="4ABB577A"/>
    <w:rsid w:val="4B4B6AFE"/>
    <w:rsid w:val="4B72052F"/>
    <w:rsid w:val="4B7324F9"/>
    <w:rsid w:val="4B7D6ED4"/>
    <w:rsid w:val="4B9A5CD8"/>
    <w:rsid w:val="4BE41453"/>
    <w:rsid w:val="4BF058F8"/>
    <w:rsid w:val="4C1C66ED"/>
    <w:rsid w:val="4CA50490"/>
    <w:rsid w:val="4CF907DC"/>
    <w:rsid w:val="4D844549"/>
    <w:rsid w:val="4DA2038D"/>
    <w:rsid w:val="4E28581D"/>
    <w:rsid w:val="4EBD5F65"/>
    <w:rsid w:val="4F2A2ECF"/>
    <w:rsid w:val="4F587A3C"/>
    <w:rsid w:val="4FF359B6"/>
    <w:rsid w:val="50F639B0"/>
    <w:rsid w:val="5176064D"/>
    <w:rsid w:val="51864D34"/>
    <w:rsid w:val="51C23892"/>
    <w:rsid w:val="523A0BF9"/>
    <w:rsid w:val="528B1ED6"/>
    <w:rsid w:val="52D23FA9"/>
    <w:rsid w:val="530A54F1"/>
    <w:rsid w:val="532145E9"/>
    <w:rsid w:val="53740BBC"/>
    <w:rsid w:val="53C27B7A"/>
    <w:rsid w:val="53CE651E"/>
    <w:rsid w:val="53E45D42"/>
    <w:rsid w:val="53E61ABA"/>
    <w:rsid w:val="541A5C08"/>
    <w:rsid w:val="543A3BB4"/>
    <w:rsid w:val="5472334E"/>
    <w:rsid w:val="547846DC"/>
    <w:rsid w:val="54C47921"/>
    <w:rsid w:val="559E0172"/>
    <w:rsid w:val="55B33C1E"/>
    <w:rsid w:val="56FA762A"/>
    <w:rsid w:val="575136EE"/>
    <w:rsid w:val="575B456D"/>
    <w:rsid w:val="577473DD"/>
    <w:rsid w:val="57AE6D93"/>
    <w:rsid w:val="588673C8"/>
    <w:rsid w:val="58D8399B"/>
    <w:rsid w:val="595A2602"/>
    <w:rsid w:val="59926240"/>
    <w:rsid w:val="59C363FA"/>
    <w:rsid w:val="5A1D3D5C"/>
    <w:rsid w:val="5AA24261"/>
    <w:rsid w:val="5AE42ACB"/>
    <w:rsid w:val="5B1C4013"/>
    <w:rsid w:val="5BDE751B"/>
    <w:rsid w:val="5C935747"/>
    <w:rsid w:val="5D170F36"/>
    <w:rsid w:val="5DB22A0D"/>
    <w:rsid w:val="5DEC4171"/>
    <w:rsid w:val="5E0C4813"/>
    <w:rsid w:val="5E745F14"/>
    <w:rsid w:val="5F487ACD"/>
    <w:rsid w:val="5F7A4EFA"/>
    <w:rsid w:val="60427649"/>
    <w:rsid w:val="60CE7B5E"/>
    <w:rsid w:val="610C68D8"/>
    <w:rsid w:val="612C2AD6"/>
    <w:rsid w:val="61B52ACC"/>
    <w:rsid w:val="61D513C0"/>
    <w:rsid w:val="62621EBF"/>
    <w:rsid w:val="63464323"/>
    <w:rsid w:val="634C3904"/>
    <w:rsid w:val="636F6C98"/>
    <w:rsid w:val="63844520"/>
    <w:rsid w:val="642F3266"/>
    <w:rsid w:val="64992B79"/>
    <w:rsid w:val="655A2308"/>
    <w:rsid w:val="656F7435"/>
    <w:rsid w:val="65F20792"/>
    <w:rsid w:val="660B1854"/>
    <w:rsid w:val="665705F5"/>
    <w:rsid w:val="6672542F"/>
    <w:rsid w:val="66BF75E1"/>
    <w:rsid w:val="66C537B1"/>
    <w:rsid w:val="675863D3"/>
    <w:rsid w:val="675E02F4"/>
    <w:rsid w:val="67876CB8"/>
    <w:rsid w:val="68ED3493"/>
    <w:rsid w:val="6905258B"/>
    <w:rsid w:val="6938470E"/>
    <w:rsid w:val="69635503"/>
    <w:rsid w:val="69C2222A"/>
    <w:rsid w:val="6A0E1913"/>
    <w:rsid w:val="6A244C92"/>
    <w:rsid w:val="6A616842"/>
    <w:rsid w:val="6AA858C3"/>
    <w:rsid w:val="6B1116BB"/>
    <w:rsid w:val="6B625A72"/>
    <w:rsid w:val="6BD12BF8"/>
    <w:rsid w:val="6BF0193F"/>
    <w:rsid w:val="6D723F67"/>
    <w:rsid w:val="6D910891"/>
    <w:rsid w:val="6DC24EEE"/>
    <w:rsid w:val="6DE704B1"/>
    <w:rsid w:val="6EB8009F"/>
    <w:rsid w:val="6F084B83"/>
    <w:rsid w:val="6F481423"/>
    <w:rsid w:val="6F616041"/>
    <w:rsid w:val="6F946416"/>
    <w:rsid w:val="6FD42CB7"/>
    <w:rsid w:val="6FD76303"/>
    <w:rsid w:val="6FF869A5"/>
    <w:rsid w:val="70A76930"/>
    <w:rsid w:val="70D54F38"/>
    <w:rsid w:val="71025602"/>
    <w:rsid w:val="71045729"/>
    <w:rsid w:val="71630796"/>
    <w:rsid w:val="71635E8C"/>
    <w:rsid w:val="718D5813"/>
    <w:rsid w:val="71E511AB"/>
    <w:rsid w:val="72563E57"/>
    <w:rsid w:val="726447C6"/>
    <w:rsid w:val="727D13E4"/>
    <w:rsid w:val="729A3D44"/>
    <w:rsid w:val="72A5093A"/>
    <w:rsid w:val="72BB015E"/>
    <w:rsid w:val="72CE7E91"/>
    <w:rsid w:val="72FD0776"/>
    <w:rsid w:val="73974727"/>
    <w:rsid w:val="73FE6554"/>
    <w:rsid w:val="743B3F87"/>
    <w:rsid w:val="74A72748"/>
    <w:rsid w:val="750B0AE0"/>
    <w:rsid w:val="753366D1"/>
    <w:rsid w:val="75E55C1E"/>
    <w:rsid w:val="76962A74"/>
    <w:rsid w:val="76F0487A"/>
    <w:rsid w:val="7798281C"/>
    <w:rsid w:val="78E75809"/>
    <w:rsid w:val="79202AC9"/>
    <w:rsid w:val="79752E15"/>
    <w:rsid w:val="798412AA"/>
    <w:rsid w:val="79BE0C60"/>
    <w:rsid w:val="7ABE4C8F"/>
    <w:rsid w:val="7AC676A0"/>
    <w:rsid w:val="7B4A02D1"/>
    <w:rsid w:val="7C1E3C37"/>
    <w:rsid w:val="7C5A4544"/>
    <w:rsid w:val="7CB225D2"/>
    <w:rsid w:val="7CDE6F23"/>
    <w:rsid w:val="7D20753B"/>
    <w:rsid w:val="7D8F021D"/>
    <w:rsid w:val="7E1D3D33"/>
    <w:rsid w:val="7E5C27F5"/>
    <w:rsid w:val="7E6E42D6"/>
    <w:rsid w:val="7E7C69F3"/>
    <w:rsid w:val="7EC14D4E"/>
    <w:rsid w:val="7F005876"/>
    <w:rsid w:val="7F2C666B"/>
    <w:rsid w:val="7F7B4EFD"/>
    <w:rsid w:val="7FF6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link w:val="27"/>
    <w:qFormat/>
    <w:uiPriority w:val="9"/>
    <w:pPr>
      <w:widowControl/>
      <w:spacing w:before="100" w:beforeAutospacing="1" w:after="100" w:afterAutospacing="1" w:line="240" w:lineRule="auto"/>
      <w:ind w:firstLine="0" w:firstLineChars="0"/>
      <w:jc w:val="left"/>
      <w:outlineLvl w:val="0"/>
    </w:pPr>
    <w:rPr>
      <w:rFonts w:ascii="宋体" w:hAnsi="宋体" w:cs="宋体"/>
      <w:b/>
      <w:bCs/>
      <w:kern w:val="36"/>
      <w:sz w:val="48"/>
      <w:szCs w:val="4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semiHidden/>
    <w:unhideWhenUsed/>
    <w:qFormat/>
    <w:uiPriority w:val="99"/>
    <w:pPr>
      <w:jc w:val="left"/>
    </w:pPr>
  </w:style>
  <w:style w:type="paragraph" w:styleId="5">
    <w:name w:val="Balloon Text"/>
    <w:basedOn w:val="1"/>
    <w:link w:val="19"/>
    <w:semiHidden/>
    <w:unhideWhenUsed/>
    <w:qFormat/>
    <w:uiPriority w:val="99"/>
    <w:pPr>
      <w:spacing w:line="240" w:lineRule="auto"/>
    </w:pPr>
    <w:rPr>
      <w:sz w:val="18"/>
      <w:szCs w:val="18"/>
    </w:rPr>
  </w:style>
  <w:style w:type="paragraph" w:styleId="6">
    <w:name w:val="footer"/>
    <w:basedOn w:val="1"/>
    <w:link w:val="17"/>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HTML Preformatted"/>
    <w:basedOn w:val="1"/>
    <w:link w:val="30"/>
    <w:semiHidden/>
    <w:unhideWhenUsed/>
    <w:qFormat/>
    <w:uiPriority w:val="99"/>
    <w:rPr>
      <w:rFonts w:ascii="Courier New" w:hAnsi="Courier New" w:cs="Courier New"/>
      <w:sz w:val="20"/>
      <w:szCs w:val="20"/>
    </w:rPr>
  </w:style>
  <w:style w:type="paragraph" w:styleId="9">
    <w:name w:val="Normal (Web)"/>
    <w:basedOn w:val="1"/>
    <w:unhideWhenUsed/>
    <w:qFormat/>
    <w:uiPriority w:val="99"/>
    <w:pPr>
      <w:widowControl/>
      <w:spacing w:beforeAutospacing="1" w:afterAutospacing="1"/>
      <w:jc w:val="left"/>
    </w:pPr>
    <w:rPr>
      <w:rFonts w:hint="eastAsia" w:ascii="宋体" w:hAnsi="宋体"/>
      <w:kern w:val="0"/>
    </w:rPr>
  </w:style>
  <w:style w:type="paragraph" w:styleId="10">
    <w:name w:val="annotation subject"/>
    <w:basedOn w:val="4"/>
    <w:next w:val="4"/>
    <w:link w:val="23"/>
    <w:semiHidden/>
    <w:unhideWhenUsed/>
    <w:qFormat/>
    <w:uiPriority w:val="99"/>
    <w:rPr>
      <w:b/>
      <w:bCs/>
    </w:rPr>
  </w:style>
  <w:style w:type="table" w:styleId="12">
    <w:name w:val="Table Grid"/>
    <w:basedOn w:val="1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Hyperlink"/>
    <w:basedOn w:val="13"/>
    <w:semiHidden/>
    <w:unhideWhenUsed/>
    <w:qFormat/>
    <w:uiPriority w:val="99"/>
    <w:rPr>
      <w:color w:val="0000FF"/>
      <w:u w:val="single"/>
    </w:rPr>
  </w:style>
  <w:style w:type="character" w:styleId="15">
    <w:name w:val="annotation reference"/>
    <w:basedOn w:val="13"/>
    <w:semiHidden/>
    <w:unhideWhenUsed/>
    <w:qFormat/>
    <w:uiPriority w:val="99"/>
    <w:rPr>
      <w:sz w:val="21"/>
      <w:szCs w:val="21"/>
    </w:rPr>
  </w:style>
  <w:style w:type="character" w:customStyle="1" w:styleId="16">
    <w:name w:val="页眉 字符"/>
    <w:basedOn w:val="13"/>
    <w:link w:val="7"/>
    <w:qFormat/>
    <w:uiPriority w:val="99"/>
    <w:rPr>
      <w:rFonts w:ascii="Times New Roman" w:hAnsi="Times New Roman" w:eastAsia="宋体" w:cs="Times New Roman"/>
      <w:sz w:val="18"/>
      <w:szCs w:val="18"/>
    </w:rPr>
  </w:style>
  <w:style w:type="character" w:customStyle="1" w:styleId="17">
    <w:name w:val="页脚 字符"/>
    <w:basedOn w:val="13"/>
    <w:link w:val="6"/>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pPr>
  </w:style>
  <w:style w:type="character" w:customStyle="1" w:styleId="19">
    <w:name w:val="批注框文本 字符"/>
    <w:basedOn w:val="13"/>
    <w:link w:val="5"/>
    <w:semiHidden/>
    <w:qFormat/>
    <w:uiPriority w:val="99"/>
    <w:rPr>
      <w:rFonts w:ascii="Times New Roman" w:hAnsi="Times New Roman" w:eastAsia="宋体" w:cs="Times New Roman"/>
      <w:sz w:val="18"/>
      <w:szCs w:val="18"/>
    </w:rPr>
  </w:style>
  <w:style w:type="paragraph" w:customStyle="1" w:styleId="20">
    <w:name w:val="111"/>
    <w:basedOn w:val="1"/>
    <w:link w:val="21"/>
    <w:qFormat/>
    <w:uiPriority w:val="0"/>
    <w:pPr>
      <w:spacing w:beforeLines="50"/>
      <w:ind w:firstLine="480"/>
    </w:pPr>
  </w:style>
  <w:style w:type="character" w:customStyle="1" w:styleId="21">
    <w:name w:val="111 Char"/>
    <w:basedOn w:val="13"/>
    <w:link w:val="20"/>
    <w:qFormat/>
    <w:uiPriority w:val="0"/>
    <w:rPr>
      <w:rFonts w:ascii="Times New Roman" w:hAnsi="Times New Roman" w:eastAsia="宋体" w:cs="Times New Roman"/>
      <w:sz w:val="24"/>
      <w:szCs w:val="24"/>
    </w:rPr>
  </w:style>
  <w:style w:type="character" w:customStyle="1" w:styleId="22">
    <w:name w:val="批注文字 字符"/>
    <w:basedOn w:val="13"/>
    <w:link w:val="4"/>
    <w:semiHidden/>
    <w:qFormat/>
    <w:uiPriority w:val="99"/>
    <w:rPr>
      <w:rFonts w:ascii="Times New Roman" w:hAnsi="Times New Roman" w:eastAsia="宋体" w:cs="Times New Roman"/>
      <w:sz w:val="24"/>
      <w:szCs w:val="24"/>
    </w:rPr>
  </w:style>
  <w:style w:type="character" w:customStyle="1" w:styleId="23">
    <w:name w:val="批注主题 字符"/>
    <w:basedOn w:val="22"/>
    <w:link w:val="10"/>
    <w:semiHidden/>
    <w:qFormat/>
    <w:uiPriority w:val="99"/>
    <w:rPr>
      <w:rFonts w:ascii="Times New Roman" w:hAnsi="Times New Roman" w:eastAsia="宋体" w:cs="Times New Roman"/>
      <w:b/>
      <w:bCs/>
      <w:sz w:val="24"/>
      <w:szCs w:val="24"/>
    </w:rPr>
  </w:style>
  <w:style w:type="paragraph" w:customStyle="1" w:styleId="24">
    <w:name w:val="修订1"/>
    <w:hidden/>
    <w:semiHidden/>
    <w:qFormat/>
    <w:uiPriority w:val="99"/>
    <w:rPr>
      <w:rFonts w:ascii="Times New Roman" w:hAnsi="Times New Roman" w:eastAsia="宋体" w:cs="Times New Roman"/>
      <w:kern w:val="2"/>
      <w:sz w:val="24"/>
      <w:szCs w:val="24"/>
      <w:lang w:val="en-US" w:eastAsia="zh-CN" w:bidi="ar-SA"/>
    </w:rPr>
  </w:style>
  <w:style w:type="paragraph" w:customStyle="1" w:styleId="25">
    <w:name w:val="Table Paragraph"/>
    <w:basedOn w:val="1"/>
    <w:qFormat/>
    <w:uiPriority w:val="1"/>
    <w:pPr>
      <w:ind w:left="107"/>
    </w:pPr>
    <w:rPr>
      <w:rFonts w:ascii="宋体" w:hAnsi="宋体" w:cs="宋体"/>
      <w:lang w:val="zh-CN" w:bidi="zh-CN"/>
    </w:rPr>
  </w:style>
  <w:style w:type="paragraph" w:customStyle="1" w:styleId="26">
    <w:name w:val="修订2"/>
    <w:hidden/>
    <w:semiHidden/>
    <w:qFormat/>
    <w:uiPriority w:val="99"/>
    <w:rPr>
      <w:rFonts w:ascii="Times New Roman" w:hAnsi="Times New Roman" w:eastAsia="宋体" w:cs="Times New Roman"/>
      <w:kern w:val="2"/>
      <w:sz w:val="24"/>
      <w:szCs w:val="24"/>
      <w:lang w:val="en-US" w:eastAsia="zh-CN" w:bidi="ar-SA"/>
    </w:rPr>
  </w:style>
  <w:style w:type="character" w:customStyle="1" w:styleId="27">
    <w:name w:val="标题 1 字符"/>
    <w:basedOn w:val="13"/>
    <w:link w:val="2"/>
    <w:qFormat/>
    <w:uiPriority w:val="9"/>
    <w:rPr>
      <w:rFonts w:ascii="宋体" w:hAnsi="宋体" w:eastAsia="宋体" w:cs="宋体"/>
      <w:b/>
      <w:bCs/>
      <w:kern w:val="36"/>
      <w:sz w:val="48"/>
      <w:szCs w:val="48"/>
    </w:rPr>
  </w:style>
  <w:style w:type="paragraph" w:customStyle="1" w:styleId="28">
    <w:name w:val="md-size"/>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character" w:customStyle="1" w:styleId="29">
    <w:name w:val="标题 2 字符"/>
    <w:basedOn w:val="13"/>
    <w:link w:val="3"/>
    <w:semiHidden/>
    <w:qFormat/>
    <w:uiPriority w:val="9"/>
    <w:rPr>
      <w:rFonts w:asciiTheme="majorHAnsi" w:hAnsiTheme="majorHAnsi" w:eastAsiaTheme="majorEastAsia" w:cstheme="majorBidi"/>
      <w:b/>
      <w:bCs/>
      <w:kern w:val="2"/>
      <w:sz w:val="32"/>
      <w:szCs w:val="32"/>
    </w:rPr>
  </w:style>
  <w:style w:type="character" w:customStyle="1" w:styleId="30">
    <w:name w:val="HTML 预设格式 字符"/>
    <w:basedOn w:val="13"/>
    <w:link w:val="8"/>
    <w:semiHidden/>
    <w:qFormat/>
    <w:uiPriority w:val="99"/>
    <w:rPr>
      <w:rFonts w:ascii="Courier New" w:hAnsi="Courier New" w:eastAsia="宋体" w:cs="Courier New"/>
      <w:kern w:val="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2684</Words>
  <Characters>2843</Characters>
  <Lines>19</Lines>
  <Paragraphs>5</Paragraphs>
  <TotalTime>7</TotalTime>
  <ScaleCrop>false</ScaleCrop>
  <LinksUpToDate>false</LinksUpToDate>
  <CharactersWithSpaces>2966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2024-09-19T03:28:00Z</dcterms:created>
  <dc:creator>LZG</dc:creator>
  <cp:lastModifiedBy>于百岁</cp:lastModifiedBy>
  <dcterms:modified xsi:type="dcterms:W3CDTF">2026-09-09T07:32:49Z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6CA8F100FAAA415DBFDA3634BAC1808E_13</vt:lpwstr>
  </property>
  <property fmtid="{D5CDD505-2E9C-101B-9397-08002B2CF9AE}" pid="4" name="KSOTemplateDocerSaveRecord">
    <vt:lpwstr>eyJoZGlkIjoiNjk4Y2I4NTA0ZWZlNjU2N2VkMTA1ZDUzYzExZWVlNGQiLCJ1c2VySWQiOiIyODg2MzQyMTIifQ==</vt:lpwstr>
  </property>
</Properties>
</file>